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40" w:type="dxa"/>
        <w:tblCellMar>
          <w:top w:w="0" w:type="dxa"/>
          <w:left w:w="0" w:type="dxa"/>
          <w:bottom w:w="0" w:type="dxa"/>
          <w:right w:w="0" w:type="dxa"/>
        </w:tblCellMar>
      </w:tblPr>
      <w:tr>
        <w:trPr>
          <w:trHeight w:val="288"/>
        </w:trPr>
        <w:tc>
          <w:tcPr>
            <w:tcW w:w="80" w:type="dxa"/>
            <w:vAlign w:val="bottom"/>
          </w:tcPr>
          <w:p>
            <w:pPr>
              <w:spacing w:after="0"/>
              <w:rPr>
                <w:sz w:val="24"/>
                <w:szCs w:val="24"/>
                <w:color w:val="auto"/>
              </w:rPr>
            </w:pPr>
          </w:p>
        </w:tc>
        <w:tc>
          <w:tcPr>
            <w:tcW w:w="960" w:type="dxa"/>
            <w:vAlign w:val="bottom"/>
            <w:tcBorders>
              <w:top w:val="single" w:sz="8" w:color="auto"/>
            </w:tcBorders>
          </w:tcPr>
          <w:p>
            <w:pPr>
              <w:spacing w:after="0"/>
              <w:rPr>
                <w:sz w:val="24"/>
                <w:szCs w:val="24"/>
                <w:color w:val="auto"/>
              </w:rPr>
            </w:pPr>
          </w:p>
        </w:tc>
        <w:tc>
          <w:tcPr>
            <w:tcW w:w="10240" w:type="dxa"/>
            <w:vAlign w:val="bottom"/>
            <w:tcBorders>
              <w:top w:val="single" w:sz="8" w:color="auto"/>
            </w:tcBorders>
          </w:tcPr>
          <w:p>
            <w:pPr>
              <w:jc w:val="center"/>
              <w:ind w:right="882"/>
              <w:spacing w:after="0"/>
              <w:rPr>
                <w:sz w:val="20"/>
                <w:szCs w:val="20"/>
                <w:color w:val="auto"/>
              </w:rPr>
            </w:pPr>
            <w:r>
              <w:rPr>
                <w:rFonts w:ascii="Arial" w:cs="Arial" w:eastAsia="Arial" w:hAnsi="Arial"/>
                <w:sz w:val="25"/>
                <w:szCs w:val="25"/>
                <w:b w:val="1"/>
                <w:bCs w:val="1"/>
                <w:color w:val="auto"/>
                <w:w w:val="99"/>
              </w:rPr>
              <w:t>UNITED STATES</w:t>
            </w:r>
          </w:p>
        </w:tc>
      </w:tr>
      <w:tr>
        <w:trPr>
          <w:trHeight w:val="302"/>
        </w:trPr>
        <w:tc>
          <w:tcPr>
            <w:tcW w:w="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240" w:type="dxa"/>
            <w:vAlign w:val="bottom"/>
          </w:tcPr>
          <w:p>
            <w:pPr>
              <w:jc w:val="center"/>
              <w:ind w:right="882"/>
              <w:spacing w:after="0"/>
              <w:rPr>
                <w:sz w:val="20"/>
                <w:szCs w:val="20"/>
                <w:color w:val="auto"/>
              </w:rPr>
            </w:pPr>
            <w:r>
              <w:rPr>
                <w:rFonts w:ascii="Arial" w:cs="Arial" w:eastAsia="Arial" w:hAnsi="Arial"/>
                <w:sz w:val="25"/>
                <w:szCs w:val="25"/>
                <w:b w:val="1"/>
                <w:bCs w:val="1"/>
                <w:color w:val="auto"/>
              </w:rPr>
              <w:t>SECURITIES AND EXCHANGE COMMISSION</w:t>
            </w:r>
          </w:p>
        </w:tc>
      </w:tr>
      <w:tr>
        <w:trPr>
          <w:trHeight w:val="211"/>
        </w:trPr>
        <w:tc>
          <w:tcPr>
            <w:tcW w:w="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240" w:type="dxa"/>
            <w:vAlign w:val="bottom"/>
          </w:tcPr>
          <w:p>
            <w:pPr>
              <w:jc w:val="center"/>
              <w:ind w:right="882"/>
              <w:spacing w:after="0"/>
              <w:rPr>
                <w:sz w:val="20"/>
                <w:szCs w:val="20"/>
                <w:color w:val="auto"/>
              </w:rPr>
            </w:pPr>
            <w:r>
              <w:rPr>
                <w:rFonts w:ascii="Arial" w:cs="Arial" w:eastAsia="Arial" w:hAnsi="Arial"/>
                <w:sz w:val="18"/>
                <w:szCs w:val="18"/>
                <w:b w:val="1"/>
                <w:bCs w:val="1"/>
                <w:color w:val="auto"/>
                <w:w w:val="91"/>
              </w:rPr>
              <w:t>Washington, D.C. 20549</w:t>
            </w:r>
          </w:p>
        </w:tc>
      </w:tr>
      <w:tr>
        <w:trPr>
          <w:trHeight w:val="329"/>
        </w:trPr>
        <w:tc>
          <w:tcPr>
            <w:tcW w:w="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240" w:type="dxa"/>
            <w:vAlign w:val="bottom"/>
          </w:tcPr>
          <w:p>
            <w:pPr>
              <w:jc w:val="center"/>
              <w:ind w:right="862"/>
              <w:spacing w:after="0"/>
              <w:rPr>
                <w:sz w:val="20"/>
                <w:szCs w:val="20"/>
                <w:color w:val="auto"/>
              </w:rPr>
            </w:pPr>
            <w:r>
              <w:rPr>
                <w:rFonts w:ascii="Arial" w:cs="Arial" w:eastAsia="Arial" w:hAnsi="Arial"/>
                <w:sz w:val="25"/>
                <w:szCs w:val="25"/>
                <w:b w:val="1"/>
                <w:bCs w:val="1"/>
                <w:color w:val="auto"/>
              </w:rPr>
              <w:t>FORM 10-K</w:t>
            </w:r>
          </w:p>
        </w:tc>
      </w:tr>
      <w:tr>
        <w:trPr>
          <w:trHeight w:val="444"/>
        </w:trPr>
        <w:tc>
          <w:tcPr>
            <w:tcW w:w="1040" w:type="dxa"/>
            <w:vAlign w:val="bottom"/>
            <w:gridSpan w:val="2"/>
          </w:tcPr>
          <w:p>
            <w:pPr>
              <w:spacing w:after="0" w:line="221" w:lineRule="exact"/>
              <w:rPr>
                <w:sz w:val="20"/>
                <w:szCs w:val="20"/>
                <w:color w:val="auto"/>
              </w:rPr>
            </w:pPr>
            <w:r>
              <w:rPr>
                <w:rFonts w:ascii="MS PGothic" w:cs="MS PGothic" w:eastAsia="MS PGothic" w:hAnsi="MS PGothic"/>
                <w:sz w:val="22"/>
                <w:szCs w:val="22"/>
                <w:color w:val="auto"/>
              </w:rPr>
              <w:t>☒</w:t>
            </w:r>
          </w:p>
        </w:tc>
        <w:tc>
          <w:tcPr>
            <w:tcW w:w="10240" w:type="dxa"/>
            <w:vAlign w:val="bottom"/>
          </w:tcPr>
          <w:p>
            <w:pPr>
              <w:jc w:val="center"/>
              <w:ind w:right="202"/>
              <w:spacing w:after="0"/>
              <w:rPr>
                <w:sz w:val="20"/>
                <w:szCs w:val="20"/>
                <w:color w:val="auto"/>
              </w:rPr>
            </w:pPr>
            <w:r>
              <w:rPr>
                <w:rFonts w:ascii="Arial" w:cs="Arial" w:eastAsia="Arial" w:hAnsi="Arial"/>
                <w:sz w:val="16"/>
                <w:szCs w:val="16"/>
                <w:b w:val="1"/>
                <w:bCs w:val="1"/>
                <w:color w:val="auto"/>
              </w:rPr>
              <w:t>ANNUAL REPORT PURSUANT TO SECTION 13 OR 15(D) OF THE SECURITIES EXCHANGE ACT OF 1934</w:t>
            </w:r>
          </w:p>
        </w:tc>
      </w:tr>
      <w:tr>
        <w:trPr>
          <w:trHeight w:val="263"/>
        </w:trPr>
        <w:tc>
          <w:tcPr>
            <w:tcW w:w="8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0240" w:type="dxa"/>
            <w:vAlign w:val="bottom"/>
          </w:tcPr>
          <w:p>
            <w:pPr>
              <w:jc w:val="center"/>
              <w:ind w:right="882"/>
              <w:spacing w:after="0"/>
              <w:rPr>
                <w:sz w:val="20"/>
                <w:szCs w:val="20"/>
                <w:color w:val="auto"/>
              </w:rPr>
            </w:pPr>
            <w:r>
              <w:rPr>
                <w:rFonts w:ascii="Arial" w:cs="Arial" w:eastAsia="Arial" w:hAnsi="Arial"/>
                <w:sz w:val="18"/>
                <w:szCs w:val="18"/>
                <w:b w:val="1"/>
                <w:bCs w:val="1"/>
                <w:color w:val="auto"/>
                <w:w w:val="89"/>
              </w:rPr>
              <w:t>For the year ended December 31, 2015</w:t>
            </w:r>
          </w:p>
        </w:tc>
      </w:tr>
      <w:tr>
        <w:trPr>
          <w:trHeight w:val="297"/>
        </w:trPr>
        <w:tc>
          <w:tcPr>
            <w:tcW w:w="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240" w:type="dxa"/>
            <w:vAlign w:val="bottom"/>
          </w:tcPr>
          <w:p>
            <w:pPr>
              <w:jc w:val="center"/>
              <w:ind w:right="882"/>
              <w:spacing w:after="0"/>
              <w:rPr>
                <w:sz w:val="20"/>
                <w:szCs w:val="20"/>
                <w:color w:val="auto"/>
              </w:rPr>
            </w:pPr>
            <w:r>
              <w:rPr>
                <w:rFonts w:ascii="Arial" w:cs="Arial" w:eastAsia="Arial" w:hAnsi="Arial"/>
                <w:sz w:val="18"/>
                <w:szCs w:val="18"/>
                <w:b w:val="1"/>
                <w:bCs w:val="1"/>
                <w:color w:val="auto"/>
                <w:w w:val="96"/>
              </w:rPr>
              <w:t>OR</w:t>
            </w:r>
          </w:p>
        </w:tc>
      </w:tr>
      <w:tr>
        <w:trPr>
          <w:trHeight w:val="415"/>
        </w:trPr>
        <w:tc>
          <w:tcPr>
            <w:tcW w:w="1040" w:type="dxa"/>
            <w:vAlign w:val="bottom"/>
            <w:gridSpan w:val="2"/>
          </w:tcPr>
          <w:p>
            <w:pPr>
              <w:spacing w:after="0"/>
              <w:rPr>
                <w:sz w:val="20"/>
                <w:szCs w:val="20"/>
                <w:color w:val="auto"/>
              </w:rPr>
            </w:pPr>
            <w:r>
              <w:rPr>
                <w:rFonts w:ascii="Arial" w:cs="Arial" w:eastAsia="Arial" w:hAnsi="Arial"/>
                <w:sz w:val="22"/>
                <w:szCs w:val="22"/>
                <w:color w:val="auto"/>
              </w:rPr>
              <w:t>o</w:t>
            </w:r>
          </w:p>
        </w:tc>
        <w:tc>
          <w:tcPr>
            <w:tcW w:w="10240" w:type="dxa"/>
            <w:vAlign w:val="bottom"/>
          </w:tcPr>
          <w:p>
            <w:pPr>
              <w:jc w:val="center"/>
              <w:ind w:right="182"/>
              <w:spacing w:after="0"/>
              <w:rPr>
                <w:sz w:val="20"/>
                <w:szCs w:val="20"/>
                <w:color w:val="auto"/>
              </w:rPr>
            </w:pPr>
            <w:r>
              <w:rPr>
                <w:rFonts w:ascii="Arial" w:cs="Arial" w:eastAsia="Arial" w:hAnsi="Arial"/>
                <w:sz w:val="16"/>
                <w:szCs w:val="16"/>
                <w:b w:val="1"/>
                <w:bCs w:val="1"/>
                <w:color w:val="auto"/>
              </w:rPr>
              <w:t>TRANSITION REPORT PURSUANT TO SECTION 13 OR 15(D) OF THE SECURITIES EXCHANGE ACT OF 1934</w:t>
            </w:r>
          </w:p>
        </w:tc>
      </w:tr>
      <w:tr>
        <w:trPr>
          <w:trHeight w:val="343"/>
        </w:trPr>
        <w:tc>
          <w:tcPr>
            <w:tcW w:w="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240" w:type="dxa"/>
            <w:vAlign w:val="bottom"/>
          </w:tcPr>
          <w:p>
            <w:pPr>
              <w:jc w:val="center"/>
              <w:ind w:right="882"/>
              <w:spacing w:after="0"/>
              <w:rPr>
                <w:sz w:val="20"/>
                <w:szCs w:val="20"/>
                <w:color w:val="auto"/>
              </w:rPr>
            </w:pPr>
            <w:r>
              <w:rPr>
                <w:rFonts w:ascii="Arial" w:cs="Arial" w:eastAsia="Arial" w:hAnsi="Arial"/>
                <w:sz w:val="14"/>
                <w:szCs w:val="14"/>
                <w:b w:val="1"/>
                <w:bCs w:val="1"/>
                <w:color w:val="auto"/>
                <w:w w:val="93"/>
              </w:rPr>
              <w:t>Commission file number 001-34057</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234950</wp:posOffset>
            </wp:positionH>
            <wp:positionV relativeFrom="page">
              <wp:posOffset>243205</wp:posOffset>
            </wp:positionV>
            <wp:extent cx="710057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00570" cy="8890"/>
                    </a:xfrm>
                    <a:prstGeom prst="rect">
                      <a:avLst/>
                    </a:prstGeom>
                    <a:noFill/>
                  </pic:spPr>
                </pic:pic>
              </a:graphicData>
            </a:graphic>
          </wp:anchor>
        </w:drawing>
        <w:drawing>
          <wp:anchor simplePos="0" relativeHeight="251657728" behindDoc="1" locked="0" layoutInCell="0" allowOverlap="1">
            <wp:simplePos x="0" y="0"/>
            <wp:positionH relativeFrom="column">
              <wp:posOffset>2852420</wp:posOffset>
            </wp:positionH>
            <wp:positionV relativeFrom="paragraph">
              <wp:posOffset>102235</wp:posOffset>
            </wp:positionV>
            <wp:extent cx="1551940" cy="8578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551940" cy="85788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8"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AMERICAN CAPITAL AGENCY CORP.</w:t>
      </w:r>
    </w:p>
    <w:p>
      <w:pPr>
        <w:spacing w:after="0" w:line="37"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(Exact name of registrant as specified in its charter)</w:t>
      </w:r>
    </w:p>
    <w:p>
      <w:pPr>
        <w:spacing w:after="0" w:line="145" w:lineRule="exact"/>
        <w:rPr>
          <w:sz w:val="24"/>
          <w:szCs w:val="24"/>
          <w:color w:val="auto"/>
        </w:rPr>
      </w:pPr>
    </w:p>
    <w:tbl>
      <w:tblPr>
        <w:tblLayout w:type="fixed"/>
        <w:tblInd w:w="860" w:type="dxa"/>
        <w:tblCellMar>
          <w:top w:w="0" w:type="dxa"/>
          <w:left w:w="0" w:type="dxa"/>
          <w:bottom w:w="0" w:type="dxa"/>
          <w:right w:w="0" w:type="dxa"/>
        </w:tblCellMar>
      </w:tblPr>
      <w:tr>
        <w:trPr>
          <w:trHeight w:val="234"/>
        </w:trPr>
        <w:tc>
          <w:tcPr>
            <w:tcW w:w="6420" w:type="dxa"/>
            <w:vAlign w:val="bottom"/>
          </w:tcPr>
          <w:p>
            <w:pPr>
              <w:jc w:val="center"/>
              <w:ind w:right="2566"/>
              <w:spacing w:after="0"/>
              <w:rPr>
                <w:sz w:val="20"/>
                <w:szCs w:val="20"/>
                <w:color w:val="auto"/>
              </w:rPr>
            </w:pPr>
            <w:r>
              <w:rPr>
                <w:rFonts w:ascii="Arial" w:cs="Arial" w:eastAsia="Arial" w:hAnsi="Arial"/>
                <w:sz w:val="18"/>
                <w:szCs w:val="18"/>
                <w:b w:val="1"/>
                <w:bCs w:val="1"/>
                <w:color w:val="auto"/>
                <w:w w:val="93"/>
              </w:rPr>
              <w:t>Delaware</w:t>
            </w:r>
          </w:p>
        </w:tc>
        <w:tc>
          <w:tcPr>
            <w:tcW w:w="2540" w:type="dxa"/>
            <w:vAlign w:val="bottom"/>
          </w:tcPr>
          <w:p>
            <w:pPr>
              <w:jc w:val="center"/>
              <w:ind w:left="425"/>
              <w:spacing w:after="0"/>
              <w:rPr>
                <w:sz w:val="20"/>
                <w:szCs w:val="20"/>
                <w:color w:val="auto"/>
              </w:rPr>
            </w:pPr>
            <w:r>
              <w:rPr>
                <w:rFonts w:ascii="Arial" w:cs="Arial" w:eastAsia="Arial" w:hAnsi="Arial"/>
                <w:sz w:val="18"/>
                <w:szCs w:val="18"/>
                <w:b w:val="1"/>
                <w:bCs w:val="1"/>
                <w:color w:val="auto"/>
                <w:w w:val="91"/>
              </w:rPr>
              <w:t>26-1701984</w:t>
            </w:r>
          </w:p>
        </w:tc>
      </w:tr>
      <w:tr>
        <w:trPr>
          <w:trHeight w:val="180"/>
        </w:trPr>
        <w:tc>
          <w:tcPr>
            <w:tcW w:w="6420" w:type="dxa"/>
            <w:vAlign w:val="bottom"/>
          </w:tcPr>
          <w:p>
            <w:pPr>
              <w:jc w:val="center"/>
              <w:ind w:right="2566"/>
              <w:spacing w:after="0"/>
              <w:rPr>
                <w:sz w:val="20"/>
                <w:szCs w:val="20"/>
                <w:color w:val="auto"/>
              </w:rPr>
            </w:pPr>
            <w:r>
              <w:rPr>
                <w:rFonts w:ascii="Arial" w:cs="Arial" w:eastAsia="Arial" w:hAnsi="Arial"/>
                <w:sz w:val="14"/>
                <w:szCs w:val="14"/>
                <w:b w:val="1"/>
                <w:bCs w:val="1"/>
                <w:color w:val="auto"/>
                <w:w w:val="93"/>
              </w:rPr>
              <w:t>(State or Other Jurisdiction of</w:t>
            </w:r>
          </w:p>
        </w:tc>
        <w:tc>
          <w:tcPr>
            <w:tcW w:w="2540" w:type="dxa"/>
            <w:vAlign w:val="bottom"/>
          </w:tcPr>
          <w:p>
            <w:pPr>
              <w:jc w:val="center"/>
              <w:ind w:left="425"/>
              <w:spacing w:after="0"/>
              <w:rPr>
                <w:sz w:val="20"/>
                <w:szCs w:val="20"/>
                <w:color w:val="auto"/>
              </w:rPr>
            </w:pPr>
            <w:r>
              <w:rPr>
                <w:rFonts w:ascii="Arial" w:cs="Arial" w:eastAsia="Arial" w:hAnsi="Arial"/>
                <w:sz w:val="14"/>
                <w:szCs w:val="14"/>
                <w:b w:val="1"/>
                <w:bCs w:val="1"/>
                <w:color w:val="auto"/>
                <w:w w:val="96"/>
              </w:rPr>
              <w:t>(I.R.S. Employer</w:t>
            </w:r>
          </w:p>
        </w:tc>
      </w:tr>
      <w:tr>
        <w:trPr>
          <w:trHeight w:val="186"/>
        </w:trPr>
        <w:tc>
          <w:tcPr>
            <w:tcW w:w="6420" w:type="dxa"/>
            <w:vAlign w:val="bottom"/>
          </w:tcPr>
          <w:p>
            <w:pPr>
              <w:jc w:val="center"/>
              <w:ind w:right="2566"/>
              <w:spacing w:after="0"/>
              <w:rPr>
                <w:sz w:val="20"/>
                <w:szCs w:val="20"/>
                <w:color w:val="auto"/>
              </w:rPr>
            </w:pPr>
            <w:r>
              <w:rPr>
                <w:rFonts w:ascii="Arial" w:cs="Arial" w:eastAsia="Arial" w:hAnsi="Arial"/>
                <w:sz w:val="14"/>
                <w:szCs w:val="14"/>
                <w:b w:val="1"/>
                <w:bCs w:val="1"/>
                <w:color w:val="auto"/>
                <w:w w:val="95"/>
              </w:rPr>
              <w:t>Incorporation or Organization)</w:t>
            </w:r>
          </w:p>
        </w:tc>
        <w:tc>
          <w:tcPr>
            <w:tcW w:w="2540" w:type="dxa"/>
            <w:vAlign w:val="bottom"/>
          </w:tcPr>
          <w:p>
            <w:pPr>
              <w:jc w:val="center"/>
              <w:ind w:left="425"/>
              <w:spacing w:after="0"/>
              <w:rPr>
                <w:sz w:val="20"/>
                <w:szCs w:val="20"/>
                <w:color w:val="auto"/>
              </w:rPr>
            </w:pPr>
            <w:r>
              <w:rPr>
                <w:rFonts w:ascii="Arial" w:cs="Arial" w:eastAsia="Arial" w:hAnsi="Arial"/>
                <w:sz w:val="14"/>
                <w:szCs w:val="14"/>
                <w:b w:val="1"/>
                <w:bCs w:val="1"/>
                <w:color w:val="auto"/>
                <w:w w:val="94"/>
              </w:rPr>
              <w:t>Identification No.)</w:t>
            </w:r>
          </w:p>
        </w:tc>
      </w:tr>
      <w:tr>
        <w:trPr>
          <w:trHeight w:val="219"/>
        </w:trPr>
        <w:tc>
          <w:tcPr>
            <w:tcW w:w="6420" w:type="dxa"/>
            <w:vAlign w:val="bottom"/>
          </w:tcPr>
          <w:p>
            <w:pPr>
              <w:jc w:val="center"/>
              <w:ind w:left="3226"/>
              <w:spacing w:after="0"/>
              <w:rPr>
                <w:sz w:val="20"/>
                <w:szCs w:val="20"/>
                <w:color w:val="auto"/>
              </w:rPr>
            </w:pPr>
            <w:r>
              <w:rPr>
                <w:rFonts w:ascii="Arial" w:cs="Arial" w:eastAsia="Arial" w:hAnsi="Arial"/>
                <w:sz w:val="14"/>
                <w:szCs w:val="14"/>
                <w:b w:val="1"/>
                <w:bCs w:val="1"/>
                <w:color w:val="auto"/>
                <w:w w:val="93"/>
              </w:rPr>
              <w:t>2 Bethesda Metro Center, 14th Floor</w:t>
            </w:r>
          </w:p>
        </w:tc>
        <w:tc>
          <w:tcPr>
            <w:tcW w:w="2540" w:type="dxa"/>
            <w:vAlign w:val="bottom"/>
          </w:tcPr>
          <w:p>
            <w:pPr>
              <w:spacing w:after="0"/>
              <w:rPr>
                <w:sz w:val="19"/>
                <w:szCs w:val="19"/>
                <w:color w:val="auto"/>
              </w:rPr>
            </w:pPr>
          </w:p>
        </w:tc>
      </w:tr>
      <w:tr>
        <w:trPr>
          <w:trHeight w:val="162"/>
        </w:trPr>
        <w:tc>
          <w:tcPr>
            <w:tcW w:w="6420" w:type="dxa"/>
            <w:vAlign w:val="bottom"/>
          </w:tcPr>
          <w:p>
            <w:pPr>
              <w:jc w:val="center"/>
              <w:ind w:left="3226"/>
              <w:spacing w:after="0"/>
              <w:rPr>
                <w:sz w:val="20"/>
                <w:szCs w:val="20"/>
                <w:color w:val="auto"/>
              </w:rPr>
            </w:pPr>
            <w:r>
              <w:rPr>
                <w:rFonts w:ascii="Arial" w:cs="Arial" w:eastAsia="Arial" w:hAnsi="Arial"/>
                <w:sz w:val="14"/>
                <w:szCs w:val="14"/>
                <w:b w:val="1"/>
                <w:bCs w:val="1"/>
                <w:color w:val="auto"/>
                <w:w w:val="93"/>
              </w:rPr>
              <w:t>Bethesda, Maryland 20814</w:t>
            </w:r>
          </w:p>
        </w:tc>
        <w:tc>
          <w:tcPr>
            <w:tcW w:w="2540" w:type="dxa"/>
            <w:vAlign w:val="bottom"/>
          </w:tcPr>
          <w:p>
            <w:pPr>
              <w:spacing w:after="0"/>
              <w:rPr>
                <w:sz w:val="14"/>
                <w:szCs w:val="14"/>
                <w:color w:val="auto"/>
              </w:rPr>
            </w:pPr>
          </w:p>
        </w:tc>
      </w:tr>
      <w:tr>
        <w:trPr>
          <w:trHeight w:val="162"/>
        </w:trPr>
        <w:tc>
          <w:tcPr>
            <w:tcW w:w="6420" w:type="dxa"/>
            <w:vAlign w:val="bottom"/>
          </w:tcPr>
          <w:p>
            <w:pPr>
              <w:jc w:val="center"/>
              <w:ind w:left="3206"/>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2540" w:type="dxa"/>
            <w:vAlign w:val="bottom"/>
          </w:tcPr>
          <w:p>
            <w:pPr>
              <w:spacing w:after="0"/>
              <w:rPr>
                <w:sz w:val="14"/>
                <w:szCs w:val="14"/>
                <w:color w:val="auto"/>
              </w:rPr>
            </w:pPr>
          </w:p>
        </w:tc>
      </w:tr>
      <w:tr>
        <w:trPr>
          <w:trHeight w:val="162"/>
        </w:trPr>
        <w:tc>
          <w:tcPr>
            <w:tcW w:w="6420" w:type="dxa"/>
            <w:vAlign w:val="bottom"/>
          </w:tcPr>
          <w:p>
            <w:pPr>
              <w:jc w:val="center"/>
              <w:ind w:left="3206"/>
              <w:spacing w:after="0"/>
              <w:rPr>
                <w:sz w:val="20"/>
                <w:szCs w:val="20"/>
                <w:color w:val="auto"/>
              </w:rPr>
            </w:pPr>
            <w:r>
              <w:rPr>
                <w:rFonts w:ascii="Arial" w:cs="Arial" w:eastAsia="Arial" w:hAnsi="Arial"/>
                <w:sz w:val="14"/>
                <w:szCs w:val="14"/>
                <w:b w:val="1"/>
                <w:bCs w:val="1"/>
                <w:color w:val="auto"/>
                <w:w w:val="93"/>
              </w:rPr>
              <w:t>(301) 968-9300</w:t>
            </w:r>
          </w:p>
        </w:tc>
        <w:tc>
          <w:tcPr>
            <w:tcW w:w="2540" w:type="dxa"/>
            <w:vAlign w:val="bottom"/>
          </w:tcPr>
          <w:p>
            <w:pPr>
              <w:spacing w:after="0"/>
              <w:rPr>
                <w:sz w:val="14"/>
                <w:szCs w:val="14"/>
                <w:color w:val="auto"/>
              </w:rPr>
            </w:pPr>
          </w:p>
        </w:tc>
      </w:tr>
      <w:tr>
        <w:trPr>
          <w:trHeight w:val="186"/>
        </w:trPr>
        <w:tc>
          <w:tcPr>
            <w:tcW w:w="8960" w:type="dxa"/>
            <w:vAlign w:val="bottom"/>
            <w:gridSpan w:val="2"/>
          </w:tcPr>
          <w:p>
            <w:pPr>
              <w:jc w:val="center"/>
              <w:ind w:left="686"/>
              <w:spacing w:after="0"/>
              <w:rPr>
                <w:sz w:val="20"/>
                <w:szCs w:val="20"/>
                <w:color w:val="auto"/>
              </w:rPr>
            </w:pPr>
            <w:r>
              <w:rPr>
                <w:rFonts w:ascii="Arial" w:cs="Arial" w:eastAsia="Arial" w:hAnsi="Arial"/>
                <w:sz w:val="14"/>
                <w:szCs w:val="14"/>
                <w:b w:val="1"/>
                <w:bCs w:val="1"/>
                <w:color w:val="auto"/>
                <w:w w:val="91"/>
              </w:rPr>
              <w:t>(Registrant's telephone number, including area code)</w:t>
            </w:r>
          </w:p>
        </w:tc>
      </w:tr>
      <w:tr>
        <w:trPr>
          <w:trHeight w:val="172"/>
        </w:trPr>
        <w:tc>
          <w:tcPr>
            <w:tcW w:w="6420" w:type="dxa"/>
            <w:vAlign w:val="bottom"/>
          </w:tcPr>
          <w:p>
            <w:pPr>
              <w:jc w:val="center"/>
              <w:ind w:left="3206"/>
              <w:spacing w:after="0"/>
              <w:rPr>
                <w:sz w:val="20"/>
                <w:szCs w:val="20"/>
                <w:color w:val="auto"/>
              </w:rPr>
            </w:pPr>
            <w:r>
              <w:rPr>
                <w:rFonts w:ascii="Arial" w:cs="Arial" w:eastAsia="Arial" w:hAnsi="Arial"/>
                <w:sz w:val="13"/>
                <w:szCs w:val="13"/>
                <w:b w:val="1"/>
                <w:bCs w:val="1"/>
                <w:color w:val="auto"/>
                <w:w w:val="86"/>
              </w:rPr>
              <w:t>Securities registered pursuant to section 12(b) of the Act:</w:t>
            </w:r>
          </w:p>
        </w:tc>
        <w:tc>
          <w:tcPr>
            <w:tcW w:w="2540" w:type="dxa"/>
            <w:vAlign w:val="bottom"/>
          </w:tcPr>
          <w:p>
            <w:pPr>
              <w:spacing w:after="0"/>
              <w:rPr>
                <w:sz w:val="14"/>
                <w:szCs w:val="14"/>
                <w:color w:val="auto"/>
              </w:rPr>
            </w:pPr>
          </w:p>
        </w:tc>
      </w:tr>
      <w:tr>
        <w:trPr>
          <w:trHeight w:val="295"/>
        </w:trPr>
        <w:tc>
          <w:tcPr>
            <w:tcW w:w="6420" w:type="dxa"/>
            <w:vAlign w:val="bottom"/>
          </w:tcPr>
          <w:p>
            <w:pPr>
              <w:spacing w:after="0"/>
              <w:rPr>
                <w:sz w:val="24"/>
                <w:szCs w:val="24"/>
                <w:color w:val="auto"/>
              </w:rPr>
            </w:pPr>
          </w:p>
        </w:tc>
        <w:tc>
          <w:tcPr>
            <w:tcW w:w="2540" w:type="dxa"/>
            <w:vAlign w:val="bottom"/>
          </w:tcPr>
          <w:p>
            <w:pPr>
              <w:jc w:val="center"/>
              <w:spacing w:after="0"/>
              <w:rPr>
                <w:sz w:val="20"/>
                <w:szCs w:val="20"/>
                <w:color w:val="auto"/>
              </w:rPr>
            </w:pPr>
            <w:r>
              <w:rPr>
                <w:rFonts w:ascii="Arial" w:cs="Arial" w:eastAsia="Arial" w:hAnsi="Arial"/>
                <w:sz w:val="13"/>
                <w:szCs w:val="13"/>
                <w:b w:val="1"/>
                <w:bCs w:val="1"/>
                <w:color w:val="auto"/>
                <w:w w:val="85"/>
              </w:rPr>
              <w:t>Name of each exchange</w:t>
            </w:r>
          </w:p>
        </w:tc>
      </w:tr>
      <w:tr>
        <w:trPr>
          <w:trHeight w:val="178"/>
        </w:trPr>
        <w:tc>
          <w:tcPr>
            <w:tcW w:w="6420" w:type="dxa"/>
            <w:vAlign w:val="bottom"/>
          </w:tcPr>
          <w:p>
            <w:pPr>
              <w:jc w:val="center"/>
              <w:ind w:right="2326"/>
              <w:spacing w:after="0"/>
              <w:rPr>
                <w:sz w:val="20"/>
                <w:szCs w:val="20"/>
                <w:color w:val="auto"/>
              </w:rPr>
            </w:pPr>
            <w:r>
              <w:rPr>
                <w:rFonts w:ascii="Arial" w:cs="Arial" w:eastAsia="Arial" w:hAnsi="Arial"/>
                <w:sz w:val="13"/>
                <w:szCs w:val="13"/>
                <w:b w:val="1"/>
                <w:bCs w:val="1"/>
                <w:color w:val="auto"/>
                <w:w w:val="83"/>
              </w:rPr>
              <w:t>Title of each class</w:t>
            </w:r>
          </w:p>
        </w:tc>
        <w:tc>
          <w:tcPr>
            <w:tcW w:w="2540" w:type="dxa"/>
            <w:vAlign w:val="bottom"/>
          </w:tcPr>
          <w:p>
            <w:pPr>
              <w:jc w:val="center"/>
              <w:spacing w:after="0"/>
              <w:rPr>
                <w:sz w:val="20"/>
                <w:szCs w:val="20"/>
                <w:color w:val="auto"/>
              </w:rPr>
            </w:pPr>
            <w:r>
              <w:rPr>
                <w:rFonts w:ascii="Arial" w:cs="Arial" w:eastAsia="Arial" w:hAnsi="Arial"/>
                <w:sz w:val="13"/>
                <w:szCs w:val="13"/>
                <w:b w:val="1"/>
                <w:bCs w:val="1"/>
                <w:color w:val="auto"/>
                <w:w w:val="86"/>
              </w:rPr>
              <w:t>on which registered</w:t>
            </w:r>
          </w:p>
        </w:tc>
      </w:tr>
      <w:tr>
        <w:trPr>
          <w:trHeight w:val="240"/>
        </w:trPr>
        <w:tc>
          <w:tcPr>
            <w:tcW w:w="6420" w:type="dxa"/>
            <w:vAlign w:val="bottom"/>
          </w:tcPr>
          <w:p>
            <w:pPr>
              <w:jc w:val="center"/>
              <w:ind w:right="2326"/>
              <w:spacing w:after="0"/>
              <w:rPr>
                <w:sz w:val="20"/>
                <w:szCs w:val="20"/>
                <w:color w:val="auto"/>
              </w:rPr>
            </w:pPr>
            <w:r>
              <w:rPr>
                <w:rFonts w:ascii="Arial" w:cs="Arial" w:eastAsia="Arial" w:hAnsi="Arial"/>
                <w:sz w:val="16"/>
                <w:szCs w:val="16"/>
                <w:b w:val="1"/>
                <w:bCs w:val="1"/>
                <w:color w:val="auto"/>
                <w:w w:val="91"/>
              </w:rPr>
              <w:t>Common Stock, $0.01 par value per share</w:t>
            </w:r>
          </w:p>
        </w:tc>
        <w:tc>
          <w:tcPr>
            <w:tcW w:w="2540" w:type="dxa"/>
            <w:vAlign w:val="bottom"/>
          </w:tcPr>
          <w:p>
            <w:pPr>
              <w:jc w:val="center"/>
              <w:spacing w:after="0"/>
              <w:rPr>
                <w:sz w:val="20"/>
                <w:szCs w:val="20"/>
                <w:color w:val="auto"/>
              </w:rPr>
            </w:pPr>
            <w:r>
              <w:rPr>
                <w:rFonts w:ascii="Arial" w:cs="Arial" w:eastAsia="Arial" w:hAnsi="Arial"/>
                <w:sz w:val="16"/>
                <w:szCs w:val="16"/>
                <w:b w:val="1"/>
                <w:bCs w:val="1"/>
                <w:color w:val="auto"/>
                <w:w w:val="94"/>
              </w:rPr>
              <w:t>The NASDAQ Global Select Market</w:t>
            </w:r>
          </w:p>
        </w:tc>
      </w:tr>
      <w:tr>
        <w:trPr>
          <w:trHeight w:val="257"/>
        </w:trPr>
        <w:tc>
          <w:tcPr>
            <w:tcW w:w="6420" w:type="dxa"/>
            <w:vAlign w:val="bottom"/>
          </w:tcPr>
          <w:p>
            <w:pPr>
              <w:jc w:val="center"/>
              <w:ind w:right="2326"/>
              <w:spacing w:after="0"/>
              <w:rPr>
                <w:sz w:val="20"/>
                <w:szCs w:val="20"/>
                <w:color w:val="auto"/>
              </w:rPr>
            </w:pPr>
            <w:r>
              <w:rPr>
                <w:rFonts w:ascii="Arial" w:cs="Arial" w:eastAsia="Arial" w:hAnsi="Arial"/>
                <w:sz w:val="16"/>
                <w:szCs w:val="16"/>
                <w:b w:val="1"/>
                <w:bCs w:val="1"/>
                <w:color w:val="auto"/>
                <w:w w:val="92"/>
              </w:rPr>
              <w:t>8.000% Series A Cumulative Redeemable Preferred Stock</w:t>
            </w:r>
          </w:p>
        </w:tc>
        <w:tc>
          <w:tcPr>
            <w:tcW w:w="2540" w:type="dxa"/>
            <w:vAlign w:val="bottom"/>
          </w:tcPr>
          <w:p>
            <w:pPr>
              <w:jc w:val="center"/>
              <w:spacing w:after="0"/>
              <w:rPr>
                <w:sz w:val="20"/>
                <w:szCs w:val="20"/>
                <w:color w:val="auto"/>
              </w:rPr>
            </w:pPr>
            <w:r>
              <w:rPr>
                <w:rFonts w:ascii="Arial" w:cs="Arial" w:eastAsia="Arial" w:hAnsi="Arial"/>
                <w:sz w:val="16"/>
                <w:szCs w:val="16"/>
                <w:b w:val="1"/>
                <w:bCs w:val="1"/>
                <w:color w:val="auto"/>
                <w:w w:val="94"/>
              </w:rPr>
              <w:t>The NASDAQ Global Select Market</w:t>
            </w:r>
          </w:p>
        </w:tc>
      </w:tr>
      <w:tr>
        <w:trPr>
          <w:trHeight w:val="257"/>
        </w:trPr>
        <w:tc>
          <w:tcPr>
            <w:tcW w:w="6420" w:type="dxa"/>
            <w:vAlign w:val="bottom"/>
          </w:tcPr>
          <w:p>
            <w:pPr>
              <w:jc w:val="center"/>
              <w:ind w:right="2346"/>
              <w:spacing w:after="0"/>
              <w:rPr>
                <w:sz w:val="20"/>
                <w:szCs w:val="20"/>
                <w:color w:val="auto"/>
              </w:rPr>
            </w:pPr>
            <w:r>
              <w:rPr>
                <w:rFonts w:ascii="Arial" w:cs="Arial" w:eastAsia="Arial" w:hAnsi="Arial"/>
                <w:sz w:val="16"/>
                <w:szCs w:val="16"/>
                <w:b w:val="1"/>
                <w:bCs w:val="1"/>
                <w:color w:val="auto"/>
                <w:w w:val="91"/>
              </w:rPr>
              <w:t>7.750% Series B Cumulative Redeemable Preferred Stock</w:t>
            </w:r>
          </w:p>
        </w:tc>
        <w:tc>
          <w:tcPr>
            <w:tcW w:w="2540" w:type="dxa"/>
            <w:vAlign w:val="bottom"/>
          </w:tcPr>
          <w:p>
            <w:pPr>
              <w:jc w:val="center"/>
              <w:spacing w:after="0"/>
              <w:rPr>
                <w:sz w:val="20"/>
                <w:szCs w:val="20"/>
                <w:color w:val="auto"/>
              </w:rPr>
            </w:pPr>
            <w:r>
              <w:rPr>
                <w:rFonts w:ascii="Arial" w:cs="Arial" w:eastAsia="Arial" w:hAnsi="Arial"/>
                <w:sz w:val="16"/>
                <w:szCs w:val="16"/>
                <w:b w:val="1"/>
                <w:bCs w:val="1"/>
                <w:color w:val="auto"/>
                <w:w w:val="94"/>
              </w:rPr>
              <w:t>The NASDAQ Global Select Market</w:t>
            </w:r>
          </w:p>
        </w:tc>
      </w:tr>
    </w:tbl>
    <w:p>
      <w:pPr>
        <w:spacing w:after="0" w:line="69"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Securities registered pursuant to section 12(g) of the Act: NONE</w:t>
      </w:r>
    </w:p>
    <w:p>
      <w:pPr>
        <w:spacing w:after="0" w:line="5" w:lineRule="exact"/>
        <w:rPr>
          <w:sz w:val="24"/>
          <w:szCs w:val="24"/>
          <w:color w:val="auto"/>
        </w:rPr>
      </w:pPr>
    </w:p>
    <w:p>
      <w:pPr>
        <w:ind w:right="3720"/>
        <w:spacing w:after="0" w:line="165" w:lineRule="exact"/>
        <w:rPr>
          <w:sz w:val="20"/>
          <w:szCs w:val="20"/>
          <w:color w:val="auto"/>
        </w:rPr>
      </w:pPr>
      <w:r>
        <w:rPr>
          <w:rFonts w:ascii="Arial" w:cs="Arial" w:eastAsia="Arial" w:hAnsi="Arial"/>
          <w:sz w:val="13"/>
          <w:szCs w:val="13"/>
          <w:color w:val="auto"/>
        </w:rPr>
        <w:t xml:space="preserve">Indicate by check mark if the registrant is a well-known seasoned issuer, as defined in Rule 405 of the Securities Act.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r>
        <w:rPr>
          <w:rFonts w:ascii="Arial" w:cs="Arial" w:eastAsia="Arial" w:hAnsi="Arial"/>
          <w:sz w:val="13"/>
          <w:szCs w:val="13"/>
          <w:color w:val="auto"/>
        </w:rPr>
        <w:t xml:space="preserve"> Indicate by check mark if the registrant is not required to file reports pursuant to Section 13 or 15(d) of the Act.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p>
    <w:p>
      <w:pPr>
        <w:spacing w:after="0" w:line="1" w:lineRule="exact"/>
        <w:rPr>
          <w:sz w:val="24"/>
          <w:szCs w:val="24"/>
          <w:color w:val="auto"/>
        </w:rPr>
      </w:pPr>
    </w:p>
    <w:p>
      <w:pPr>
        <w:ind w:right="160"/>
        <w:spacing w:after="0" w:line="162" w:lineRule="exact"/>
        <w:rPr>
          <w:sz w:val="20"/>
          <w:szCs w:val="20"/>
          <w:color w:val="auto"/>
        </w:rPr>
      </w:pPr>
      <w:r>
        <w:rPr>
          <w:rFonts w:ascii="Arial" w:cs="Arial" w:eastAsia="Arial" w:hAnsi="Arial"/>
          <w:sz w:val="14"/>
          <w:szCs w:val="14"/>
          <w:color w:val="auto"/>
        </w:rPr>
        <w:t xml:space="preserve">Indicate by check mark whether the registrant (1) has filed all reports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1" w:lineRule="exact"/>
        <w:rPr>
          <w:sz w:val="24"/>
          <w:szCs w:val="24"/>
          <w:color w:val="auto"/>
        </w:rPr>
      </w:pPr>
    </w:p>
    <w:p>
      <w:pPr>
        <w:jc w:val="both"/>
        <w:ind w:firstLine="324"/>
        <w:spacing w:after="0" w:line="162" w:lineRule="exact"/>
        <w:rPr>
          <w:sz w:val="20"/>
          <w:szCs w:val="20"/>
          <w:color w:val="auto"/>
        </w:rPr>
      </w:pPr>
      <w:r>
        <w:rPr>
          <w:rFonts w:ascii="Arial" w:cs="Arial" w:eastAsia="Arial" w:hAnsi="Arial"/>
          <w:sz w:val="14"/>
          <w:szCs w:val="14"/>
          <w:color w:val="auto"/>
        </w:rPr>
        <w:t xml:space="preserve">Indicate by check mark whether the registrant has submitted electronically and posted on its corporate Website, if any, every Interactive Data File required to be submitted and posted pursuant to Rule 405 of Regulation S-T during the preceding 12 months (or for such shorter period that the registrant was required to submit and post such files).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1" w:lineRule="exact"/>
        <w:rPr>
          <w:sz w:val="24"/>
          <w:szCs w:val="24"/>
          <w:color w:val="auto"/>
        </w:rPr>
      </w:pPr>
    </w:p>
    <w:p>
      <w:pPr>
        <w:jc w:val="both"/>
        <w:ind w:firstLine="324"/>
        <w:spacing w:after="0" w:line="162" w:lineRule="exact"/>
        <w:rPr>
          <w:sz w:val="20"/>
          <w:szCs w:val="20"/>
          <w:color w:val="auto"/>
        </w:rPr>
      </w:pPr>
      <w:r>
        <w:rPr>
          <w:rFonts w:ascii="Arial" w:cs="Arial" w:eastAsia="Arial" w:hAnsi="Arial"/>
          <w:sz w:val="14"/>
          <w:szCs w:val="14"/>
          <w:color w:val="auto"/>
        </w:rPr>
        <w:t xml:space="preserve">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any amendment to this Form 10-K. </w:t>
      </w:r>
      <w:r>
        <w:rPr>
          <w:rFonts w:ascii="MS PGothic" w:cs="MS PGothic" w:eastAsia="MS PGothic" w:hAnsi="MS PGothic"/>
          <w:sz w:val="14"/>
          <w:szCs w:val="14"/>
          <w:color w:val="auto"/>
        </w:rPr>
        <w:t>☐</w:t>
      </w:r>
    </w:p>
    <w:p>
      <w:pPr>
        <w:spacing w:after="0" w:line="1" w:lineRule="exact"/>
        <w:rPr>
          <w:sz w:val="24"/>
          <w:szCs w:val="24"/>
          <w:color w:val="auto"/>
        </w:rPr>
      </w:pPr>
    </w:p>
    <w:p>
      <w:pPr>
        <w:jc w:val="both"/>
        <w:ind w:firstLine="324"/>
        <w:spacing w:after="0" w:line="237"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or a smaller reporting company. See the definition of "large accelerated filer," "accelerated filer" and "smaller reporting company" in Rule 12b-2 of the Exchange Act.</w:t>
      </w:r>
    </w:p>
    <w:p>
      <w:pPr>
        <w:spacing w:after="0" w:line="1" w:lineRule="exact"/>
        <w:rPr>
          <w:sz w:val="24"/>
          <w:szCs w:val="24"/>
          <w:color w:val="auto"/>
        </w:rPr>
      </w:pPr>
    </w:p>
    <w:p>
      <w:pPr>
        <w:ind w:left="660"/>
        <w:spacing w:after="0" w:line="161" w:lineRule="exact"/>
        <w:tabs>
          <w:tab w:leader="none" w:pos="2100" w:val="left"/>
          <w:tab w:leader="none" w:pos="2960" w:val="left"/>
          <w:tab w:leader="none" w:pos="4060" w:val="left"/>
        </w:tabs>
        <w:rPr>
          <w:sz w:val="20"/>
          <w:szCs w:val="20"/>
          <w:color w:val="auto"/>
        </w:rPr>
      </w:pPr>
      <w:r>
        <w:rPr>
          <w:rFonts w:ascii="Arial" w:cs="Arial" w:eastAsia="Arial" w:hAnsi="Arial"/>
          <w:sz w:val="14"/>
          <w:szCs w:val="14"/>
          <w:color w:val="auto"/>
        </w:rPr>
        <w:t>Large accelerated filer</w:t>
      </w:r>
      <w:r>
        <w:rPr>
          <w:sz w:val="20"/>
          <w:szCs w:val="20"/>
          <w:color w:val="auto"/>
        </w:rPr>
        <w:tab/>
      </w:r>
      <w:r>
        <w:rPr>
          <w:rFonts w:ascii="MS PGothic" w:cs="MS PGothic" w:eastAsia="MS PGothic" w:hAnsi="MS PGothic"/>
          <w:sz w:val="14"/>
          <w:szCs w:val="14"/>
          <w:color w:val="auto"/>
        </w:rPr>
        <w:t>☒</w:t>
      </w:r>
      <w:r>
        <w:rPr>
          <w:sz w:val="20"/>
          <w:szCs w:val="20"/>
          <w:color w:val="auto"/>
        </w:rPr>
        <w:tab/>
      </w:r>
      <w:r>
        <w:rPr>
          <w:rFonts w:ascii="Arial" w:cs="Arial" w:eastAsia="Arial" w:hAnsi="Arial"/>
          <w:sz w:val="14"/>
          <w:szCs w:val="14"/>
          <w:color w:val="auto"/>
        </w:rPr>
        <w:t>Accelerated filer</w:t>
      </w:r>
      <w:r>
        <w:rPr>
          <w:sz w:val="20"/>
          <w:szCs w:val="20"/>
          <w:color w:val="auto"/>
        </w:rPr>
        <w:tab/>
      </w:r>
      <w:r>
        <w:rPr>
          <w:rFonts w:ascii="MS PGothic" w:cs="MS PGothic" w:eastAsia="MS PGothic" w:hAnsi="MS PGothic"/>
          <w:sz w:val="14"/>
          <w:szCs w:val="14"/>
          <w:color w:val="auto"/>
        </w:rPr>
        <w:t>☐</w:t>
      </w:r>
    </w:p>
    <w:p>
      <w:pPr>
        <w:spacing w:after="0" w:line="1" w:lineRule="exact"/>
        <w:rPr>
          <w:sz w:val="24"/>
          <w:szCs w:val="24"/>
          <w:color w:val="auto"/>
        </w:rPr>
      </w:pPr>
    </w:p>
    <w:p>
      <w:pPr>
        <w:ind w:left="520"/>
        <w:spacing w:after="0" w:line="161" w:lineRule="exact"/>
        <w:tabs>
          <w:tab w:leader="none" w:pos="4800" w:val="left"/>
          <w:tab w:leader="none" w:pos="6600" w:val="left"/>
        </w:tabs>
        <w:rPr>
          <w:sz w:val="20"/>
          <w:szCs w:val="20"/>
          <w:color w:val="auto"/>
        </w:rPr>
      </w:pPr>
      <w:r>
        <w:rPr>
          <w:rFonts w:ascii="Arial" w:cs="Arial" w:eastAsia="Arial" w:hAnsi="Arial"/>
          <w:sz w:val="14"/>
          <w:szCs w:val="14"/>
          <w:color w:val="auto"/>
        </w:rPr>
        <w:t xml:space="preserve">Non-accelerated filer  </w:t>
      </w:r>
      <w:r>
        <w:rPr>
          <w:rFonts w:ascii="MS PGothic" w:cs="MS PGothic" w:eastAsia="MS PGothic" w:hAnsi="MS PGothic"/>
          <w:sz w:val="14"/>
          <w:szCs w:val="14"/>
          <w:color w:val="auto"/>
        </w:rPr>
        <w:t>☐</w:t>
      </w:r>
      <w:r>
        <w:rPr>
          <w:rFonts w:ascii="Arial" w:cs="Arial" w:eastAsia="Arial" w:hAnsi="Arial"/>
          <w:sz w:val="14"/>
          <w:szCs w:val="14"/>
          <w:color w:val="auto"/>
        </w:rPr>
        <w:t xml:space="preserve"> (Do not check if a smaller reporting company)</w:t>
        <w:tab/>
        <w:t>Smaller Reporting Company</w:t>
      </w:r>
      <w:r>
        <w:rPr>
          <w:sz w:val="20"/>
          <w:szCs w:val="20"/>
          <w:color w:val="auto"/>
        </w:rPr>
        <w:tab/>
      </w:r>
      <w:r>
        <w:rPr>
          <w:rFonts w:ascii="MS PGothic" w:cs="MS PGothic" w:eastAsia="MS PGothic" w:hAnsi="MS PGothic"/>
          <w:sz w:val="14"/>
          <w:szCs w:val="14"/>
          <w:color w:val="auto"/>
        </w:rPr>
        <w:t>☐</w:t>
      </w:r>
    </w:p>
    <w:p>
      <w:pPr>
        <w:spacing w:after="0" w:line="1" w:lineRule="exact"/>
        <w:rPr>
          <w:sz w:val="24"/>
          <w:szCs w:val="24"/>
          <w:color w:val="auto"/>
        </w:rPr>
      </w:pPr>
    </w:p>
    <w:p>
      <w:pPr>
        <w:ind w:left="340"/>
        <w:spacing w:after="0" w:line="161" w:lineRule="exact"/>
        <w:rPr>
          <w:sz w:val="20"/>
          <w:szCs w:val="20"/>
          <w:color w:val="auto"/>
        </w:rPr>
      </w:pPr>
      <w:r>
        <w:rPr>
          <w:rFonts w:ascii="Arial" w:cs="Arial" w:eastAsia="Arial" w:hAnsi="Arial"/>
          <w:sz w:val="14"/>
          <w:szCs w:val="14"/>
          <w:color w:val="auto"/>
        </w:rPr>
        <w:t xml:space="preserve">Indicate by check mark whether the registrant is a shell company (as defined in Rule 12b-2 of the Exchange Act).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6" w:lineRule="exact"/>
        <w:rPr>
          <w:sz w:val="24"/>
          <w:szCs w:val="24"/>
          <w:color w:val="auto"/>
        </w:rPr>
      </w:pPr>
    </w:p>
    <w:p>
      <w:pPr>
        <w:jc w:val="both"/>
        <w:ind w:firstLine="324"/>
        <w:spacing w:after="0" w:line="244" w:lineRule="auto"/>
        <w:rPr>
          <w:sz w:val="20"/>
          <w:szCs w:val="20"/>
          <w:color w:val="auto"/>
        </w:rPr>
      </w:pPr>
      <w:r>
        <w:rPr>
          <w:rFonts w:ascii="Arial" w:cs="Arial" w:eastAsia="Arial" w:hAnsi="Arial"/>
          <w:sz w:val="14"/>
          <w:szCs w:val="14"/>
          <w:color w:val="auto"/>
        </w:rPr>
        <w:t>As of June 30, 2015, the aggregate market value of the Registrant's common stock held by non-affiliates of the Registrant was approximately $5.9 billion based upon the closing price of the Registrant's common stock of $18.37 per share as reported on The NASDAQ Global Select Market on that date. (For this computation, the Registrant has excluded the market value of all shares of its common stock reported as beneficially owned by executive officers and directors of the Registrant and certain other stockholders; such an exclusion shall not be deemed to constitute an admission that any such person is an "affiliate" of the Registrant.)</w:t>
      </w:r>
    </w:p>
    <w:p>
      <w:pPr>
        <w:spacing w:after="0" w:line="2" w:lineRule="exact"/>
        <w:rPr>
          <w:sz w:val="24"/>
          <w:szCs w:val="24"/>
          <w:color w:val="auto"/>
        </w:rPr>
      </w:pPr>
    </w:p>
    <w:p>
      <w:pPr>
        <w:ind w:left="340"/>
        <w:spacing w:after="0"/>
        <w:rPr>
          <w:sz w:val="20"/>
          <w:szCs w:val="20"/>
          <w:color w:val="auto"/>
        </w:rPr>
      </w:pPr>
      <w:r>
        <w:rPr>
          <w:rFonts w:ascii="Arial" w:cs="Arial" w:eastAsia="Arial" w:hAnsi="Arial"/>
          <w:sz w:val="14"/>
          <w:szCs w:val="14"/>
          <w:color w:val="auto"/>
        </w:rPr>
        <w:t>The number of shares of the issuer's common stock, $0.01 par value, outstanding as of January 31, 2016 was 337,466,421</w:t>
      </w:r>
      <w:r>
        <w:rPr>
          <w:rFonts w:ascii="Arial" w:cs="Arial" w:eastAsia="Arial" w:hAnsi="Arial"/>
          <w:sz w:val="18"/>
          <w:szCs w:val="18"/>
          <w:color w:val="auto"/>
        </w:rPr>
        <w:t>.</w:t>
      </w:r>
    </w:p>
    <w:p>
      <w:pPr>
        <w:spacing w:after="0" w:line="8" w:lineRule="exact"/>
        <w:rPr>
          <w:sz w:val="24"/>
          <w:szCs w:val="24"/>
          <w:color w:val="auto"/>
        </w:rPr>
      </w:pPr>
    </w:p>
    <w:p>
      <w:pPr>
        <w:jc w:val="both"/>
        <w:ind w:firstLine="324"/>
        <w:spacing w:after="0" w:line="246" w:lineRule="auto"/>
        <w:rPr>
          <w:sz w:val="20"/>
          <w:szCs w:val="20"/>
          <w:color w:val="auto"/>
        </w:rPr>
      </w:pPr>
      <w:r>
        <w:rPr>
          <w:rFonts w:ascii="Arial" w:cs="Arial" w:eastAsia="Arial" w:hAnsi="Arial"/>
          <w:sz w:val="14"/>
          <w:szCs w:val="14"/>
          <w:color w:val="auto"/>
        </w:rPr>
        <w:t>DOCUMENTS INCORPORATED BY REFERENCE. The Registrant's definitive proxy statement for the 2016 Annual Meeting of Stockholders is incorporated by reference into certain sections of Part III herein.</w:t>
      </w:r>
    </w:p>
    <w:p>
      <w:pPr>
        <w:spacing w:after="0" w:line="1" w:lineRule="exact"/>
        <w:rPr>
          <w:sz w:val="24"/>
          <w:szCs w:val="24"/>
          <w:color w:val="auto"/>
        </w:rPr>
      </w:pPr>
    </w:p>
    <w:p>
      <w:pPr>
        <w:ind w:left="340"/>
        <w:spacing w:after="0"/>
        <w:rPr>
          <w:sz w:val="20"/>
          <w:szCs w:val="20"/>
          <w:color w:val="auto"/>
        </w:rPr>
      </w:pPr>
      <w:r>
        <w:rPr>
          <w:rFonts w:ascii="Arial" w:cs="Arial" w:eastAsia="Arial" w:hAnsi="Arial"/>
          <w:sz w:val="14"/>
          <w:szCs w:val="14"/>
          <w:color w:val="auto"/>
        </w:rPr>
        <w:t>Certain exhibits previously filed with the Securities and Exchange Commission are incorporated by reference into Part IV of this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82550</wp:posOffset>
            </wp:positionH>
            <wp:positionV relativeFrom="paragraph">
              <wp:posOffset>176530</wp:posOffset>
            </wp:positionV>
            <wp:extent cx="71005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00570" cy="8890"/>
                    </a:xfrm>
                    <a:prstGeom prst="rect">
                      <a:avLst/>
                    </a:prstGeom>
                    <a:noFill/>
                  </pic:spPr>
                </pic:pic>
              </a:graphicData>
            </a:graphic>
          </wp:anchor>
        </w:drawing>
        <w:drawing>
          <wp:anchor simplePos="0" relativeHeight="251657728" behindDoc="1" locked="0" layoutInCell="0" allowOverlap="1">
            <wp:simplePos x="0" y="0"/>
            <wp:positionH relativeFrom="column">
              <wp:posOffset>82550</wp:posOffset>
            </wp:positionH>
            <wp:positionV relativeFrom="paragraph">
              <wp:posOffset>90805</wp:posOffset>
            </wp:positionV>
            <wp:extent cx="71005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00570" cy="8890"/>
                    </a:xfrm>
                    <a:prstGeom prst="rect">
                      <a:avLst/>
                    </a:prstGeom>
                    <a:noFill/>
                  </pic:spPr>
                </pic:pic>
              </a:graphicData>
            </a:graphic>
          </wp:anchor>
        </w:drawing>
      </w:r>
    </w:p>
    <w:p>
      <w:pPr>
        <w:sectPr>
          <w:pgSz w:w="11900" w:h="16838" w:orient="portrait"/>
          <w:cols w:equalWidth="0" w:num="1">
            <w:col w:w="11420"/>
          </w:cols>
          <w:pgMar w:left="240" w:top="498" w:right="23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34"/>
        </w:trPr>
        <w:tc>
          <w:tcPr>
            <w:tcW w:w="4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560" w:type="dxa"/>
            <w:vAlign w:val="bottom"/>
            <w:gridSpan w:val="8"/>
          </w:tcPr>
          <w:p>
            <w:pPr>
              <w:jc w:val="center"/>
              <w:ind w:right="3300"/>
              <w:spacing w:after="0"/>
              <w:rPr>
                <w:sz w:val="20"/>
                <w:szCs w:val="20"/>
                <w:color w:val="auto"/>
              </w:rPr>
            </w:pPr>
            <w:r>
              <w:rPr>
                <w:rFonts w:ascii="Arial" w:cs="Arial" w:eastAsia="Arial" w:hAnsi="Arial"/>
                <w:sz w:val="18"/>
                <w:szCs w:val="18"/>
                <w:b w:val="1"/>
                <w:bCs w:val="1"/>
                <w:color w:val="auto"/>
              </w:rPr>
              <w:t>AMERICAN CAPITAL AGENCY CORP.</w:t>
            </w:r>
          </w:p>
        </w:tc>
        <w:tc>
          <w:tcPr>
            <w:tcW w:w="12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297"/>
        </w:trPr>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560" w:type="dxa"/>
            <w:vAlign w:val="bottom"/>
            <w:gridSpan w:val="8"/>
          </w:tcPr>
          <w:p>
            <w:pPr>
              <w:jc w:val="center"/>
              <w:ind w:right="3280"/>
              <w:spacing w:after="0"/>
              <w:rPr>
                <w:sz w:val="20"/>
                <w:szCs w:val="20"/>
                <w:color w:val="auto"/>
              </w:rPr>
            </w:pPr>
            <w:r>
              <w:rPr>
                <w:rFonts w:ascii="Arial" w:cs="Arial" w:eastAsia="Arial" w:hAnsi="Arial"/>
                <w:sz w:val="18"/>
                <w:szCs w:val="18"/>
                <w:b w:val="1"/>
                <w:bCs w:val="1"/>
                <w:color w:val="auto"/>
                <w:w w:val="98"/>
              </w:rPr>
              <w:t>TABLE OF CONTENTS</w:t>
            </w: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513"/>
        </w:trPr>
        <w:tc>
          <w:tcPr>
            <w:tcW w:w="560" w:type="dxa"/>
            <w:vAlign w:val="bottom"/>
            <w:tcBorders>
              <w:bottom w:val="single" w:sz="8" w:color="0000EE"/>
            </w:tcBorders>
            <w:gridSpan w:val="3"/>
          </w:tcPr>
          <w:p>
            <w:pPr>
              <w:spacing w:after="0"/>
              <w:rPr>
                <w:sz w:val="20"/>
                <w:szCs w:val="20"/>
                <w:color w:val="auto"/>
              </w:rPr>
            </w:pPr>
            <w:r>
              <w:rPr>
                <w:rFonts w:ascii="Arial" w:cs="Arial" w:eastAsia="Arial" w:hAnsi="Arial"/>
                <w:sz w:val="16"/>
                <w:szCs w:val="16"/>
                <w:b w:val="1"/>
                <w:bCs w:val="1"/>
                <w:color w:val="0000EE"/>
                <w:w w:val="91"/>
              </w:rPr>
              <w:t>PART I.</w:t>
            </w:r>
          </w:p>
        </w:tc>
        <w:tc>
          <w:tcPr>
            <w:tcW w:w="480" w:type="dxa"/>
            <w:vAlign w:val="bottom"/>
            <w:gridSpan w:val="4"/>
          </w:tcPr>
          <w:p>
            <w:pPr>
              <w:spacing w:after="0"/>
              <w:rPr>
                <w:sz w:val="24"/>
                <w:szCs w:val="24"/>
                <w:color w:val="auto"/>
              </w:rPr>
            </w:pPr>
          </w:p>
        </w:tc>
        <w:tc>
          <w:tcPr>
            <w:tcW w:w="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50"/>
        </w:trPr>
        <w:tc>
          <w:tcPr>
            <w:tcW w:w="460" w:type="dxa"/>
            <w:vAlign w:val="bottom"/>
            <w:tcBorders>
              <w:bottom w:val="single" w:sz="8" w:color="0000EE"/>
            </w:tcBorders>
          </w:tcPr>
          <w:p>
            <w:pPr>
              <w:spacing w:after="0"/>
              <w:rPr>
                <w:sz w:val="20"/>
                <w:szCs w:val="20"/>
                <w:color w:val="auto"/>
              </w:rPr>
            </w:pPr>
            <w:r>
              <w:rPr>
                <w:rFonts w:ascii="Arial" w:cs="Arial" w:eastAsia="Arial" w:hAnsi="Arial"/>
                <w:sz w:val="16"/>
                <w:szCs w:val="16"/>
                <w:color w:val="0000EE"/>
                <w:w w:val="85"/>
              </w:rPr>
              <w:t>Item 1.</w:t>
            </w:r>
          </w:p>
        </w:tc>
        <w:tc>
          <w:tcPr>
            <w:tcW w:w="580" w:type="dxa"/>
            <w:vAlign w:val="bottom"/>
            <w:gridSpan w:val="6"/>
          </w:tcPr>
          <w:p>
            <w:pPr>
              <w:spacing w:after="0"/>
              <w:rPr>
                <w:sz w:val="21"/>
                <w:szCs w:val="21"/>
                <w:color w:val="auto"/>
              </w:rPr>
            </w:pPr>
          </w:p>
        </w:tc>
        <w:tc>
          <w:tcPr>
            <w:tcW w:w="580" w:type="dxa"/>
            <w:vAlign w:val="bottom"/>
            <w:tcBorders>
              <w:bottom w:val="single" w:sz="8" w:color="0000EE"/>
            </w:tcBorders>
          </w:tcPr>
          <w:p>
            <w:pPr>
              <w:spacing w:after="0"/>
              <w:rPr>
                <w:sz w:val="20"/>
                <w:szCs w:val="20"/>
                <w:color w:val="auto"/>
              </w:rPr>
            </w:pPr>
            <w:r>
              <w:rPr>
                <w:rFonts w:ascii="Arial" w:cs="Arial" w:eastAsia="Arial" w:hAnsi="Arial"/>
                <w:sz w:val="16"/>
                <w:szCs w:val="16"/>
                <w:color w:val="0000EE"/>
                <w:w w:val="86"/>
              </w:rPr>
              <w:t>Business</w:t>
            </w:r>
          </w:p>
        </w:tc>
        <w:tc>
          <w:tcPr>
            <w:tcW w:w="8980" w:type="dxa"/>
            <w:vAlign w:val="bottom"/>
            <w:gridSpan w:val="17"/>
          </w:tcPr>
          <w:p>
            <w:pPr>
              <w:spacing w:after="0"/>
              <w:rPr>
                <w:sz w:val="21"/>
                <w:szCs w:val="21"/>
                <w:color w:val="auto"/>
              </w:rPr>
            </w:pPr>
          </w:p>
        </w:tc>
        <w:tc>
          <w:tcPr>
            <w:tcW w:w="120" w:type="dxa"/>
            <w:vAlign w:val="bottom"/>
            <w:tcBorders>
              <w:bottom w:val="single" w:sz="8" w:color="0000EE"/>
            </w:tcBorders>
          </w:tcPr>
          <w:p>
            <w:pPr>
              <w:jc w:val="center"/>
              <w:spacing w:after="0"/>
              <w:rPr>
                <w:rFonts w:ascii="Arial" w:cs="Arial" w:eastAsia="Arial" w:hAnsi="Arial"/>
                <w:sz w:val="16"/>
                <w:szCs w:val="16"/>
                <w:color w:val="0000EE"/>
                <w:w w:val="89"/>
              </w:rPr>
            </w:pPr>
            <w:hyperlink w:anchor="page3">
              <w:r>
                <w:rPr>
                  <w:rFonts w:ascii="Arial" w:cs="Arial" w:eastAsia="Arial" w:hAnsi="Arial"/>
                  <w:sz w:val="16"/>
                  <w:szCs w:val="16"/>
                  <w:color w:val="0000EE"/>
                  <w:w w:val="89"/>
                </w:rPr>
                <w:t>2</w:t>
              </w:r>
            </w:hyperlink>
          </w:p>
        </w:tc>
        <w:tc>
          <w:tcPr>
            <w:tcW w:w="40" w:type="dxa"/>
            <w:vAlign w:val="bottom"/>
          </w:tcPr>
          <w:p>
            <w:pPr>
              <w:spacing w:after="0"/>
              <w:rPr>
                <w:sz w:val="21"/>
                <w:szCs w:val="21"/>
                <w:color w:val="auto"/>
              </w:rPr>
            </w:pPr>
          </w:p>
        </w:tc>
      </w:tr>
      <w:tr>
        <w:trPr>
          <w:trHeight w:val="237"/>
        </w:trPr>
        <w:tc>
          <w:tcPr>
            <w:tcW w:w="560" w:type="dxa"/>
            <w:vAlign w:val="bottom"/>
            <w:gridSpan w:val="3"/>
          </w:tcPr>
          <w:p>
            <w:pPr>
              <w:spacing w:after="0"/>
              <w:rPr>
                <w:sz w:val="20"/>
                <w:szCs w:val="20"/>
                <w:color w:val="auto"/>
              </w:rPr>
            </w:pPr>
            <w:r>
              <w:rPr>
                <w:rFonts w:ascii="Arial" w:cs="Arial" w:eastAsia="Arial" w:hAnsi="Arial"/>
                <w:sz w:val="16"/>
                <w:szCs w:val="16"/>
                <w:color w:val="0000EE"/>
                <w:w w:val="87"/>
              </w:rPr>
              <w:t>Item 1A.</w:t>
            </w:r>
          </w:p>
        </w:tc>
        <w:tc>
          <w:tcPr>
            <w:tcW w:w="480" w:type="dxa"/>
            <w:vAlign w:val="bottom"/>
            <w:gridSpan w:val="4"/>
          </w:tcPr>
          <w:p>
            <w:pPr>
              <w:spacing w:after="0"/>
              <w:rPr>
                <w:sz w:val="20"/>
                <w:szCs w:val="20"/>
                <w:color w:val="auto"/>
              </w:rPr>
            </w:pPr>
          </w:p>
        </w:tc>
        <w:tc>
          <w:tcPr>
            <w:tcW w:w="9560" w:type="dxa"/>
            <w:vAlign w:val="bottom"/>
            <w:gridSpan w:val="18"/>
          </w:tcPr>
          <w:p>
            <w:pPr>
              <w:spacing w:after="0"/>
              <w:rPr>
                <w:sz w:val="20"/>
                <w:szCs w:val="20"/>
                <w:color w:val="auto"/>
              </w:rPr>
            </w:pPr>
            <w:r>
              <w:rPr>
                <w:rFonts w:ascii="Arial" w:cs="Arial" w:eastAsia="Arial" w:hAnsi="Arial"/>
                <w:sz w:val="16"/>
                <w:szCs w:val="16"/>
                <w:color w:val="0000EE"/>
              </w:rPr>
              <w:t>Risk Factors</w:t>
            </w:r>
          </w:p>
        </w:tc>
        <w:tc>
          <w:tcPr>
            <w:tcW w:w="160" w:type="dxa"/>
            <w:vAlign w:val="bottom"/>
            <w:gridSpan w:val="2"/>
          </w:tcPr>
          <w:p>
            <w:pPr>
              <w:jc w:val="center"/>
              <w:ind w:right="40"/>
              <w:spacing w:after="0"/>
              <w:rPr>
                <w:rFonts w:ascii="Arial" w:cs="Arial" w:eastAsia="Arial" w:hAnsi="Arial"/>
                <w:sz w:val="15"/>
                <w:szCs w:val="15"/>
                <w:color w:val="0000EE"/>
                <w:w w:val="71"/>
              </w:rPr>
            </w:pPr>
            <w:hyperlink w:anchor="page16">
              <w:r>
                <w:rPr>
                  <w:rFonts w:ascii="Arial" w:cs="Arial" w:eastAsia="Arial" w:hAnsi="Arial"/>
                  <w:sz w:val="15"/>
                  <w:szCs w:val="15"/>
                  <w:color w:val="0000EE"/>
                  <w:w w:val="71"/>
                </w:rPr>
                <w:t>16</w:t>
              </w:r>
            </w:hyperlink>
          </w:p>
        </w:tc>
      </w:tr>
      <w:tr>
        <w:trPr>
          <w:trHeight w:val="20"/>
        </w:trPr>
        <w:tc>
          <w:tcPr>
            <w:tcW w:w="46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60" w:type="dxa"/>
            <w:vAlign w:val="bottom"/>
            <w:gridSpan w:val="2"/>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300" w:type="dxa"/>
            <w:vAlign w:val="bottom"/>
            <w:tcBorders>
              <w:right w:val="single" w:sz="8" w:color="0000EE"/>
            </w:tcBorders>
          </w:tcPr>
          <w:p>
            <w:pPr>
              <w:spacing w:after="0" w:line="20" w:lineRule="exact"/>
              <w:rPr>
                <w:sz w:val="1"/>
                <w:szCs w:val="1"/>
                <w:color w:val="auto"/>
              </w:rPr>
            </w:pPr>
          </w:p>
        </w:tc>
        <w:tc>
          <w:tcPr>
            <w:tcW w:w="120" w:type="dxa"/>
            <w:vAlign w:val="bottom"/>
            <w:tcBorders>
              <w:right w:val="single" w:sz="8" w:color="0000EE"/>
            </w:tcBorders>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37"/>
        </w:trPr>
        <w:tc>
          <w:tcPr>
            <w:tcW w:w="560" w:type="dxa"/>
            <w:vAlign w:val="bottom"/>
            <w:gridSpan w:val="3"/>
          </w:tcPr>
          <w:p>
            <w:pPr>
              <w:spacing w:after="0"/>
              <w:rPr>
                <w:sz w:val="20"/>
                <w:szCs w:val="20"/>
                <w:color w:val="auto"/>
              </w:rPr>
            </w:pPr>
            <w:r>
              <w:rPr>
                <w:rFonts w:ascii="Arial" w:cs="Arial" w:eastAsia="Arial" w:hAnsi="Arial"/>
                <w:sz w:val="16"/>
                <w:szCs w:val="16"/>
                <w:color w:val="0000EE"/>
                <w:w w:val="87"/>
              </w:rPr>
              <w:t>Item 1B.</w:t>
            </w:r>
          </w:p>
        </w:tc>
        <w:tc>
          <w:tcPr>
            <w:tcW w:w="480" w:type="dxa"/>
            <w:vAlign w:val="bottom"/>
            <w:gridSpan w:val="4"/>
          </w:tcPr>
          <w:p>
            <w:pPr>
              <w:spacing w:after="0"/>
              <w:rPr>
                <w:sz w:val="20"/>
                <w:szCs w:val="20"/>
                <w:color w:val="auto"/>
              </w:rPr>
            </w:pPr>
          </w:p>
        </w:tc>
        <w:tc>
          <w:tcPr>
            <w:tcW w:w="9560" w:type="dxa"/>
            <w:vAlign w:val="bottom"/>
            <w:gridSpan w:val="18"/>
          </w:tcPr>
          <w:p>
            <w:pPr>
              <w:spacing w:after="0"/>
              <w:rPr>
                <w:sz w:val="20"/>
                <w:szCs w:val="20"/>
                <w:color w:val="auto"/>
              </w:rPr>
            </w:pPr>
            <w:r>
              <w:rPr>
                <w:rFonts w:ascii="Arial" w:cs="Arial" w:eastAsia="Arial" w:hAnsi="Arial"/>
                <w:sz w:val="16"/>
                <w:szCs w:val="16"/>
                <w:color w:val="0000EE"/>
              </w:rPr>
              <w:t>Unresolved Staff Comments</w:t>
            </w:r>
          </w:p>
        </w:tc>
        <w:tc>
          <w:tcPr>
            <w:tcW w:w="160" w:type="dxa"/>
            <w:vAlign w:val="bottom"/>
            <w:gridSpan w:val="2"/>
          </w:tcPr>
          <w:p>
            <w:pPr>
              <w:jc w:val="center"/>
              <w:ind w:right="40"/>
              <w:spacing w:after="0"/>
              <w:rPr>
                <w:rFonts w:ascii="Arial" w:cs="Arial" w:eastAsia="Arial" w:hAnsi="Arial"/>
                <w:sz w:val="15"/>
                <w:szCs w:val="15"/>
                <w:color w:val="0000EE"/>
                <w:w w:val="71"/>
              </w:rPr>
            </w:pPr>
            <w:hyperlink w:anchor="page35">
              <w:r>
                <w:rPr>
                  <w:rFonts w:ascii="Arial" w:cs="Arial" w:eastAsia="Arial" w:hAnsi="Arial"/>
                  <w:sz w:val="15"/>
                  <w:szCs w:val="15"/>
                  <w:color w:val="0000EE"/>
                  <w:w w:val="71"/>
                </w:rPr>
                <w:t>34</w:t>
              </w:r>
            </w:hyperlink>
          </w:p>
        </w:tc>
      </w:tr>
      <w:tr>
        <w:trPr>
          <w:trHeight w:val="20"/>
        </w:trPr>
        <w:tc>
          <w:tcPr>
            <w:tcW w:w="46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60" w:type="dxa"/>
            <w:vAlign w:val="bottom"/>
            <w:gridSpan w:val="2"/>
            <w:shd w:val="clear" w:color="auto" w:fill="0000EE"/>
          </w:tcPr>
          <w:p>
            <w:pPr>
              <w:spacing w:after="0" w:line="20" w:lineRule="exact"/>
              <w:rPr>
                <w:sz w:val="1"/>
                <w:szCs w:val="1"/>
                <w:color w:val="auto"/>
              </w:rPr>
            </w:pPr>
          </w:p>
        </w:tc>
        <w:tc>
          <w:tcPr>
            <w:tcW w:w="520" w:type="dxa"/>
            <w:vAlign w:val="bottom"/>
            <w:gridSpan w:val="2"/>
            <w:shd w:val="clear" w:color="auto" w:fill="0000EE"/>
          </w:tcPr>
          <w:p>
            <w:pPr>
              <w:spacing w:after="0" w:line="20" w:lineRule="exact"/>
              <w:rPr>
                <w:sz w:val="1"/>
                <w:szCs w:val="1"/>
                <w:color w:val="auto"/>
              </w:rPr>
            </w:pPr>
          </w:p>
        </w:tc>
        <w:tc>
          <w:tcPr>
            <w:tcW w:w="36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tcBorders>
              <w:left w:val="single" w:sz="8" w:color="0000EE"/>
            </w:tcBorders>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300" w:type="dxa"/>
            <w:vAlign w:val="bottom"/>
            <w:tcBorders>
              <w:right w:val="single" w:sz="8" w:color="0000EE"/>
            </w:tcBorders>
          </w:tcPr>
          <w:p>
            <w:pPr>
              <w:spacing w:after="0" w:line="20" w:lineRule="exact"/>
              <w:rPr>
                <w:sz w:val="1"/>
                <w:szCs w:val="1"/>
                <w:color w:val="auto"/>
              </w:rPr>
            </w:pPr>
          </w:p>
        </w:tc>
        <w:tc>
          <w:tcPr>
            <w:tcW w:w="120" w:type="dxa"/>
            <w:vAlign w:val="bottom"/>
            <w:tcBorders>
              <w:right w:val="single" w:sz="8" w:color="0000EE"/>
            </w:tcBorders>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37"/>
        </w:trPr>
        <w:tc>
          <w:tcPr>
            <w:tcW w:w="460" w:type="dxa"/>
            <w:vAlign w:val="bottom"/>
          </w:tcPr>
          <w:p>
            <w:pPr>
              <w:spacing w:after="0"/>
              <w:rPr>
                <w:sz w:val="20"/>
                <w:szCs w:val="20"/>
                <w:color w:val="auto"/>
              </w:rPr>
            </w:pPr>
            <w:r>
              <w:rPr>
                <w:rFonts w:ascii="Arial" w:cs="Arial" w:eastAsia="Arial" w:hAnsi="Arial"/>
                <w:sz w:val="16"/>
                <w:szCs w:val="16"/>
                <w:color w:val="0000EE"/>
                <w:w w:val="85"/>
              </w:rPr>
              <w:t>Item 2.</w:t>
            </w:r>
          </w:p>
        </w:tc>
        <w:tc>
          <w:tcPr>
            <w:tcW w:w="100" w:type="dxa"/>
            <w:vAlign w:val="bottom"/>
            <w:gridSpan w:val="2"/>
          </w:tcPr>
          <w:p>
            <w:pPr>
              <w:spacing w:after="0"/>
              <w:rPr>
                <w:sz w:val="20"/>
                <w:szCs w:val="20"/>
                <w:color w:val="auto"/>
              </w:rPr>
            </w:pPr>
          </w:p>
        </w:tc>
        <w:tc>
          <w:tcPr>
            <w:tcW w:w="480" w:type="dxa"/>
            <w:vAlign w:val="bottom"/>
            <w:gridSpan w:val="4"/>
          </w:tcPr>
          <w:p>
            <w:pPr>
              <w:spacing w:after="0"/>
              <w:rPr>
                <w:sz w:val="20"/>
                <w:szCs w:val="20"/>
                <w:color w:val="auto"/>
              </w:rPr>
            </w:pPr>
          </w:p>
        </w:tc>
        <w:tc>
          <w:tcPr>
            <w:tcW w:w="660" w:type="dxa"/>
            <w:vAlign w:val="bottom"/>
            <w:gridSpan w:val="2"/>
          </w:tcPr>
          <w:p>
            <w:pPr>
              <w:spacing w:after="0"/>
              <w:rPr>
                <w:sz w:val="20"/>
                <w:szCs w:val="20"/>
                <w:color w:val="auto"/>
              </w:rPr>
            </w:pPr>
            <w:r>
              <w:rPr>
                <w:rFonts w:ascii="Arial" w:cs="Arial" w:eastAsia="Arial" w:hAnsi="Arial"/>
                <w:sz w:val="16"/>
                <w:szCs w:val="16"/>
                <w:color w:val="0000EE"/>
                <w:w w:val="87"/>
              </w:rPr>
              <w:t>Properties</w:t>
            </w:r>
          </w:p>
        </w:tc>
        <w:tc>
          <w:tcPr>
            <w:tcW w:w="1180" w:type="dxa"/>
            <w:vAlign w:val="bottom"/>
            <w:gridSpan w:val="5"/>
          </w:tcPr>
          <w:p>
            <w:pPr>
              <w:spacing w:after="0"/>
              <w:rPr>
                <w:sz w:val="20"/>
                <w:szCs w:val="20"/>
                <w:color w:val="auto"/>
              </w:rPr>
            </w:pPr>
          </w:p>
        </w:tc>
        <w:tc>
          <w:tcPr>
            <w:tcW w:w="7720" w:type="dxa"/>
            <w:vAlign w:val="bottom"/>
            <w:gridSpan w:val="11"/>
          </w:tcPr>
          <w:p>
            <w:pPr>
              <w:spacing w:after="0"/>
              <w:rPr>
                <w:sz w:val="20"/>
                <w:szCs w:val="20"/>
                <w:color w:val="auto"/>
              </w:rPr>
            </w:pPr>
          </w:p>
        </w:tc>
        <w:tc>
          <w:tcPr>
            <w:tcW w:w="160" w:type="dxa"/>
            <w:vAlign w:val="bottom"/>
            <w:gridSpan w:val="2"/>
          </w:tcPr>
          <w:p>
            <w:pPr>
              <w:jc w:val="center"/>
              <w:ind w:right="40"/>
              <w:spacing w:after="0"/>
              <w:rPr>
                <w:rFonts w:ascii="Arial" w:cs="Arial" w:eastAsia="Arial" w:hAnsi="Arial"/>
                <w:sz w:val="15"/>
                <w:szCs w:val="15"/>
                <w:color w:val="0000EE"/>
                <w:w w:val="71"/>
              </w:rPr>
            </w:pPr>
            <w:hyperlink w:anchor="page35">
              <w:r>
                <w:rPr>
                  <w:rFonts w:ascii="Arial" w:cs="Arial" w:eastAsia="Arial" w:hAnsi="Arial"/>
                  <w:sz w:val="15"/>
                  <w:szCs w:val="15"/>
                  <w:color w:val="0000EE"/>
                  <w:w w:val="71"/>
                </w:rPr>
                <w:t>34</w:t>
              </w:r>
            </w:hyperlink>
          </w:p>
        </w:tc>
      </w:tr>
      <w:tr>
        <w:trPr>
          <w:trHeight w:val="20"/>
        </w:trPr>
        <w:tc>
          <w:tcPr>
            <w:tcW w:w="46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60" w:type="dxa"/>
            <w:vAlign w:val="bottom"/>
            <w:gridSpan w:val="2"/>
            <w:shd w:val="clear" w:color="auto" w:fill="0000EE"/>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300" w:type="dxa"/>
            <w:vAlign w:val="bottom"/>
            <w:tcBorders>
              <w:right w:val="single" w:sz="8" w:color="0000EE"/>
            </w:tcBorders>
          </w:tcPr>
          <w:p>
            <w:pPr>
              <w:spacing w:after="0" w:line="20" w:lineRule="exact"/>
              <w:rPr>
                <w:sz w:val="1"/>
                <w:szCs w:val="1"/>
                <w:color w:val="auto"/>
              </w:rPr>
            </w:pPr>
          </w:p>
        </w:tc>
        <w:tc>
          <w:tcPr>
            <w:tcW w:w="120" w:type="dxa"/>
            <w:vAlign w:val="bottom"/>
            <w:tcBorders>
              <w:right w:val="single" w:sz="8" w:color="0000EE"/>
            </w:tcBorders>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37"/>
        </w:trPr>
        <w:tc>
          <w:tcPr>
            <w:tcW w:w="460" w:type="dxa"/>
            <w:vAlign w:val="bottom"/>
          </w:tcPr>
          <w:p>
            <w:pPr>
              <w:spacing w:after="0"/>
              <w:rPr>
                <w:sz w:val="20"/>
                <w:szCs w:val="20"/>
                <w:color w:val="auto"/>
              </w:rPr>
            </w:pPr>
            <w:r>
              <w:rPr>
                <w:rFonts w:ascii="Arial" w:cs="Arial" w:eastAsia="Arial" w:hAnsi="Arial"/>
                <w:sz w:val="16"/>
                <w:szCs w:val="16"/>
                <w:color w:val="0000EE"/>
                <w:w w:val="85"/>
              </w:rPr>
              <w:t>Item 3.</w:t>
            </w:r>
          </w:p>
        </w:tc>
        <w:tc>
          <w:tcPr>
            <w:tcW w:w="580" w:type="dxa"/>
            <w:vAlign w:val="bottom"/>
            <w:gridSpan w:val="6"/>
          </w:tcPr>
          <w:p>
            <w:pPr>
              <w:spacing w:after="0"/>
              <w:rPr>
                <w:sz w:val="20"/>
                <w:szCs w:val="20"/>
                <w:color w:val="auto"/>
              </w:rPr>
            </w:pPr>
          </w:p>
        </w:tc>
        <w:tc>
          <w:tcPr>
            <w:tcW w:w="1180" w:type="dxa"/>
            <w:vAlign w:val="bottom"/>
            <w:gridSpan w:val="4"/>
          </w:tcPr>
          <w:p>
            <w:pPr>
              <w:spacing w:after="0"/>
              <w:rPr>
                <w:sz w:val="20"/>
                <w:szCs w:val="20"/>
                <w:color w:val="auto"/>
              </w:rPr>
            </w:pPr>
            <w:r>
              <w:rPr>
                <w:rFonts w:ascii="Arial" w:cs="Arial" w:eastAsia="Arial" w:hAnsi="Arial"/>
                <w:sz w:val="16"/>
                <w:szCs w:val="16"/>
                <w:color w:val="0000EE"/>
                <w:w w:val="85"/>
              </w:rPr>
              <w:t>Legal Proceedings</w:t>
            </w:r>
          </w:p>
        </w:tc>
        <w:tc>
          <w:tcPr>
            <w:tcW w:w="8380" w:type="dxa"/>
            <w:vAlign w:val="bottom"/>
            <w:gridSpan w:val="14"/>
          </w:tcPr>
          <w:p>
            <w:pPr>
              <w:spacing w:after="0"/>
              <w:rPr>
                <w:sz w:val="20"/>
                <w:szCs w:val="20"/>
                <w:color w:val="auto"/>
              </w:rPr>
            </w:pPr>
          </w:p>
        </w:tc>
        <w:tc>
          <w:tcPr>
            <w:tcW w:w="160" w:type="dxa"/>
            <w:vAlign w:val="bottom"/>
            <w:gridSpan w:val="2"/>
          </w:tcPr>
          <w:p>
            <w:pPr>
              <w:jc w:val="center"/>
              <w:ind w:right="40"/>
              <w:spacing w:after="0"/>
              <w:rPr>
                <w:rFonts w:ascii="Arial" w:cs="Arial" w:eastAsia="Arial" w:hAnsi="Arial"/>
                <w:sz w:val="15"/>
                <w:szCs w:val="15"/>
                <w:color w:val="0000EE"/>
                <w:w w:val="71"/>
              </w:rPr>
            </w:pPr>
            <w:hyperlink w:anchor="page35">
              <w:r>
                <w:rPr>
                  <w:rFonts w:ascii="Arial" w:cs="Arial" w:eastAsia="Arial" w:hAnsi="Arial"/>
                  <w:sz w:val="15"/>
                  <w:szCs w:val="15"/>
                  <w:color w:val="0000EE"/>
                  <w:w w:val="71"/>
                </w:rPr>
                <w:t>35</w:t>
              </w:r>
            </w:hyperlink>
          </w:p>
        </w:tc>
      </w:tr>
      <w:tr>
        <w:trPr>
          <w:trHeight w:val="20"/>
        </w:trPr>
        <w:tc>
          <w:tcPr>
            <w:tcW w:w="46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180" w:type="dxa"/>
            <w:vAlign w:val="bottom"/>
            <w:gridSpan w:val="4"/>
            <w:shd w:val="clear" w:color="auto" w:fill="0000EE"/>
          </w:tcPr>
          <w:p>
            <w:pPr>
              <w:spacing w:after="0" w:line="20" w:lineRule="exact"/>
              <w:rPr>
                <w:sz w:val="1"/>
                <w:szCs w:val="1"/>
                <w:color w:val="auto"/>
              </w:rPr>
            </w:pPr>
          </w:p>
        </w:tc>
        <w:tc>
          <w:tcPr>
            <w:tcW w:w="360" w:type="dxa"/>
            <w:vAlign w:val="bottom"/>
            <w:tcBorders>
              <w:left w:val="single" w:sz="8" w:color="0000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300" w:type="dxa"/>
            <w:vAlign w:val="bottom"/>
            <w:tcBorders>
              <w:right w:val="single" w:sz="8" w:color="0000EE"/>
            </w:tcBorders>
          </w:tcPr>
          <w:p>
            <w:pPr>
              <w:spacing w:after="0" w:line="20" w:lineRule="exact"/>
              <w:rPr>
                <w:sz w:val="1"/>
                <w:szCs w:val="1"/>
                <w:color w:val="auto"/>
              </w:rPr>
            </w:pPr>
          </w:p>
        </w:tc>
        <w:tc>
          <w:tcPr>
            <w:tcW w:w="120" w:type="dxa"/>
            <w:vAlign w:val="bottom"/>
            <w:tcBorders>
              <w:right w:val="single" w:sz="8" w:color="0000EE"/>
            </w:tcBorders>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37"/>
        </w:trPr>
        <w:tc>
          <w:tcPr>
            <w:tcW w:w="460" w:type="dxa"/>
            <w:vAlign w:val="bottom"/>
          </w:tcPr>
          <w:p>
            <w:pPr>
              <w:spacing w:after="0"/>
              <w:rPr>
                <w:sz w:val="20"/>
                <w:szCs w:val="20"/>
                <w:color w:val="auto"/>
              </w:rPr>
            </w:pPr>
            <w:r>
              <w:rPr>
                <w:rFonts w:ascii="Arial" w:cs="Arial" w:eastAsia="Arial" w:hAnsi="Arial"/>
                <w:sz w:val="16"/>
                <w:szCs w:val="16"/>
                <w:color w:val="0000EE"/>
                <w:w w:val="85"/>
              </w:rPr>
              <w:t>Item 4.</w:t>
            </w:r>
          </w:p>
        </w:tc>
        <w:tc>
          <w:tcPr>
            <w:tcW w:w="580" w:type="dxa"/>
            <w:vAlign w:val="bottom"/>
            <w:gridSpan w:val="6"/>
          </w:tcPr>
          <w:p>
            <w:pPr>
              <w:spacing w:after="0"/>
              <w:rPr>
                <w:sz w:val="20"/>
                <w:szCs w:val="20"/>
                <w:color w:val="auto"/>
              </w:rPr>
            </w:pPr>
          </w:p>
        </w:tc>
        <w:tc>
          <w:tcPr>
            <w:tcW w:w="9560" w:type="dxa"/>
            <w:vAlign w:val="bottom"/>
            <w:gridSpan w:val="18"/>
          </w:tcPr>
          <w:p>
            <w:pPr>
              <w:spacing w:after="0"/>
              <w:rPr>
                <w:sz w:val="20"/>
                <w:szCs w:val="20"/>
                <w:color w:val="auto"/>
              </w:rPr>
            </w:pPr>
            <w:r>
              <w:rPr>
                <w:rFonts w:ascii="Arial" w:cs="Arial" w:eastAsia="Arial" w:hAnsi="Arial"/>
                <w:sz w:val="16"/>
                <w:szCs w:val="16"/>
                <w:color w:val="0000EE"/>
              </w:rPr>
              <w:t>Mine Safety Disclosures</w:t>
            </w:r>
          </w:p>
        </w:tc>
        <w:tc>
          <w:tcPr>
            <w:tcW w:w="160" w:type="dxa"/>
            <w:vAlign w:val="bottom"/>
            <w:gridSpan w:val="2"/>
          </w:tcPr>
          <w:p>
            <w:pPr>
              <w:jc w:val="center"/>
              <w:ind w:right="40"/>
              <w:spacing w:after="0"/>
              <w:rPr>
                <w:rFonts w:ascii="Arial" w:cs="Arial" w:eastAsia="Arial" w:hAnsi="Arial"/>
                <w:sz w:val="15"/>
                <w:szCs w:val="15"/>
                <w:color w:val="0000EE"/>
                <w:w w:val="71"/>
              </w:rPr>
            </w:pPr>
            <w:hyperlink w:anchor="page36">
              <w:r>
                <w:rPr>
                  <w:rFonts w:ascii="Arial" w:cs="Arial" w:eastAsia="Arial" w:hAnsi="Arial"/>
                  <w:sz w:val="15"/>
                  <w:szCs w:val="15"/>
                  <w:color w:val="0000EE"/>
                  <w:w w:val="71"/>
                </w:rPr>
                <w:t>35</w:t>
              </w:r>
            </w:hyperlink>
          </w:p>
        </w:tc>
      </w:tr>
      <w:tr>
        <w:trPr>
          <w:trHeight w:val="20"/>
        </w:trPr>
        <w:tc>
          <w:tcPr>
            <w:tcW w:w="46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36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tcBorders>
              <w:left w:val="single" w:sz="8" w:color="0000EE"/>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300" w:type="dxa"/>
            <w:vAlign w:val="bottom"/>
            <w:tcBorders>
              <w:right w:val="single" w:sz="8" w:color="0000EE"/>
            </w:tcBorders>
          </w:tcPr>
          <w:p>
            <w:pPr>
              <w:spacing w:after="0" w:line="20" w:lineRule="exact"/>
              <w:rPr>
                <w:sz w:val="1"/>
                <w:szCs w:val="1"/>
                <w:color w:val="auto"/>
              </w:rPr>
            </w:pPr>
          </w:p>
        </w:tc>
        <w:tc>
          <w:tcPr>
            <w:tcW w:w="120" w:type="dxa"/>
            <w:vAlign w:val="bottom"/>
            <w:tcBorders>
              <w:right w:val="single" w:sz="8" w:color="0000EE"/>
            </w:tcBorders>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547"/>
        </w:trPr>
        <w:tc>
          <w:tcPr>
            <w:tcW w:w="1040" w:type="dxa"/>
            <w:vAlign w:val="bottom"/>
            <w:gridSpan w:val="7"/>
          </w:tcPr>
          <w:p>
            <w:pPr>
              <w:spacing w:after="0"/>
              <w:rPr>
                <w:sz w:val="20"/>
                <w:szCs w:val="20"/>
                <w:color w:val="auto"/>
              </w:rPr>
            </w:pPr>
            <w:r>
              <w:rPr>
                <w:rFonts w:ascii="Arial" w:cs="Arial" w:eastAsia="Arial" w:hAnsi="Arial"/>
                <w:sz w:val="16"/>
                <w:szCs w:val="16"/>
                <w:b w:val="1"/>
                <w:bCs w:val="1"/>
                <w:color w:val="0000EE"/>
              </w:rPr>
              <w:t>PART II.</w:t>
            </w:r>
          </w:p>
        </w:tc>
        <w:tc>
          <w:tcPr>
            <w:tcW w:w="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37"/>
        </w:trPr>
        <w:tc>
          <w:tcPr>
            <w:tcW w:w="460" w:type="dxa"/>
            <w:vAlign w:val="bottom"/>
            <w:tcBorders>
              <w:top w:val="single" w:sz="8" w:color="0000EE"/>
            </w:tcBorders>
          </w:tcPr>
          <w:p>
            <w:pPr>
              <w:spacing w:after="0"/>
              <w:rPr>
                <w:sz w:val="20"/>
                <w:szCs w:val="20"/>
                <w:color w:val="auto"/>
              </w:rPr>
            </w:pPr>
            <w:r>
              <w:rPr>
                <w:rFonts w:ascii="Arial" w:cs="Arial" w:eastAsia="Arial" w:hAnsi="Arial"/>
                <w:sz w:val="16"/>
                <w:szCs w:val="16"/>
                <w:color w:val="0000EE"/>
                <w:w w:val="85"/>
              </w:rPr>
              <w:t>Item 5.</w:t>
            </w:r>
          </w:p>
        </w:tc>
        <w:tc>
          <w:tcPr>
            <w:tcW w:w="160" w:type="dxa"/>
            <w:vAlign w:val="bottom"/>
            <w:tcBorders>
              <w:top w:val="single" w:sz="8" w:color="0000EE"/>
            </w:tcBorders>
            <w:gridSpan w:val="3"/>
          </w:tcPr>
          <w:p>
            <w:pPr>
              <w:spacing w:after="0"/>
              <w:rPr>
                <w:sz w:val="20"/>
                <w:szCs w:val="20"/>
                <w:color w:val="auto"/>
              </w:rPr>
            </w:pPr>
          </w:p>
        </w:tc>
        <w:tc>
          <w:tcPr>
            <w:tcW w:w="420" w:type="dxa"/>
            <w:vAlign w:val="bottom"/>
            <w:gridSpan w:val="3"/>
          </w:tcPr>
          <w:p>
            <w:pPr>
              <w:spacing w:after="0"/>
              <w:rPr>
                <w:sz w:val="20"/>
                <w:szCs w:val="20"/>
                <w:color w:val="auto"/>
              </w:rPr>
            </w:pPr>
          </w:p>
        </w:tc>
        <w:tc>
          <w:tcPr>
            <w:tcW w:w="7260" w:type="dxa"/>
            <w:vAlign w:val="bottom"/>
            <w:gridSpan w:val="17"/>
          </w:tcPr>
          <w:p>
            <w:pPr>
              <w:spacing w:after="0"/>
              <w:rPr>
                <w:sz w:val="20"/>
                <w:szCs w:val="20"/>
                <w:color w:val="auto"/>
              </w:rPr>
            </w:pPr>
            <w:r>
              <w:rPr>
                <w:rFonts w:ascii="Arial" w:cs="Arial" w:eastAsia="Arial" w:hAnsi="Arial"/>
                <w:sz w:val="16"/>
                <w:szCs w:val="16"/>
                <w:color w:val="0000EE"/>
                <w:w w:val="91"/>
              </w:rPr>
              <w:t>Market for Registrant's Common Equity, Related Stockholder Matters and Issuer Purchases of Equity Securities</w:t>
            </w:r>
          </w:p>
        </w:tc>
        <w:tc>
          <w:tcPr>
            <w:tcW w:w="2300" w:type="dxa"/>
            <w:vAlign w:val="bottom"/>
          </w:tcPr>
          <w:p>
            <w:pPr>
              <w:spacing w:after="0"/>
              <w:rPr>
                <w:sz w:val="20"/>
                <w:szCs w:val="20"/>
                <w:color w:val="auto"/>
              </w:rPr>
            </w:pPr>
          </w:p>
        </w:tc>
        <w:tc>
          <w:tcPr>
            <w:tcW w:w="160" w:type="dxa"/>
            <w:vAlign w:val="bottom"/>
            <w:gridSpan w:val="2"/>
          </w:tcPr>
          <w:p>
            <w:pPr>
              <w:jc w:val="center"/>
              <w:ind w:right="40"/>
              <w:spacing w:after="0"/>
              <w:rPr>
                <w:rFonts w:ascii="Arial" w:cs="Arial" w:eastAsia="Arial" w:hAnsi="Arial"/>
                <w:sz w:val="15"/>
                <w:szCs w:val="15"/>
                <w:color w:val="0000EE"/>
                <w:w w:val="71"/>
              </w:rPr>
            </w:pPr>
            <w:hyperlink w:anchor="page37">
              <w:r>
                <w:rPr>
                  <w:rFonts w:ascii="Arial" w:cs="Arial" w:eastAsia="Arial" w:hAnsi="Arial"/>
                  <w:sz w:val="15"/>
                  <w:szCs w:val="15"/>
                  <w:color w:val="0000EE"/>
                  <w:w w:val="71"/>
                </w:rPr>
                <w:t>36</w:t>
              </w:r>
            </w:hyperlink>
          </w:p>
        </w:tc>
      </w:tr>
      <w:tr>
        <w:trPr>
          <w:trHeight w:val="20"/>
        </w:trPr>
        <w:tc>
          <w:tcPr>
            <w:tcW w:w="46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180" w:type="dxa"/>
            <w:vAlign w:val="bottom"/>
            <w:gridSpan w:val="4"/>
            <w:shd w:val="clear" w:color="auto" w:fill="0000EE"/>
          </w:tcPr>
          <w:p>
            <w:pPr>
              <w:spacing w:after="0" w:line="20" w:lineRule="exact"/>
              <w:rPr>
                <w:sz w:val="1"/>
                <w:szCs w:val="1"/>
                <w:color w:val="auto"/>
              </w:rPr>
            </w:pPr>
          </w:p>
        </w:tc>
        <w:tc>
          <w:tcPr>
            <w:tcW w:w="36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tcBorders>
              <w:left w:val="single" w:sz="8" w:color="0000EE"/>
            </w:tcBorders>
            <w:shd w:val="clear" w:color="auto" w:fill="0000EE"/>
          </w:tcPr>
          <w:p>
            <w:pPr>
              <w:spacing w:after="0" w:line="20" w:lineRule="exact"/>
              <w:rPr>
                <w:sz w:val="1"/>
                <w:szCs w:val="1"/>
                <w:color w:val="auto"/>
              </w:rPr>
            </w:pPr>
          </w:p>
        </w:tc>
        <w:tc>
          <w:tcPr>
            <w:tcW w:w="960" w:type="dxa"/>
            <w:vAlign w:val="bottom"/>
            <w:gridSpan w:val="2"/>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980" w:type="dxa"/>
            <w:vAlign w:val="bottom"/>
            <w:shd w:val="clear" w:color="auto" w:fill="0000EE"/>
          </w:tcPr>
          <w:p>
            <w:pPr>
              <w:spacing w:after="0" w:line="20" w:lineRule="exact"/>
              <w:rPr>
                <w:sz w:val="1"/>
                <w:szCs w:val="1"/>
                <w:color w:val="auto"/>
              </w:rPr>
            </w:pPr>
          </w:p>
        </w:tc>
        <w:tc>
          <w:tcPr>
            <w:tcW w:w="9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700" w:type="dxa"/>
            <w:vAlign w:val="bottom"/>
            <w:shd w:val="clear" w:color="auto" w:fill="0000EE"/>
          </w:tcPr>
          <w:p>
            <w:pPr>
              <w:spacing w:after="0" w:line="20" w:lineRule="exact"/>
              <w:rPr>
                <w:sz w:val="1"/>
                <w:szCs w:val="1"/>
                <w:color w:val="auto"/>
              </w:rPr>
            </w:pPr>
          </w:p>
        </w:tc>
        <w:tc>
          <w:tcPr>
            <w:tcW w:w="2300" w:type="dxa"/>
            <w:vAlign w:val="bottom"/>
            <w:tcBorders>
              <w:right w:val="single" w:sz="8" w:color="0000EE"/>
            </w:tcBorders>
          </w:tcPr>
          <w:p>
            <w:pPr>
              <w:spacing w:after="0" w:line="20" w:lineRule="exact"/>
              <w:rPr>
                <w:sz w:val="1"/>
                <w:szCs w:val="1"/>
                <w:color w:val="auto"/>
              </w:rPr>
            </w:pPr>
          </w:p>
        </w:tc>
        <w:tc>
          <w:tcPr>
            <w:tcW w:w="120" w:type="dxa"/>
            <w:vAlign w:val="bottom"/>
            <w:tcBorders>
              <w:right w:val="single" w:sz="8" w:color="0000EE"/>
            </w:tcBorders>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37"/>
        </w:trPr>
        <w:tc>
          <w:tcPr>
            <w:tcW w:w="460" w:type="dxa"/>
            <w:vAlign w:val="bottom"/>
          </w:tcPr>
          <w:p>
            <w:pPr>
              <w:spacing w:after="0"/>
              <w:rPr>
                <w:sz w:val="20"/>
                <w:szCs w:val="20"/>
                <w:color w:val="auto"/>
              </w:rPr>
            </w:pPr>
            <w:r>
              <w:rPr>
                <w:rFonts w:ascii="Arial" w:cs="Arial" w:eastAsia="Arial" w:hAnsi="Arial"/>
                <w:sz w:val="16"/>
                <w:szCs w:val="16"/>
                <w:color w:val="0000EE"/>
                <w:w w:val="85"/>
              </w:rPr>
              <w:t>Item 6.</w:t>
            </w:r>
          </w:p>
        </w:tc>
        <w:tc>
          <w:tcPr>
            <w:tcW w:w="580" w:type="dxa"/>
            <w:vAlign w:val="bottom"/>
            <w:gridSpan w:val="6"/>
          </w:tcPr>
          <w:p>
            <w:pPr>
              <w:spacing w:after="0"/>
              <w:rPr>
                <w:sz w:val="20"/>
                <w:szCs w:val="20"/>
                <w:color w:val="auto"/>
              </w:rPr>
            </w:pPr>
          </w:p>
        </w:tc>
        <w:tc>
          <w:tcPr>
            <w:tcW w:w="1540" w:type="dxa"/>
            <w:vAlign w:val="bottom"/>
            <w:gridSpan w:val="5"/>
          </w:tcPr>
          <w:p>
            <w:pPr>
              <w:spacing w:after="0"/>
              <w:rPr>
                <w:sz w:val="20"/>
                <w:szCs w:val="20"/>
                <w:color w:val="auto"/>
              </w:rPr>
            </w:pPr>
            <w:r>
              <w:rPr>
                <w:rFonts w:ascii="Arial" w:cs="Arial" w:eastAsia="Arial" w:hAnsi="Arial"/>
                <w:sz w:val="16"/>
                <w:szCs w:val="16"/>
                <w:color w:val="0000EE"/>
                <w:w w:val="88"/>
              </w:rPr>
              <w:t>Selected Financial Data</w:t>
            </w:r>
          </w:p>
        </w:tc>
        <w:tc>
          <w:tcPr>
            <w:tcW w:w="5720" w:type="dxa"/>
            <w:vAlign w:val="bottom"/>
            <w:gridSpan w:val="12"/>
          </w:tcPr>
          <w:p>
            <w:pPr>
              <w:spacing w:after="0"/>
              <w:rPr>
                <w:sz w:val="20"/>
                <w:szCs w:val="20"/>
                <w:color w:val="auto"/>
              </w:rPr>
            </w:pPr>
          </w:p>
        </w:tc>
        <w:tc>
          <w:tcPr>
            <w:tcW w:w="2300" w:type="dxa"/>
            <w:vAlign w:val="bottom"/>
          </w:tcPr>
          <w:p>
            <w:pPr>
              <w:spacing w:after="0"/>
              <w:rPr>
                <w:sz w:val="20"/>
                <w:szCs w:val="20"/>
                <w:color w:val="auto"/>
              </w:rPr>
            </w:pPr>
          </w:p>
        </w:tc>
        <w:tc>
          <w:tcPr>
            <w:tcW w:w="160" w:type="dxa"/>
            <w:vAlign w:val="bottom"/>
            <w:gridSpan w:val="2"/>
          </w:tcPr>
          <w:p>
            <w:pPr>
              <w:jc w:val="center"/>
              <w:ind w:right="40"/>
              <w:spacing w:after="0"/>
              <w:rPr>
                <w:rFonts w:ascii="Arial" w:cs="Arial" w:eastAsia="Arial" w:hAnsi="Arial"/>
                <w:sz w:val="15"/>
                <w:szCs w:val="15"/>
                <w:color w:val="0000EE"/>
                <w:w w:val="71"/>
              </w:rPr>
            </w:pPr>
            <w:hyperlink w:anchor="page39">
              <w:r>
                <w:rPr>
                  <w:rFonts w:ascii="Arial" w:cs="Arial" w:eastAsia="Arial" w:hAnsi="Arial"/>
                  <w:sz w:val="15"/>
                  <w:szCs w:val="15"/>
                  <w:color w:val="0000EE"/>
                  <w:w w:val="71"/>
                </w:rPr>
                <w:t>39</w:t>
              </w:r>
            </w:hyperlink>
          </w:p>
        </w:tc>
      </w:tr>
      <w:tr>
        <w:trPr>
          <w:trHeight w:val="20"/>
        </w:trPr>
        <w:tc>
          <w:tcPr>
            <w:tcW w:w="46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180" w:type="dxa"/>
            <w:vAlign w:val="bottom"/>
            <w:gridSpan w:val="4"/>
            <w:shd w:val="clear" w:color="auto" w:fill="0000EE"/>
          </w:tcPr>
          <w:p>
            <w:pPr>
              <w:spacing w:after="0" w:line="20" w:lineRule="exact"/>
              <w:rPr>
                <w:sz w:val="1"/>
                <w:szCs w:val="1"/>
                <w:color w:val="auto"/>
              </w:rPr>
            </w:pPr>
          </w:p>
        </w:tc>
        <w:tc>
          <w:tcPr>
            <w:tcW w:w="36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000" w:type="dxa"/>
            <w:vAlign w:val="bottom"/>
            <w:tcBorders>
              <w:right w:val="single" w:sz="8" w:color="0000EE"/>
            </w:tcBorders>
            <w:gridSpan w:val="2"/>
          </w:tcPr>
          <w:p>
            <w:pPr>
              <w:spacing w:after="0" w:line="20" w:lineRule="exact"/>
              <w:rPr>
                <w:sz w:val="1"/>
                <w:szCs w:val="1"/>
                <w:color w:val="auto"/>
              </w:rPr>
            </w:pPr>
          </w:p>
        </w:tc>
        <w:tc>
          <w:tcPr>
            <w:tcW w:w="120" w:type="dxa"/>
            <w:vAlign w:val="bottom"/>
            <w:tcBorders>
              <w:right w:val="single" w:sz="8" w:color="0000EE"/>
            </w:tcBorders>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37"/>
        </w:trPr>
        <w:tc>
          <w:tcPr>
            <w:tcW w:w="460" w:type="dxa"/>
            <w:vAlign w:val="bottom"/>
          </w:tcPr>
          <w:p>
            <w:pPr>
              <w:spacing w:after="0"/>
              <w:rPr>
                <w:sz w:val="20"/>
                <w:szCs w:val="20"/>
                <w:color w:val="auto"/>
              </w:rPr>
            </w:pPr>
            <w:r>
              <w:rPr>
                <w:rFonts w:ascii="Arial" w:cs="Arial" w:eastAsia="Arial" w:hAnsi="Arial"/>
                <w:sz w:val="16"/>
                <w:szCs w:val="16"/>
                <w:color w:val="0000EE"/>
                <w:w w:val="85"/>
              </w:rPr>
              <w:t>Item 7.</w:t>
            </w:r>
          </w:p>
        </w:tc>
        <w:tc>
          <w:tcPr>
            <w:tcW w:w="580" w:type="dxa"/>
            <w:vAlign w:val="bottom"/>
            <w:gridSpan w:val="6"/>
          </w:tcPr>
          <w:p>
            <w:pPr>
              <w:spacing w:after="0"/>
              <w:rPr>
                <w:sz w:val="20"/>
                <w:szCs w:val="20"/>
                <w:color w:val="auto"/>
              </w:rPr>
            </w:pPr>
          </w:p>
        </w:tc>
        <w:tc>
          <w:tcPr>
            <w:tcW w:w="5800" w:type="dxa"/>
            <w:vAlign w:val="bottom"/>
            <w:gridSpan w:val="14"/>
          </w:tcPr>
          <w:p>
            <w:pPr>
              <w:spacing w:after="0"/>
              <w:rPr>
                <w:sz w:val="20"/>
                <w:szCs w:val="20"/>
                <w:color w:val="auto"/>
              </w:rPr>
            </w:pPr>
            <w:r>
              <w:rPr>
                <w:rFonts w:ascii="Arial" w:cs="Arial" w:eastAsia="Arial" w:hAnsi="Arial"/>
                <w:sz w:val="16"/>
                <w:szCs w:val="16"/>
                <w:color w:val="0000EE"/>
                <w:w w:val="91"/>
              </w:rPr>
              <w:t>Management's Discussion and Analysis of Financial Condition and Results of Operations</w:t>
            </w:r>
          </w:p>
        </w:tc>
        <w:tc>
          <w:tcPr>
            <w:tcW w:w="3760" w:type="dxa"/>
            <w:vAlign w:val="bottom"/>
            <w:gridSpan w:val="4"/>
          </w:tcPr>
          <w:p>
            <w:pPr>
              <w:spacing w:after="0"/>
              <w:rPr>
                <w:sz w:val="20"/>
                <w:szCs w:val="20"/>
                <w:color w:val="auto"/>
              </w:rPr>
            </w:pPr>
          </w:p>
        </w:tc>
        <w:tc>
          <w:tcPr>
            <w:tcW w:w="160" w:type="dxa"/>
            <w:vAlign w:val="bottom"/>
            <w:gridSpan w:val="2"/>
          </w:tcPr>
          <w:p>
            <w:pPr>
              <w:jc w:val="center"/>
              <w:ind w:right="40"/>
              <w:spacing w:after="0"/>
              <w:rPr>
                <w:rFonts w:ascii="Arial" w:cs="Arial" w:eastAsia="Arial" w:hAnsi="Arial"/>
                <w:sz w:val="15"/>
                <w:szCs w:val="15"/>
                <w:color w:val="0000EE"/>
                <w:w w:val="71"/>
              </w:rPr>
            </w:pPr>
            <w:hyperlink w:anchor="page42">
              <w:r>
                <w:rPr>
                  <w:rFonts w:ascii="Arial" w:cs="Arial" w:eastAsia="Arial" w:hAnsi="Arial"/>
                  <w:sz w:val="15"/>
                  <w:szCs w:val="15"/>
                  <w:color w:val="0000EE"/>
                  <w:w w:val="71"/>
                </w:rPr>
                <w:t>41</w:t>
              </w:r>
            </w:hyperlink>
          </w:p>
        </w:tc>
      </w:tr>
      <w:tr>
        <w:trPr>
          <w:trHeight w:val="20"/>
        </w:trPr>
        <w:tc>
          <w:tcPr>
            <w:tcW w:w="46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180" w:type="dxa"/>
            <w:vAlign w:val="bottom"/>
            <w:gridSpan w:val="4"/>
            <w:shd w:val="clear" w:color="auto" w:fill="0000EE"/>
          </w:tcPr>
          <w:p>
            <w:pPr>
              <w:spacing w:after="0" w:line="20" w:lineRule="exact"/>
              <w:rPr>
                <w:sz w:val="1"/>
                <w:szCs w:val="1"/>
                <w:color w:val="auto"/>
              </w:rPr>
            </w:pPr>
          </w:p>
        </w:tc>
        <w:tc>
          <w:tcPr>
            <w:tcW w:w="440" w:type="dxa"/>
            <w:vAlign w:val="bottom"/>
            <w:tcBorders>
              <w:left w:val="single" w:sz="8" w:color="0000EE"/>
            </w:tcBorders>
            <w:gridSpan w:val="2"/>
            <w:shd w:val="clear" w:color="auto" w:fill="0000EE"/>
          </w:tcPr>
          <w:p>
            <w:pPr>
              <w:spacing w:after="0" w:line="20" w:lineRule="exact"/>
              <w:rPr>
                <w:sz w:val="1"/>
                <w:szCs w:val="1"/>
                <w:color w:val="auto"/>
              </w:rPr>
            </w:pPr>
          </w:p>
        </w:tc>
        <w:tc>
          <w:tcPr>
            <w:tcW w:w="960" w:type="dxa"/>
            <w:vAlign w:val="bottom"/>
            <w:gridSpan w:val="2"/>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980" w:type="dxa"/>
            <w:vAlign w:val="bottom"/>
            <w:shd w:val="clear" w:color="auto" w:fill="0000EE"/>
          </w:tcPr>
          <w:p>
            <w:pPr>
              <w:spacing w:after="0" w:line="20" w:lineRule="exact"/>
              <w:rPr>
                <w:sz w:val="1"/>
                <w:szCs w:val="1"/>
                <w:color w:val="auto"/>
              </w:rPr>
            </w:pPr>
          </w:p>
        </w:tc>
        <w:tc>
          <w:tcPr>
            <w:tcW w:w="9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000" w:type="dxa"/>
            <w:vAlign w:val="bottom"/>
            <w:tcBorders>
              <w:right w:val="single" w:sz="8" w:color="0000EE"/>
            </w:tcBorders>
            <w:gridSpan w:val="2"/>
          </w:tcPr>
          <w:p>
            <w:pPr>
              <w:spacing w:after="0" w:line="20" w:lineRule="exact"/>
              <w:rPr>
                <w:sz w:val="1"/>
                <w:szCs w:val="1"/>
                <w:color w:val="auto"/>
              </w:rPr>
            </w:pPr>
          </w:p>
        </w:tc>
        <w:tc>
          <w:tcPr>
            <w:tcW w:w="120" w:type="dxa"/>
            <w:vAlign w:val="bottom"/>
            <w:tcBorders>
              <w:right w:val="single" w:sz="8" w:color="0000EE"/>
            </w:tcBorders>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37"/>
        </w:trPr>
        <w:tc>
          <w:tcPr>
            <w:tcW w:w="560" w:type="dxa"/>
            <w:vAlign w:val="bottom"/>
            <w:gridSpan w:val="3"/>
          </w:tcPr>
          <w:p>
            <w:pPr>
              <w:spacing w:after="0"/>
              <w:rPr>
                <w:sz w:val="20"/>
                <w:szCs w:val="20"/>
                <w:color w:val="auto"/>
              </w:rPr>
            </w:pPr>
            <w:r>
              <w:rPr>
                <w:rFonts w:ascii="Arial" w:cs="Arial" w:eastAsia="Arial" w:hAnsi="Arial"/>
                <w:sz w:val="16"/>
                <w:szCs w:val="16"/>
                <w:color w:val="0000EE"/>
                <w:w w:val="87"/>
              </w:rPr>
              <w:t>Item 7A.</w:t>
            </w:r>
          </w:p>
        </w:tc>
        <w:tc>
          <w:tcPr>
            <w:tcW w:w="480" w:type="dxa"/>
            <w:vAlign w:val="bottom"/>
            <w:gridSpan w:val="4"/>
          </w:tcPr>
          <w:p>
            <w:pPr>
              <w:spacing w:after="0"/>
              <w:rPr>
                <w:sz w:val="20"/>
                <w:szCs w:val="20"/>
                <w:color w:val="auto"/>
              </w:rPr>
            </w:pPr>
          </w:p>
        </w:tc>
        <w:tc>
          <w:tcPr>
            <w:tcW w:w="9560" w:type="dxa"/>
            <w:vAlign w:val="bottom"/>
            <w:gridSpan w:val="18"/>
          </w:tcPr>
          <w:p>
            <w:pPr>
              <w:spacing w:after="0"/>
              <w:rPr>
                <w:sz w:val="20"/>
                <w:szCs w:val="20"/>
                <w:color w:val="auto"/>
              </w:rPr>
            </w:pPr>
            <w:r>
              <w:rPr>
                <w:rFonts w:ascii="Arial" w:cs="Arial" w:eastAsia="Arial" w:hAnsi="Arial"/>
                <w:sz w:val="16"/>
                <w:szCs w:val="16"/>
                <w:color w:val="0000EE"/>
              </w:rPr>
              <w:t>Quantitative and Qualitative Disclosures About Market Risk</w:t>
            </w:r>
          </w:p>
        </w:tc>
        <w:tc>
          <w:tcPr>
            <w:tcW w:w="160" w:type="dxa"/>
            <w:vAlign w:val="bottom"/>
            <w:gridSpan w:val="2"/>
          </w:tcPr>
          <w:p>
            <w:pPr>
              <w:jc w:val="center"/>
              <w:ind w:right="40"/>
              <w:spacing w:after="0"/>
              <w:rPr>
                <w:rFonts w:ascii="Arial" w:cs="Arial" w:eastAsia="Arial" w:hAnsi="Arial"/>
                <w:sz w:val="15"/>
                <w:szCs w:val="15"/>
                <w:color w:val="0000EE"/>
                <w:w w:val="71"/>
              </w:rPr>
            </w:pPr>
            <w:hyperlink w:anchor="page68">
              <w:r>
                <w:rPr>
                  <w:rFonts w:ascii="Arial" w:cs="Arial" w:eastAsia="Arial" w:hAnsi="Arial"/>
                  <w:sz w:val="15"/>
                  <w:szCs w:val="15"/>
                  <w:color w:val="0000EE"/>
                  <w:w w:val="71"/>
                </w:rPr>
                <w:t>68</w:t>
              </w:r>
            </w:hyperlink>
          </w:p>
        </w:tc>
      </w:tr>
      <w:tr>
        <w:trPr>
          <w:trHeight w:val="20"/>
        </w:trPr>
        <w:tc>
          <w:tcPr>
            <w:tcW w:w="520" w:type="dxa"/>
            <w:vAlign w:val="bottom"/>
            <w:gridSpan w:val="2"/>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100" w:type="dxa"/>
            <w:vAlign w:val="bottom"/>
            <w:tcBorders>
              <w:left w:val="single" w:sz="8" w:color="0000EE"/>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180" w:type="dxa"/>
            <w:vAlign w:val="bottom"/>
            <w:gridSpan w:val="4"/>
            <w:shd w:val="clear" w:color="auto" w:fill="0000EE"/>
          </w:tcPr>
          <w:p>
            <w:pPr>
              <w:spacing w:after="0" w:line="20" w:lineRule="exact"/>
              <w:rPr>
                <w:sz w:val="1"/>
                <w:szCs w:val="1"/>
                <w:color w:val="auto"/>
              </w:rPr>
            </w:pPr>
          </w:p>
        </w:tc>
        <w:tc>
          <w:tcPr>
            <w:tcW w:w="440" w:type="dxa"/>
            <w:vAlign w:val="bottom"/>
            <w:tcBorders>
              <w:left w:val="single" w:sz="8" w:color="0000EE"/>
            </w:tcBorders>
            <w:gridSpan w:val="2"/>
            <w:shd w:val="clear" w:color="auto" w:fill="0000EE"/>
          </w:tcPr>
          <w:p>
            <w:pPr>
              <w:spacing w:after="0" w:line="20" w:lineRule="exact"/>
              <w:rPr>
                <w:sz w:val="1"/>
                <w:szCs w:val="1"/>
                <w:color w:val="auto"/>
              </w:rPr>
            </w:pPr>
          </w:p>
        </w:tc>
        <w:tc>
          <w:tcPr>
            <w:tcW w:w="960" w:type="dxa"/>
            <w:vAlign w:val="bottom"/>
            <w:gridSpan w:val="2"/>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920" w:type="dxa"/>
            <w:vAlign w:val="bottom"/>
            <w:gridSpan w:val="2"/>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000" w:type="dxa"/>
            <w:vAlign w:val="bottom"/>
            <w:tcBorders>
              <w:right w:val="single" w:sz="8" w:color="0000EE"/>
            </w:tcBorders>
            <w:gridSpan w:val="2"/>
          </w:tcPr>
          <w:p>
            <w:pPr>
              <w:spacing w:after="0" w:line="20" w:lineRule="exact"/>
              <w:rPr>
                <w:sz w:val="1"/>
                <w:szCs w:val="1"/>
                <w:color w:val="auto"/>
              </w:rPr>
            </w:pPr>
          </w:p>
        </w:tc>
        <w:tc>
          <w:tcPr>
            <w:tcW w:w="120" w:type="dxa"/>
            <w:vAlign w:val="bottom"/>
            <w:tcBorders>
              <w:right w:val="single" w:sz="8" w:color="0000EE"/>
            </w:tcBorders>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37"/>
        </w:trPr>
        <w:tc>
          <w:tcPr>
            <w:tcW w:w="460" w:type="dxa"/>
            <w:vAlign w:val="bottom"/>
          </w:tcPr>
          <w:p>
            <w:pPr>
              <w:spacing w:after="0"/>
              <w:rPr>
                <w:sz w:val="20"/>
                <w:szCs w:val="20"/>
                <w:color w:val="auto"/>
              </w:rPr>
            </w:pPr>
            <w:r>
              <w:rPr>
                <w:rFonts w:ascii="Arial" w:cs="Arial" w:eastAsia="Arial" w:hAnsi="Arial"/>
                <w:sz w:val="16"/>
                <w:szCs w:val="16"/>
                <w:color w:val="0000EE"/>
                <w:w w:val="85"/>
              </w:rPr>
              <w:t>Item 8.</w:t>
            </w:r>
          </w:p>
        </w:tc>
        <w:tc>
          <w:tcPr>
            <w:tcW w:w="100" w:type="dxa"/>
            <w:vAlign w:val="bottom"/>
            <w:gridSpan w:val="2"/>
          </w:tcPr>
          <w:p>
            <w:pPr>
              <w:spacing w:after="0"/>
              <w:rPr>
                <w:sz w:val="20"/>
                <w:szCs w:val="20"/>
                <w:color w:val="auto"/>
              </w:rPr>
            </w:pPr>
          </w:p>
        </w:tc>
        <w:tc>
          <w:tcPr>
            <w:tcW w:w="480" w:type="dxa"/>
            <w:vAlign w:val="bottom"/>
            <w:gridSpan w:val="4"/>
          </w:tcPr>
          <w:p>
            <w:pPr>
              <w:spacing w:after="0"/>
              <w:rPr>
                <w:sz w:val="20"/>
                <w:szCs w:val="20"/>
                <w:color w:val="auto"/>
              </w:rPr>
            </w:pPr>
          </w:p>
        </w:tc>
        <w:tc>
          <w:tcPr>
            <w:tcW w:w="3000" w:type="dxa"/>
            <w:vAlign w:val="bottom"/>
            <w:gridSpan w:val="10"/>
          </w:tcPr>
          <w:p>
            <w:pPr>
              <w:spacing w:after="0"/>
              <w:rPr>
                <w:sz w:val="20"/>
                <w:szCs w:val="20"/>
                <w:color w:val="auto"/>
              </w:rPr>
            </w:pPr>
            <w:r>
              <w:rPr>
                <w:rFonts w:ascii="Arial" w:cs="Arial" w:eastAsia="Arial" w:hAnsi="Arial"/>
                <w:sz w:val="16"/>
                <w:szCs w:val="16"/>
                <w:color w:val="0000EE"/>
                <w:w w:val="90"/>
              </w:rPr>
              <w:t>Financial Statements and Supplementary Data</w:t>
            </w:r>
          </w:p>
        </w:tc>
        <w:tc>
          <w:tcPr>
            <w:tcW w:w="920" w:type="dxa"/>
            <w:vAlign w:val="bottom"/>
            <w:gridSpan w:val="2"/>
          </w:tcPr>
          <w:p>
            <w:pPr>
              <w:spacing w:after="0"/>
              <w:rPr>
                <w:sz w:val="20"/>
                <w:szCs w:val="20"/>
                <w:color w:val="auto"/>
              </w:rPr>
            </w:pPr>
          </w:p>
        </w:tc>
        <w:tc>
          <w:tcPr>
            <w:tcW w:w="5640" w:type="dxa"/>
            <w:vAlign w:val="bottom"/>
            <w:gridSpan w:val="6"/>
          </w:tcPr>
          <w:p>
            <w:pPr>
              <w:spacing w:after="0"/>
              <w:rPr>
                <w:sz w:val="20"/>
                <w:szCs w:val="20"/>
                <w:color w:val="auto"/>
              </w:rPr>
            </w:pPr>
          </w:p>
        </w:tc>
        <w:tc>
          <w:tcPr>
            <w:tcW w:w="160" w:type="dxa"/>
            <w:vAlign w:val="bottom"/>
            <w:gridSpan w:val="2"/>
          </w:tcPr>
          <w:p>
            <w:pPr>
              <w:jc w:val="center"/>
              <w:ind w:right="40"/>
              <w:spacing w:after="0"/>
              <w:rPr>
                <w:rFonts w:ascii="Arial" w:cs="Arial" w:eastAsia="Arial" w:hAnsi="Arial"/>
                <w:sz w:val="15"/>
                <w:szCs w:val="15"/>
                <w:color w:val="0000EE"/>
                <w:w w:val="71"/>
              </w:rPr>
            </w:pPr>
            <w:hyperlink w:anchor="page72">
              <w:r>
                <w:rPr>
                  <w:rFonts w:ascii="Arial" w:cs="Arial" w:eastAsia="Arial" w:hAnsi="Arial"/>
                  <w:sz w:val="15"/>
                  <w:szCs w:val="15"/>
                  <w:color w:val="0000EE"/>
                  <w:w w:val="71"/>
                </w:rPr>
                <w:t>72</w:t>
              </w:r>
            </w:hyperlink>
          </w:p>
        </w:tc>
      </w:tr>
      <w:tr>
        <w:trPr>
          <w:trHeight w:val="20"/>
        </w:trPr>
        <w:tc>
          <w:tcPr>
            <w:tcW w:w="46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180" w:type="dxa"/>
            <w:vAlign w:val="bottom"/>
            <w:gridSpan w:val="4"/>
            <w:shd w:val="clear" w:color="auto" w:fill="0000EE"/>
          </w:tcPr>
          <w:p>
            <w:pPr>
              <w:spacing w:after="0" w:line="20" w:lineRule="exact"/>
              <w:rPr>
                <w:sz w:val="1"/>
                <w:szCs w:val="1"/>
                <w:color w:val="auto"/>
              </w:rPr>
            </w:pPr>
          </w:p>
        </w:tc>
        <w:tc>
          <w:tcPr>
            <w:tcW w:w="440" w:type="dxa"/>
            <w:vAlign w:val="bottom"/>
            <w:tcBorders>
              <w:left w:val="single" w:sz="8" w:color="0000EE"/>
            </w:tcBorders>
            <w:gridSpan w:val="2"/>
            <w:shd w:val="clear" w:color="auto" w:fill="0000EE"/>
          </w:tcPr>
          <w:p>
            <w:pPr>
              <w:spacing w:after="0" w:line="20" w:lineRule="exact"/>
              <w:rPr>
                <w:sz w:val="1"/>
                <w:szCs w:val="1"/>
                <w:color w:val="auto"/>
              </w:rPr>
            </w:pPr>
          </w:p>
        </w:tc>
        <w:tc>
          <w:tcPr>
            <w:tcW w:w="960" w:type="dxa"/>
            <w:vAlign w:val="bottom"/>
            <w:gridSpan w:val="2"/>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20" w:type="dxa"/>
            <w:vAlign w:val="bottom"/>
            <w:gridSpan w:val="2"/>
          </w:tcPr>
          <w:p>
            <w:pPr>
              <w:spacing w:after="0" w:line="20" w:lineRule="exact"/>
              <w:rPr>
                <w:sz w:val="1"/>
                <w:szCs w:val="1"/>
                <w:color w:val="auto"/>
              </w:rPr>
            </w:pPr>
          </w:p>
        </w:tc>
        <w:tc>
          <w:tcPr>
            <w:tcW w:w="920" w:type="dxa"/>
            <w:vAlign w:val="bottom"/>
            <w:gridSpan w:val="2"/>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000" w:type="dxa"/>
            <w:vAlign w:val="bottom"/>
            <w:tcBorders>
              <w:right w:val="single" w:sz="8" w:color="0000EE"/>
            </w:tcBorders>
            <w:gridSpan w:val="2"/>
          </w:tcPr>
          <w:p>
            <w:pPr>
              <w:spacing w:after="0" w:line="20" w:lineRule="exact"/>
              <w:rPr>
                <w:sz w:val="1"/>
                <w:szCs w:val="1"/>
                <w:color w:val="auto"/>
              </w:rPr>
            </w:pPr>
          </w:p>
        </w:tc>
        <w:tc>
          <w:tcPr>
            <w:tcW w:w="120" w:type="dxa"/>
            <w:vAlign w:val="bottom"/>
            <w:tcBorders>
              <w:right w:val="single" w:sz="8" w:color="0000EE"/>
            </w:tcBorders>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37"/>
        </w:trPr>
        <w:tc>
          <w:tcPr>
            <w:tcW w:w="460" w:type="dxa"/>
            <w:vAlign w:val="bottom"/>
          </w:tcPr>
          <w:p>
            <w:pPr>
              <w:spacing w:after="0"/>
              <w:rPr>
                <w:sz w:val="20"/>
                <w:szCs w:val="20"/>
                <w:color w:val="auto"/>
              </w:rPr>
            </w:pPr>
            <w:r>
              <w:rPr>
                <w:rFonts w:ascii="Arial" w:cs="Arial" w:eastAsia="Arial" w:hAnsi="Arial"/>
                <w:sz w:val="16"/>
                <w:szCs w:val="16"/>
                <w:color w:val="0000EE"/>
                <w:w w:val="85"/>
              </w:rPr>
              <w:t>Item 9.</w:t>
            </w:r>
          </w:p>
        </w:tc>
        <w:tc>
          <w:tcPr>
            <w:tcW w:w="580" w:type="dxa"/>
            <w:vAlign w:val="bottom"/>
            <w:gridSpan w:val="6"/>
          </w:tcPr>
          <w:p>
            <w:pPr>
              <w:spacing w:after="0"/>
              <w:rPr>
                <w:sz w:val="20"/>
                <w:szCs w:val="20"/>
                <w:color w:val="auto"/>
              </w:rPr>
            </w:pPr>
          </w:p>
        </w:tc>
        <w:tc>
          <w:tcPr>
            <w:tcW w:w="9560" w:type="dxa"/>
            <w:vAlign w:val="bottom"/>
            <w:gridSpan w:val="18"/>
          </w:tcPr>
          <w:p>
            <w:pPr>
              <w:spacing w:after="0"/>
              <w:rPr>
                <w:sz w:val="20"/>
                <w:szCs w:val="20"/>
                <w:color w:val="auto"/>
              </w:rPr>
            </w:pPr>
            <w:r>
              <w:rPr>
                <w:rFonts w:ascii="Arial" w:cs="Arial" w:eastAsia="Arial" w:hAnsi="Arial"/>
                <w:sz w:val="16"/>
                <w:szCs w:val="16"/>
                <w:color w:val="0000EE"/>
              </w:rPr>
              <w:t>Changes in and Disagreements with Accountants on Accounting and Financial Disclosure</w:t>
            </w:r>
          </w:p>
        </w:tc>
        <w:tc>
          <w:tcPr>
            <w:tcW w:w="160" w:type="dxa"/>
            <w:vAlign w:val="bottom"/>
            <w:gridSpan w:val="2"/>
          </w:tcPr>
          <w:p>
            <w:pPr>
              <w:jc w:val="center"/>
              <w:spacing w:after="0"/>
              <w:rPr>
                <w:rFonts w:ascii="Arial" w:cs="Arial" w:eastAsia="Arial" w:hAnsi="Arial"/>
                <w:sz w:val="13"/>
                <w:szCs w:val="13"/>
                <w:color w:val="0000EE"/>
                <w:w w:val="73"/>
              </w:rPr>
            </w:pPr>
            <w:hyperlink w:anchor="page107">
              <w:r>
                <w:rPr>
                  <w:rFonts w:ascii="Arial" w:cs="Arial" w:eastAsia="Arial" w:hAnsi="Arial"/>
                  <w:sz w:val="13"/>
                  <w:szCs w:val="13"/>
                  <w:color w:val="0000EE"/>
                  <w:w w:val="73"/>
                </w:rPr>
                <w:t>107</w:t>
              </w:r>
            </w:hyperlink>
          </w:p>
        </w:tc>
      </w:tr>
      <w:tr>
        <w:trPr>
          <w:trHeight w:val="20"/>
        </w:trPr>
        <w:tc>
          <w:tcPr>
            <w:tcW w:w="46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180" w:type="dxa"/>
            <w:vAlign w:val="bottom"/>
            <w:gridSpan w:val="4"/>
            <w:shd w:val="clear" w:color="auto" w:fill="0000EE"/>
          </w:tcPr>
          <w:p>
            <w:pPr>
              <w:spacing w:after="0" w:line="20" w:lineRule="exact"/>
              <w:rPr>
                <w:sz w:val="1"/>
                <w:szCs w:val="1"/>
                <w:color w:val="auto"/>
              </w:rPr>
            </w:pPr>
          </w:p>
        </w:tc>
        <w:tc>
          <w:tcPr>
            <w:tcW w:w="440" w:type="dxa"/>
            <w:vAlign w:val="bottom"/>
            <w:tcBorders>
              <w:left w:val="single" w:sz="8" w:color="0000EE"/>
            </w:tcBorders>
            <w:gridSpan w:val="2"/>
            <w:shd w:val="clear" w:color="auto" w:fill="0000EE"/>
          </w:tcPr>
          <w:p>
            <w:pPr>
              <w:spacing w:after="0" w:line="20" w:lineRule="exact"/>
              <w:rPr>
                <w:sz w:val="1"/>
                <w:szCs w:val="1"/>
                <w:color w:val="auto"/>
              </w:rPr>
            </w:pPr>
          </w:p>
        </w:tc>
        <w:tc>
          <w:tcPr>
            <w:tcW w:w="960" w:type="dxa"/>
            <w:vAlign w:val="bottom"/>
            <w:gridSpan w:val="2"/>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840" w:type="dxa"/>
            <w:vAlign w:val="bottom"/>
            <w:gridSpan w:val="2"/>
            <w:shd w:val="clear" w:color="auto" w:fill="0000EE"/>
          </w:tcPr>
          <w:p>
            <w:pPr>
              <w:spacing w:after="0" w:line="20" w:lineRule="exact"/>
              <w:rPr>
                <w:sz w:val="1"/>
                <w:szCs w:val="1"/>
                <w:color w:val="auto"/>
              </w:rPr>
            </w:pPr>
          </w:p>
        </w:tc>
        <w:tc>
          <w:tcPr>
            <w:tcW w:w="1220" w:type="dxa"/>
            <w:vAlign w:val="bottom"/>
            <w:gridSpan w:val="2"/>
            <w:shd w:val="clear" w:color="auto" w:fill="0000EE"/>
          </w:tcPr>
          <w:p>
            <w:pPr>
              <w:spacing w:after="0" w:line="20" w:lineRule="exact"/>
              <w:rPr>
                <w:sz w:val="1"/>
                <w:szCs w:val="1"/>
                <w:color w:val="auto"/>
              </w:rPr>
            </w:pPr>
          </w:p>
        </w:tc>
        <w:tc>
          <w:tcPr>
            <w:tcW w:w="920" w:type="dxa"/>
            <w:vAlign w:val="bottom"/>
            <w:gridSpan w:val="2"/>
            <w:shd w:val="clear" w:color="auto" w:fill="0000EE"/>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000" w:type="dxa"/>
            <w:vAlign w:val="bottom"/>
            <w:tcBorders>
              <w:right w:val="single" w:sz="8" w:color="0000EE"/>
            </w:tcBorders>
            <w:gridSpan w:val="2"/>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r>
      <w:tr>
        <w:trPr>
          <w:trHeight w:val="237"/>
        </w:trPr>
        <w:tc>
          <w:tcPr>
            <w:tcW w:w="560" w:type="dxa"/>
            <w:vAlign w:val="bottom"/>
            <w:gridSpan w:val="3"/>
          </w:tcPr>
          <w:p>
            <w:pPr>
              <w:spacing w:after="0"/>
              <w:rPr>
                <w:sz w:val="20"/>
                <w:szCs w:val="20"/>
                <w:color w:val="auto"/>
              </w:rPr>
            </w:pPr>
            <w:r>
              <w:rPr>
                <w:rFonts w:ascii="Arial" w:cs="Arial" w:eastAsia="Arial" w:hAnsi="Arial"/>
                <w:sz w:val="16"/>
                <w:szCs w:val="16"/>
                <w:color w:val="0000EE"/>
                <w:w w:val="87"/>
              </w:rPr>
              <w:t>Item 9A.</w:t>
            </w:r>
          </w:p>
        </w:tc>
        <w:tc>
          <w:tcPr>
            <w:tcW w:w="480" w:type="dxa"/>
            <w:vAlign w:val="bottom"/>
            <w:gridSpan w:val="4"/>
          </w:tcPr>
          <w:p>
            <w:pPr>
              <w:spacing w:after="0"/>
              <w:rPr>
                <w:sz w:val="20"/>
                <w:szCs w:val="20"/>
                <w:color w:val="auto"/>
              </w:rPr>
            </w:pPr>
          </w:p>
        </w:tc>
        <w:tc>
          <w:tcPr>
            <w:tcW w:w="9560" w:type="dxa"/>
            <w:vAlign w:val="bottom"/>
            <w:gridSpan w:val="18"/>
          </w:tcPr>
          <w:p>
            <w:pPr>
              <w:spacing w:after="0"/>
              <w:rPr>
                <w:sz w:val="20"/>
                <w:szCs w:val="20"/>
                <w:color w:val="auto"/>
              </w:rPr>
            </w:pPr>
            <w:r>
              <w:rPr>
                <w:rFonts w:ascii="Arial" w:cs="Arial" w:eastAsia="Arial" w:hAnsi="Arial"/>
                <w:sz w:val="16"/>
                <w:szCs w:val="16"/>
                <w:color w:val="0000EE"/>
              </w:rPr>
              <w:t>Controls and Procedures</w:t>
            </w:r>
          </w:p>
        </w:tc>
        <w:tc>
          <w:tcPr>
            <w:tcW w:w="160" w:type="dxa"/>
            <w:vAlign w:val="bottom"/>
            <w:gridSpan w:val="2"/>
          </w:tcPr>
          <w:p>
            <w:pPr>
              <w:jc w:val="center"/>
              <w:spacing w:after="0"/>
              <w:rPr>
                <w:rFonts w:ascii="Arial" w:cs="Arial" w:eastAsia="Arial" w:hAnsi="Arial"/>
                <w:sz w:val="13"/>
                <w:szCs w:val="13"/>
                <w:color w:val="0000EE"/>
                <w:w w:val="73"/>
              </w:rPr>
            </w:pPr>
            <w:hyperlink w:anchor="page108">
              <w:r>
                <w:rPr>
                  <w:rFonts w:ascii="Arial" w:cs="Arial" w:eastAsia="Arial" w:hAnsi="Arial"/>
                  <w:sz w:val="13"/>
                  <w:szCs w:val="13"/>
                  <w:color w:val="0000EE"/>
                  <w:w w:val="73"/>
                </w:rPr>
                <w:t>107</w:t>
              </w:r>
            </w:hyperlink>
          </w:p>
        </w:tc>
      </w:tr>
      <w:tr>
        <w:trPr>
          <w:trHeight w:val="237"/>
        </w:trPr>
        <w:tc>
          <w:tcPr>
            <w:tcW w:w="560" w:type="dxa"/>
            <w:vAlign w:val="bottom"/>
            <w:tcBorders>
              <w:top w:val="single" w:sz="8" w:color="0000EE"/>
            </w:tcBorders>
            <w:gridSpan w:val="3"/>
          </w:tcPr>
          <w:p>
            <w:pPr>
              <w:spacing w:after="0"/>
              <w:rPr>
                <w:sz w:val="20"/>
                <w:szCs w:val="20"/>
                <w:color w:val="auto"/>
              </w:rPr>
            </w:pPr>
            <w:r>
              <w:rPr>
                <w:rFonts w:ascii="Arial" w:cs="Arial" w:eastAsia="Arial" w:hAnsi="Arial"/>
                <w:sz w:val="16"/>
                <w:szCs w:val="16"/>
                <w:color w:val="0000EE"/>
                <w:w w:val="87"/>
              </w:rPr>
              <w:t>Item 9B.</w:t>
            </w:r>
          </w:p>
        </w:tc>
        <w:tc>
          <w:tcPr>
            <w:tcW w:w="480" w:type="dxa"/>
            <w:vAlign w:val="bottom"/>
            <w:gridSpan w:val="4"/>
          </w:tcPr>
          <w:p>
            <w:pPr>
              <w:spacing w:after="0"/>
              <w:rPr>
                <w:sz w:val="20"/>
                <w:szCs w:val="20"/>
                <w:color w:val="auto"/>
              </w:rPr>
            </w:pPr>
          </w:p>
        </w:tc>
        <w:tc>
          <w:tcPr>
            <w:tcW w:w="1540" w:type="dxa"/>
            <w:vAlign w:val="bottom"/>
            <w:tcBorders>
              <w:top w:val="single" w:sz="8" w:color="0000EE"/>
            </w:tcBorders>
            <w:gridSpan w:val="5"/>
          </w:tcPr>
          <w:p>
            <w:pPr>
              <w:spacing w:after="0"/>
              <w:rPr>
                <w:sz w:val="20"/>
                <w:szCs w:val="20"/>
                <w:color w:val="auto"/>
              </w:rPr>
            </w:pPr>
            <w:r>
              <w:rPr>
                <w:rFonts w:ascii="Arial" w:cs="Arial" w:eastAsia="Arial" w:hAnsi="Arial"/>
                <w:sz w:val="16"/>
                <w:szCs w:val="16"/>
                <w:color w:val="0000EE"/>
              </w:rPr>
              <w:t>Other Information</w:t>
            </w:r>
          </w:p>
        </w:tc>
        <w:tc>
          <w:tcPr>
            <w:tcW w:w="8020" w:type="dxa"/>
            <w:vAlign w:val="bottom"/>
            <w:gridSpan w:val="13"/>
          </w:tcPr>
          <w:p>
            <w:pPr>
              <w:spacing w:after="0"/>
              <w:rPr>
                <w:sz w:val="20"/>
                <w:szCs w:val="20"/>
                <w:color w:val="auto"/>
              </w:rPr>
            </w:pPr>
          </w:p>
        </w:tc>
        <w:tc>
          <w:tcPr>
            <w:tcW w:w="160" w:type="dxa"/>
            <w:vAlign w:val="bottom"/>
            <w:tcBorders>
              <w:top w:val="single" w:sz="8" w:color="0000EE"/>
            </w:tcBorders>
            <w:gridSpan w:val="2"/>
          </w:tcPr>
          <w:p>
            <w:pPr>
              <w:jc w:val="center"/>
              <w:spacing w:after="0"/>
              <w:rPr>
                <w:rFonts w:ascii="Arial" w:cs="Arial" w:eastAsia="Arial" w:hAnsi="Arial"/>
                <w:sz w:val="13"/>
                <w:szCs w:val="13"/>
                <w:color w:val="0000EE"/>
                <w:w w:val="73"/>
              </w:rPr>
            </w:pPr>
            <w:hyperlink w:anchor="page108">
              <w:r>
                <w:rPr>
                  <w:rFonts w:ascii="Arial" w:cs="Arial" w:eastAsia="Arial" w:hAnsi="Arial"/>
                  <w:sz w:val="13"/>
                  <w:szCs w:val="13"/>
                  <w:color w:val="0000EE"/>
                  <w:w w:val="73"/>
                </w:rPr>
                <w:t>107</w:t>
              </w:r>
            </w:hyperlink>
          </w:p>
        </w:tc>
      </w:tr>
      <w:tr>
        <w:trPr>
          <w:trHeight w:val="20"/>
        </w:trPr>
        <w:tc>
          <w:tcPr>
            <w:tcW w:w="520" w:type="dxa"/>
            <w:vAlign w:val="bottom"/>
            <w:gridSpan w:val="2"/>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300" w:type="dxa"/>
            <w:vAlign w:val="bottom"/>
            <w:tcBorders>
              <w:right w:val="single" w:sz="8" w:color="0000EE"/>
            </w:tcBorders>
          </w:tcPr>
          <w:p>
            <w:pPr>
              <w:spacing w:after="0" w:line="20" w:lineRule="exact"/>
              <w:rPr>
                <w:sz w:val="1"/>
                <w:szCs w:val="1"/>
                <w:color w:val="auto"/>
              </w:rPr>
            </w:pPr>
          </w:p>
        </w:tc>
        <w:tc>
          <w:tcPr>
            <w:tcW w:w="120" w:type="dxa"/>
            <w:vAlign w:val="bottom"/>
            <w:tcBorders>
              <w:right w:val="single" w:sz="8" w:color="0000EE"/>
            </w:tcBorders>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r>
      <w:tr>
        <w:trPr>
          <w:trHeight w:val="547"/>
        </w:trPr>
        <w:tc>
          <w:tcPr>
            <w:tcW w:w="1040" w:type="dxa"/>
            <w:vAlign w:val="bottom"/>
            <w:gridSpan w:val="7"/>
          </w:tcPr>
          <w:p>
            <w:pPr>
              <w:spacing w:after="0"/>
              <w:rPr>
                <w:sz w:val="20"/>
                <w:szCs w:val="20"/>
                <w:color w:val="auto"/>
              </w:rPr>
            </w:pPr>
            <w:r>
              <w:rPr>
                <w:rFonts w:ascii="Arial" w:cs="Arial" w:eastAsia="Arial" w:hAnsi="Arial"/>
                <w:sz w:val="16"/>
                <w:szCs w:val="16"/>
                <w:b w:val="1"/>
                <w:bCs w:val="1"/>
                <w:color w:val="0000EE"/>
              </w:rPr>
              <w:t>PART III.</w:t>
            </w:r>
          </w:p>
        </w:tc>
        <w:tc>
          <w:tcPr>
            <w:tcW w:w="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37"/>
        </w:trPr>
        <w:tc>
          <w:tcPr>
            <w:tcW w:w="560" w:type="dxa"/>
            <w:vAlign w:val="bottom"/>
            <w:tcBorders>
              <w:top w:val="single" w:sz="8" w:color="0000EE"/>
            </w:tcBorders>
            <w:gridSpan w:val="3"/>
          </w:tcPr>
          <w:p>
            <w:pPr>
              <w:spacing w:after="0"/>
              <w:rPr>
                <w:sz w:val="20"/>
                <w:szCs w:val="20"/>
                <w:color w:val="auto"/>
              </w:rPr>
            </w:pPr>
            <w:r>
              <w:rPr>
                <w:rFonts w:ascii="Arial" w:cs="Arial" w:eastAsia="Arial" w:hAnsi="Arial"/>
                <w:sz w:val="16"/>
                <w:szCs w:val="16"/>
                <w:color w:val="0000EE"/>
                <w:w w:val="89"/>
              </w:rPr>
              <w:t>Item 10.</w:t>
            </w:r>
          </w:p>
        </w:tc>
        <w:tc>
          <w:tcPr>
            <w:tcW w:w="120" w:type="dxa"/>
            <w:vAlign w:val="bottom"/>
            <w:tcBorders>
              <w:top w:val="single" w:sz="8" w:color="0000EE"/>
            </w:tcBorders>
            <w:gridSpan w:val="3"/>
          </w:tcPr>
          <w:p>
            <w:pPr>
              <w:spacing w:after="0"/>
              <w:rPr>
                <w:sz w:val="20"/>
                <w:szCs w:val="20"/>
                <w:color w:val="auto"/>
              </w:rPr>
            </w:pPr>
          </w:p>
        </w:tc>
        <w:tc>
          <w:tcPr>
            <w:tcW w:w="360" w:type="dxa"/>
            <w:vAlign w:val="bottom"/>
          </w:tcPr>
          <w:p>
            <w:pPr>
              <w:spacing w:after="0"/>
              <w:rPr>
                <w:sz w:val="20"/>
                <w:szCs w:val="20"/>
                <w:color w:val="auto"/>
              </w:rPr>
            </w:pPr>
          </w:p>
        </w:tc>
        <w:tc>
          <w:tcPr>
            <w:tcW w:w="9560" w:type="dxa"/>
            <w:vAlign w:val="bottom"/>
            <w:gridSpan w:val="18"/>
          </w:tcPr>
          <w:p>
            <w:pPr>
              <w:spacing w:after="0"/>
              <w:rPr>
                <w:sz w:val="20"/>
                <w:szCs w:val="20"/>
                <w:color w:val="auto"/>
              </w:rPr>
            </w:pPr>
            <w:r>
              <w:rPr>
                <w:rFonts w:ascii="Arial" w:cs="Arial" w:eastAsia="Arial" w:hAnsi="Arial"/>
                <w:sz w:val="16"/>
                <w:szCs w:val="16"/>
                <w:color w:val="0000EE"/>
              </w:rPr>
              <w:t>Directors, Executive Officers and Corporate Governance</w:t>
            </w:r>
          </w:p>
        </w:tc>
        <w:tc>
          <w:tcPr>
            <w:tcW w:w="160" w:type="dxa"/>
            <w:vAlign w:val="bottom"/>
            <w:gridSpan w:val="2"/>
          </w:tcPr>
          <w:p>
            <w:pPr>
              <w:jc w:val="center"/>
              <w:spacing w:after="0"/>
              <w:rPr>
                <w:rFonts w:ascii="Arial" w:cs="Arial" w:eastAsia="Arial" w:hAnsi="Arial"/>
                <w:sz w:val="13"/>
                <w:szCs w:val="13"/>
                <w:color w:val="0000EE"/>
                <w:w w:val="73"/>
              </w:rPr>
            </w:pPr>
            <w:hyperlink w:anchor="page109">
              <w:r>
                <w:rPr>
                  <w:rFonts w:ascii="Arial" w:cs="Arial" w:eastAsia="Arial" w:hAnsi="Arial"/>
                  <w:sz w:val="13"/>
                  <w:szCs w:val="13"/>
                  <w:color w:val="0000EE"/>
                  <w:w w:val="73"/>
                </w:rPr>
                <w:t>108</w:t>
              </w:r>
            </w:hyperlink>
          </w:p>
        </w:tc>
      </w:tr>
      <w:tr>
        <w:trPr>
          <w:trHeight w:val="237"/>
        </w:trPr>
        <w:tc>
          <w:tcPr>
            <w:tcW w:w="560" w:type="dxa"/>
            <w:vAlign w:val="bottom"/>
            <w:tcBorders>
              <w:top w:val="single" w:sz="8" w:color="0000EE"/>
            </w:tcBorders>
            <w:gridSpan w:val="3"/>
          </w:tcPr>
          <w:p>
            <w:pPr>
              <w:spacing w:after="0"/>
              <w:rPr>
                <w:sz w:val="20"/>
                <w:szCs w:val="20"/>
                <w:color w:val="auto"/>
              </w:rPr>
            </w:pPr>
            <w:r>
              <w:rPr>
                <w:rFonts w:ascii="Arial" w:cs="Arial" w:eastAsia="Arial" w:hAnsi="Arial"/>
                <w:sz w:val="16"/>
                <w:szCs w:val="16"/>
                <w:color w:val="0000EE"/>
                <w:w w:val="89"/>
              </w:rPr>
              <w:t>Item 11.</w:t>
            </w:r>
          </w:p>
        </w:tc>
        <w:tc>
          <w:tcPr>
            <w:tcW w:w="480" w:type="dxa"/>
            <w:vAlign w:val="bottom"/>
            <w:gridSpan w:val="4"/>
          </w:tcPr>
          <w:p>
            <w:pPr>
              <w:spacing w:after="0"/>
              <w:rPr>
                <w:sz w:val="20"/>
                <w:szCs w:val="20"/>
                <w:color w:val="auto"/>
              </w:rPr>
            </w:pPr>
          </w:p>
        </w:tc>
        <w:tc>
          <w:tcPr>
            <w:tcW w:w="3680" w:type="dxa"/>
            <w:vAlign w:val="bottom"/>
            <w:tcBorders>
              <w:top w:val="single" w:sz="8" w:color="0000EE"/>
            </w:tcBorders>
            <w:gridSpan w:val="11"/>
          </w:tcPr>
          <w:p>
            <w:pPr>
              <w:spacing w:after="0"/>
              <w:rPr>
                <w:sz w:val="20"/>
                <w:szCs w:val="20"/>
                <w:color w:val="auto"/>
              </w:rPr>
            </w:pPr>
            <w:r>
              <w:rPr>
                <w:rFonts w:ascii="Arial" w:cs="Arial" w:eastAsia="Arial" w:hAnsi="Arial"/>
                <w:sz w:val="16"/>
                <w:szCs w:val="16"/>
                <w:color w:val="0000EE"/>
              </w:rPr>
              <w:t>Executive Compensation</w:t>
            </w:r>
          </w:p>
        </w:tc>
        <w:tc>
          <w:tcPr>
            <w:tcW w:w="5880" w:type="dxa"/>
            <w:vAlign w:val="bottom"/>
            <w:gridSpan w:val="7"/>
          </w:tcPr>
          <w:p>
            <w:pPr>
              <w:spacing w:after="0"/>
              <w:rPr>
                <w:sz w:val="20"/>
                <w:szCs w:val="20"/>
                <w:color w:val="auto"/>
              </w:rPr>
            </w:pPr>
          </w:p>
        </w:tc>
        <w:tc>
          <w:tcPr>
            <w:tcW w:w="160" w:type="dxa"/>
            <w:vAlign w:val="bottom"/>
            <w:tcBorders>
              <w:top w:val="single" w:sz="8" w:color="0000EE"/>
            </w:tcBorders>
            <w:gridSpan w:val="2"/>
          </w:tcPr>
          <w:p>
            <w:pPr>
              <w:jc w:val="center"/>
              <w:spacing w:after="0"/>
              <w:rPr>
                <w:rFonts w:ascii="Arial" w:cs="Arial" w:eastAsia="Arial" w:hAnsi="Arial"/>
                <w:sz w:val="13"/>
                <w:szCs w:val="13"/>
                <w:color w:val="0000EE"/>
                <w:w w:val="73"/>
              </w:rPr>
            </w:pPr>
            <w:hyperlink w:anchor="page109">
              <w:r>
                <w:rPr>
                  <w:rFonts w:ascii="Arial" w:cs="Arial" w:eastAsia="Arial" w:hAnsi="Arial"/>
                  <w:sz w:val="13"/>
                  <w:szCs w:val="13"/>
                  <w:color w:val="0000EE"/>
                  <w:w w:val="73"/>
                </w:rPr>
                <w:t>108</w:t>
              </w:r>
            </w:hyperlink>
          </w:p>
        </w:tc>
      </w:tr>
      <w:tr>
        <w:trPr>
          <w:trHeight w:val="20"/>
        </w:trPr>
        <w:tc>
          <w:tcPr>
            <w:tcW w:w="52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620" w:type="dxa"/>
            <w:vAlign w:val="bottom"/>
            <w:gridSpan w:val="6"/>
            <w:shd w:val="clear" w:color="auto" w:fill="0000EE"/>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60" w:type="dxa"/>
            <w:vAlign w:val="bottom"/>
            <w:gridSpan w:val="4"/>
          </w:tcPr>
          <w:p>
            <w:pPr>
              <w:spacing w:after="0" w:line="20" w:lineRule="exact"/>
              <w:rPr>
                <w:sz w:val="1"/>
                <w:szCs w:val="1"/>
                <w:color w:val="auto"/>
              </w:rPr>
            </w:pPr>
          </w:p>
        </w:tc>
        <w:tc>
          <w:tcPr>
            <w:tcW w:w="1660" w:type="dxa"/>
            <w:vAlign w:val="bottom"/>
            <w:gridSpan w:val="3"/>
          </w:tcPr>
          <w:p>
            <w:pPr>
              <w:spacing w:after="0" w:line="20" w:lineRule="exact"/>
              <w:rPr>
                <w:sz w:val="1"/>
                <w:szCs w:val="1"/>
                <w:color w:val="auto"/>
              </w:rPr>
            </w:pPr>
          </w:p>
        </w:tc>
        <w:tc>
          <w:tcPr>
            <w:tcW w:w="3000" w:type="dxa"/>
            <w:vAlign w:val="bottom"/>
            <w:tcBorders>
              <w:right w:val="single" w:sz="8" w:color="0000EE"/>
            </w:tcBorders>
            <w:gridSpan w:val="2"/>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r>
      <w:tr>
        <w:trPr>
          <w:trHeight w:val="237"/>
        </w:trPr>
        <w:tc>
          <w:tcPr>
            <w:tcW w:w="560" w:type="dxa"/>
            <w:vAlign w:val="bottom"/>
            <w:gridSpan w:val="3"/>
          </w:tcPr>
          <w:p>
            <w:pPr>
              <w:spacing w:after="0"/>
              <w:rPr>
                <w:sz w:val="20"/>
                <w:szCs w:val="20"/>
                <w:color w:val="auto"/>
              </w:rPr>
            </w:pPr>
            <w:r>
              <w:rPr>
                <w:rFonts w:ascii="Arial" w:cs="Arial" w:eastAsia="Arial" w:hAnsi="Arial"/>
                <w:sz w:val="16"/>
                <w:szCs w:val="16"/>
                <w:color w:val="0000EE"/>
                <w:w w:val="89"/>
              </w:rPr>
              <w:t>Item 12.</w:t>
            </w:r>
          </w:p>
        </w:tc>
        <w:tc>
          <w:tcPr>
            <w:tcW w:w="480" w:type="dxa"/>
            <w:vAlign w:val="bottom"/>
            <w:gridSpan w:val="4"/>
          </w:tcPr>
          <w:p>
            <w:pPr>
              <w:spacing w:after="0"/>
              <w:rPr>
                <w:sz w:val="20"/>
                <w:szCs w:val="20"/>
                <w:color w:val="auto"/>
              </w:rPr>
            </w:pPr>
          </w:p>
        </w:tc>
        <w:tc>
          <w:tcPr>
            <w:tcW w:w="9560" w:type="dxa"/>
            <w:vAlign w:val="bottom"/>
            <w:gridSpan w:val="18"/>
          </w:tcPr>
          <w:p>
            <w:pPr>
              <w:spacing w:after="0"/>
              <w:rPr>
                <w:sz w:val="20"/>
                <w:szCs w:val="20"/>
                <w:color w:val="auto"/>
              </w:rPr>
            </w:pPr>
            <w:r>
              <w:rPr>
                <w:rFonts w:ascii="Arial" w:cs="Arial" w:eastAsia="Arial" w:hAnsi="Arial"/>
                <w:sz w:val="16"/>
                <w:szCs w:val="16"/>
                <w:color w:val="0000EE"/>
              </w:rPr>
              <w:t>Security Ownership of Certain Beneficial Owners and Management and Related Stockholder Matters</w:t>
            </w:r>
          </w:p>
        </w:tc>
        <w:tc>
          <w:tcPr>
            <w:tcW w:w="160" w:type="dxa"/>
            <w:vAlign w:val="bottom"/>
            <w:gridSpan w:val="2"/>
          </w:tcPr>
          <w:p>
            <w:pPr>
              <w:jc w:val="center"/>
              <w:spacing w:after="0"/>
              <w:rPr>
                <w:rFonts w:ascii="Arial" w:cs="Arial" w:eastAsia="Arial" w:hAnsi="Arial"/>
                <w:sz w:val="13"/>
                <w:szCs w:val="13"/>
                <w:color w:val="0000EE"/>
                <w:w w:val="73"/>
              </w:rPr>
            </w:pPr>
            <w:hyperlink w:anchor="page109">
              <w:r>
                <w:rPr>
                  <w:rFonts w:ascii="Arial" w:cs="Arial" w:eastAsia="Arial" w:hAnsi="Arial"/>
                  <w:sz w:val="13"/>
                  <w:szCs w:val="13"/>
                  <w:color w:val="0000EE"/>
                  <w:w w:val="73"/>
                </w:rPr>
                <w:t>108</w:t>
              </w:r>
            </w:hyperlink>
          </w:p>
        </w:tc>
      </w:tr>
      <w:tr>
        <w:trPr>
          <w:trHeight w:val="237"/>
        </w:trPr>
        <w:tc>
          <w:tcPr>
            <w:tcW w:w="560" w:type="dxa"/>
            <w:vAlign w:val="bottom"/>
            <w:tcBorders>
              <w:top w:val="single" w:sz="8" w:color="0000EE"/>
            </w:tcBorders>
            <w:gridSpan w:val="3"/>
          </w:tcPr>
          <w:p>
            <w:pPr>
              <w:spacing w:after="0"/>
              <w:rPr>
                <w:sz w:val="20"/>
                <w:szCs w:val="20"/>
                <w:color w:val="auto"/>
              </w:rPr>
            </w:pPr>
            <w:r>
              <w:rPr>
                <w:rFonts w:ascii="Arial" w:cs="Arial" w:eastAsia="Arial" w:hAnsi="Arial"/>
                <w:sz w:val="16"/>
                <w:szCs w:val="16"/>
                <w:color w:val="0000EE"/>
                <w:w w:val="89"/>
              </w:rPr>
              <w:t>Item 13.</w:t>
            </w:r>
          </w:p>
        </w:tc>
        <w:tc>
          <w:tcPr>
            <w:tcW w:w="480" w:type="dxa"/>
            <w:vAlign w:val="bottom"/>
            <w:gridSpan w:val="4"/>
          </w:tcPr>
          <w:p>
            <w:pPr>
              <w:spacing w:after="0"/>
              <w:rPr>
                <w:sz w:val="20"/>
                <w:szCs w:val="20"/>
                <w:color w:val="auto"/>
              </w:rPr>
            </w:pPr>
          </w:p>
        </w:tc>
        <w:tc>
          <w:tcPr>
            <w:tcW w:w="6560" w:type="dxa"/>
            <w:vAlign w:val="bottom"/>
            <w:tcBorders>
              <w:top w:val="single" w:sz="8" w:color="0000EE"/>
            </w:tcBorders>
            <w:gridSpan w:val="16"/>
          </w:tcPr>
          <w:p>
            <w:pPr>
              <w:spacing w:after="0"/>
              <w:rPr>
                <w:sz w:val="20"/>
                <w:szCs w:val="20"/>
                <w:color w:val="auto"/>
              </w:rPr>
            </w:pPr>
            <w:r>
              <w:rPr>
                <w:rFonts w:ascii="Arial" w:cs="Arial" w:eastAsia="Arial" w:hAnsi="Arial"/>
                <w:sz w:val="16"/>
                <w:szCs w:val="16"/>
                <w:color w:val="0000EE"/>
              </w:rPr>
              <w:t>Certain Relationships and Related Transactions, and Director Independence</w:t>
            </w:r>
          </w:p>
        </w:tc>
        <w:tc>
          <w:tcPr>
            <w:tcW w:w="3000" w:type="dxa"/>
            <w:vAlign w:val="bottom"/>
            <w:gridSpan w:val="2"/>
          </w:tcPr>
          <w:p>
            <w:pPr>
              <w:spacing w:after="0"/>
              <w:rPr>
                <w:sz w:val="20"/>
                <w:szCs w:val="20"/>
                <w:color w:val="auto"/>
              </w:rPr>
            </w:pPr>
          </w:p>
        </w:tc>
        <w:tc>
          <w:tcPr>
            <w:tcW w:w="160" w:type="dxa"/>
            <w:vAlign w:val="bottom"/>
            <w:tcBorders>
              <w:top w:val="single" w:sz="8" w:color="0000EE"/>
            </w:tcBorders>
            <w:gridSpan w:val="2"/>
          </w:tcPr>
          <w:p>
            <w:pPr>
              <w:jc w:val="center"/>
              <w:spacing w:after="0"/>
              <w:rPr>
                <w:rFonts w:ascii="Arial" w:cs="Arial" w:eastAsia="Arial" w:hAnsi="Arial"/>
                <w:sz w:val="13"/>
                <w:szCs w:val="13"/>
                <w:color w:val="0000EE"/>
                <w:w w:val="73"/>
              </w:rPr>
            </w:pPr>
            <w:hyperlink w:anchor="page109">
              <w:r>
                <w:rPr>
                  <w:rFonts w:ascii="Arial" w:cs="Arial" w:eastAsia="Arial" w:hAnsi="Arial"/>
                  <w:sz w:val="13"/>
                  <w:szCs w:val="13"/>
                  <w:color w:val="0000EE"/>
                  <w:w w:val="73"/>
                </w:rPr>
                <w:t>108</w:t>
              </w:r>
            </w:hyperlink>
          </w:p>
        </w:tc>
      </w:tr>
      <w:tr>
        <w:trPr>
          <w:trHeight w:val="237"/>
        </w:trPr>
        <w:tc>
          <w:tcPr>
            <w:tcW w:w="560" w:type="dxa"/>
            <w:vAlign w:val="bottom"/>
            <w:tcBorders>
              <w:top w:val="single" w:sz="8" w:color="0000EE"/>
              <w:bottom w:val="single" w:sz="8" w:color="0000EE"/>
            </w:tcBorders>
            <w:gridSpan w:val="3"/>
          </w:tcPr>
          <w:p>
            <w:pPr>
              <w:spacing w:after="0"/>
              <w:rPr>
                <w:sz w:val="20"/>
                <w:szCs w:val="20"/>
                <w:color w:val="auto"/>
              </w:rPr>
            </w:pPr>
            <w:r>
              <w:rPr>
                <w:rFonts w:ascii="Arial" w:cs="Arial" w:eastAsia="Arial" w:hAnsi="Arial"/>
                <w:sz w:val="16"/>
                <w:szCs w:val="16"/>
                <w:color w:val="0000EE"/>
                <w:w w:val="89"/>
              </w:rPr>
              <w:t>Item 14.</w:t>
            </w:r>
          </w:p>
        </w:tc>
        <w:tc>
          <w:tcPr>
            <w:tcW w:w="480" w:type="dxa"/>
            <w:vAlign w:val="bottom"/>
            <w:gridSpan w:val="4"/>
          </w:tcPr>
          <w:p>
            <w:pPr>
              <w:spacing w:after="0"/>
              <w:rPr>
                <w:sz w:val="20"/>
                <w:szCs w:val="20"/>
                <w:color w:val="auto"/>
              </w:rPr>
            </w:pPr>
          </w:p>
        </w:tc>
        <w:tc>
          <w:tcPr>
            <w:tcW w:w="2580" w:type="dxa"/>
            <w:vAlign w:val="bottom"/>
            <w:tcBorders>
              <w:top w:val="single" w:sz="8" w:color="0000EE"/>
              <w:bottom w:val="single" w:sz="8" w:color="0000EE"/>
            </w:tcBorders>
            <w:gridSpan w:val="8"/>
          </w:tcPr>
          <w:p>
            <w:pPr>
              <w:spacing w:after="0"/>
              <w:rPr>
                <w:sz w:val="20"/>
                <w:szCs w:val="20"/>
                <w:color w:val="auto"/>
              </w:rPr>
            </w:pPr>
            <w:r>
              <w:rPr>
                <w:rFonts w:ascii="Arial" w:cs="Arial" w:eastAsia="Arial" w:hAnsi="Arial"/>
                <w:sz w:val="16"/>
                <w:szCs w:val="16"/>
                <w:color w:val="0000EE"/>
                <w:w w:val="90"/>
              </w:rPr>
              <w:t>Principal Accounting Fees and Services</w:t>
            </w:r>
          </w:p>
        </w:tc>
        <w:tc>
          <w:tcPr>
            <w:tcW w:w="2320" w:type="dxa"/>
            <w:vAlign w:val="bottom"/>
            <w:tcBorders>
              <w:top w:val="single" w:sz="8" w:color="0000EE"/>
            </w:tcBorders>
            <w:gridSpan w:val="5"/>
          </w:tcPr>
          <w:p>
            <w:pPr>
              <w:spacing w:after="0"/>
              <w:rPr>
                <w:sz w:val="20"/>
                <w:szCs w:val="20"/>
                <w:color w:val="auto"/>
              </w:rPr>
            </w:pPr>
          </w:p>
        </w:tc>
        <w:tc>
          <w:tcPr>
            <w:tcW w:w="4660" w:type="dxa"/>
            <w:vAlign w:val="bottom"/>
            <w:gridSpan w:val="5"/>
          </w:tcPr>
          <w:p>
            <w:pPr>
              <w:spacing w:after="0"/>
              <w:rPr>
                <w:sz w:val="20"/>
                <w:szCs w:val="20"/>
                <w:color w:val="auto"/>
              </w:rPr>
            </w:pPr>
          </w:p>
        </w:tc>
        <w:tc>
          <w:tcPr>
            <w:tcW w:w="160" w:type="dxa"/>
            <w:vAlign w:val="bottom"/>
            <w:tcBorders>
              <w:top w:val="single" w:sz="8" w:color="0000EE"/>
              <w:bottom w:val="single" w:sz="8" w:color="0000EE"/>
            </w:tcBorders>
            <w:gridSpan w:val="2"/>
          </w:tcPr>
          <w:p>
            <w:pPr>
              <w:jc w:val="center"/>
              <w:spacing w:after="0"/>
              <w:rPr>
                <w:rFonts w:ascii="Arial" w:cs="Arial" w:eastAsia="Arial" w:hAnsi="Arial"/>
                <w:sz w:val="13"/>
                <w:szCs w:val="13"/>
                <w:color w:val="0000EE"/>
                <w:w w:val="73"/>
              </w:rPr>
            </w:pPr>
            <w:hyperlink w:anchor="page109">
              <w:r>
                <w:rPr>
                  <w:rFonts w:ascii="Arial" w:cs="Arial" w:eastAsia="Arial" w:hAnsi="Arial"/>
                  <w:sz w:val="13"/>
                  <w:szCs w:val="13"/>
                  <w:color w:val="0000EE"/>
                  <w:w w:val="73"/>
                </w:rPr>
                <w:t>108</w:t>
              </w:r>
            </w:hyperlink>
          </w:p>
        </w:tc>
      </w:tr>
      <w:tr>
        <w:trPr>
          <w:trHeight w:val="534"/>
        </w:trPr>
        <w:tc>
          <w:tcPr>
            <w:tcW w:w="660" w:type="dxa"/>
            <w:vAlign w:val="bottom"/>
            <w:tcBorders>
              <w:bottom w:val="single" w:sz="8" w:color="0000EE"/>
            </w:tcBorders>
            <w:gridSpan w:val="5"/>
          </w:tcPr>
          <w:p>
            <w:pPr>
              <w:spacing w:after="0"/>
              <w:rPr>
                <w:sz w:val="20"/>
                <w:szCs w:val="20"/>
                <w:color w:val="auto"/>
              </w:rPr>
            </w:pPr>
            <w:r>
              <w:rPr>
                <w:rFonts w:ascii="Arial" w:cs="Arial" w:eastAsia="Arial" w:hAnsi="Arial"/>
                <w:sz w:val="16"/>
                <w:szCs w:val="16"/>
                <w:b w:val="1"/>
                <w:bCs w:val="1"/>
                <w:color w:val="0000EE"/>
                <w:w w:val="94"/>
              </w:rPr>
              <w:t>PART IV.</w:t>
            </w:r>
          </w:p>
        </w:tc>
        <w:tc>
          <w:tcPr>
            <w:tcW w:w="380" w:type="dxa"/>
            <w:vAlign w:val="bottom"/>
            <w:gridSpan w:val="2"/>
          </w:tcPr>
          <w:p>
            <w:pPr>
              <w:spacing w:after="0"/>
              <w:rPr>
                <w:sz w:val="24"/>
                <w:szCs w:val="24"/>
                <w:color w:val="auto"/>
              </w:rPr>
            </w:pPr>
          </w:p>
        </w:tc>
        <w:tc>
          <w:tcPr>
            <w:tcW w:w="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50"/>
        </w:trPr>
        <w:tc>
          <w:tcPr>
            <w:tcW w:w="560" w:type="dxa"/>
            <w:vAlign w:val="bottom"/>
            <w:tcBorders>
              <w:bottom w:val="single" w:sz="8" w:color="0000EE"/>
            </w:tcBorders>
            <w:gridSpan w:val="3"/>
          </w:tcPr>
          <w:p>
            <w:pPr>
              <w:spacing w:after="0"/>
              <w:rPr>
                <w:sz w:val="20"/>
                <w:szCs w:val="20"/>
                <w:color w:val="auto"/>
              </w:rPr>
            </w:pPr>
            <w:r>
              <w:rPr>
                <w:rFonts w:ascii="Arial" w:cs="Arial" w:eastAsia="Arial" w:hAnsi="Arial"/>
                <w:sz w:val="16"/>
                <w:szCs w:val="16"/>
                <w:color w:val="0000EE"/>
                <w:w w:val="89"/>
              </w:rPr>
              <w:t>Item 15.</w:t>
            </w:r>
          </w:p>
        </w:tc>
        <w:tc>
          <w:tcPr>
            <w:tcW w:w="480" w:type="dxa"/>
            <w:vAlign w:val="bottom"/>
            <w:gridSpan w:val="4"/>
          </w:tcPr>
          <w:p>
            <w:pPr>
              <w:spacing w:after="0"/>
              <w:rPr>
                <w:sz w:val="21"/>
                <w:szCs w:val="21"/>
                <w:color w:val="auto"/>
              </w:rPr>
            </w:pPr>
          </w:p>
        </w:tc>
        <w:tc>
          <w:tcPr>
            <w:tcW w:w="2840" w:type="dxa"/>
            <w:vAlign w:val="bottom"/>
            <w:tcBorders>
              <w:bottom w:val="single" w:sz="8" w:color="0000EE"/>
            </w:tcBorders>
            <w:gridSpan w:val="9"/>
          </w:tcPr>
          <w:p>
            <w:pPr>
              <w:spacing w:after="0"/>
              <w:rPr>
                <w:sz w:val="20"/>
                <w:szCs w:val="20"/>
                <w:color w:val="auto"/>
              </w:rPr>
            </w:pPr>
            <w:r>
              <w:rPr>
                <w:rFonts w:ascii="Arial" w:cs="Arial" w:eastAsia="Arial" w:hAnsi="Arial"/>
                <w:sz w:val="16"/>
                <w:szCs w:val="16"/>
                <w:color w:val="0000EE"/>
                <w:w w:val="90"/>
              </w:rPr>
              <w:t>Exhibits and Financial Statement Schedules</w:t>
            </w:r>
          </w:p>
        </w:tc>
        <w:tc>
          <w:tcPr>
            <w:tcW w:w="6720" w:type="dxa"/>
            <w:vAlign w:val="bottom"/>
            <w:gridSpan w:val="9"/>
          </w:tcPr>
          <w:p>
            <w:pPr>
              <w:spacing w:after="0"/>
              <w:rPr>
                <w:sz w:val="21"/>
                <w:szCs w:val="21"/>
                <w:color w:val="auto"/>
              </w:rPr>
            </w:pPr>
          </w:p>
        </w:tc>
        <w:tc>
          <w:tcPr>
            <w:tcW w:w="160" w:type="dxa"/>
            <w:vAlign w:val="bottom"/>
            <w:tcBorders>
              <w:bottom w:val="single" w:sz="8" w:color="0000EE"/>
            </w:tcBorders>
            <w:gridSpan w:val="2"/>
          </w:tcPr>
          <w:p>
            <w:pPr>
              <w:jc w:val="center"/>
              <w:spacing w:after="0"/>
              <w:rPr>
                <w:rFonts w:ascii="Arial" w:cs="Arial" w:eastAsia="Arial" w:hAnsi="Arial"/>
                <w:sz w:val="13"/>
                <w:szCs w:val="13"/>
                <w:color w:val="0000EE"/>
                <w:w w:val="73"/>
              </w:rPr>
            </w:pPr>
            <w:hyperlink w:anchor="page110">
              <w:r>
                <w:rPr>
                  <w:rFonts w:ascii="Arial" w:cs="Arial" w:eastAsia="Arial" w:hAnsi="Arial"/>
                  <w:sz w:val="13"/>
                  <w:szCs w:val="13"/>
                  <w:color w:val="0000EE"/>
                  <w:w w:val="73"/>
                </w:rPr>
                <w:t>109</w:t>
              </w:r>
            </w:hyperlink>
          </w:p>
        </w:tc>
      </w:tr>
      <w:tr>
        <w:trPr>
          <w:trHeight w:val="237"/>
        </w:trPr>
        <w:tc>
          <w:tcPr>
            <w:tcW w:w="680" w:type="dxa"/>
            <w:vAlign w:val="bottom"/>
            <w:tcBorders>
              <w:bottom w:val="single" w:sz="8" w:color="0000EE"/>
            </w:tcBorders>
            <w:gridSpan w:val="6"/>
          </w:tcPr>
          <w:p>
            <w:pPr>
              <w:spacing w:after="0"/>
              <w:rPr>
                <w:sz w:val="20"/>
                <w:szCs w:val="20"/>
                <w:color w:val="auto"/>
              </w:rPr>
            </w:pPr>
            <w:r>
              <w:rPr>
                <w:rFonts w:ascii="Arial" w:cs="Arial" w:eastAsia="Arial" w:hAnsi="Arial"/>
                <w:sz w:val="16"/>
                <w:szCs w:val="16"/>
                <w:color w:val="0000EE"/>
                <w:w w:val="86"/>
              </w:rPr>
              <w:t>Signatures</w:t>
            </w:r>
          </w:p>
        </w:tc>
        <w:tc>
          <w:tcPr>
            <w:tcW w:w="3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160" w:type="dxa"/>
            <w:vAlign w:val="bottom"/>
            <w:tcBorders>
              <w:bottom w:val="single" w:sz="8" w:color="0000EE"/>
            </w:tcBorders>
            <w:gridSpan w:val="2"/>
          </w:tcPr>
          <w:p>
            <w:pPr>
              <w:jc w:val="center"/>
              <w:spacing w:after="0"/>
              <w:rPr>
                <w:rFonts w:ascii="Arial" w:cs="Arial" w:eastAsia="Arial" w:hAnsi="Arial"/>
                <w:sz w:val="13"/>
                <w:szCs w:val="13"/>
                <w:color w:val="0000EE"/>
                <w:w w:val="73"/>
              </w:rPr>
            </w:pPr>
            <w:hyperlink w:anchor="page111">
              <w:r>
                <w:rPr>
                  <w:rFonts w:ascii="Arial" w:cs="Arial" w:eastAsia="Arial" w:hAnsi="Arial"/>
                  <w:sz w:val="13"/>
                  <w:szCs w:val="13"/>
                  <w:color w:val="0000EE"/>
                  <w:w w:val="73"/>
                </w:rPr>
                <w:t>111</w:t>
              </w:r>
            </w:hyperlink>
          </w:p>
        </w:tc>
      </w:tr>
    </w:tbl>
    <w:p>
      <w:pPr>
        <w:spacing w:after="0" w:line="200" w:lineRule="exact"/>
        <w:rPr>
          <w:sz w:val="20"/>
          <w:szCs w:val="20"/>
          <w:color w:val="auto"/>
        </w:rPr>
      </w:pPr>
    </w:p>
    <w:p>
      <w:pPr>
        <w:spacing w:after="0" w:line="299"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0760"/>
          </w:cols>
          <w:pgMar w:left="280" w:top="580" w:right="85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PART I.</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 </w:t>
      </w:r>
      <w:r>
        <w:rPr>
          <w:rFonts w:ascii="Arial" w:cs="Arial" w:eastAsia="Arial" w:hAnsi="Arial"/>
          <w:sz w:val="18"/>
          <w:szCs w:val="18"/>
          <w:b w:val="1"/>
          <w:bCs w:val="1"/>
          <w:i w:val="1"/>
          <w:iCs w:val="1"/>
          <w:color w:val="auto"/>
        </w:rPr>
        <w:t>Business</w:t>
      </w:r>
    </w:p>
    <w:p>
      <w:pPr>
        <w:spacing w:after="0" w:line="189"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American Capital Agency Corp. ("AGNC," the "Company," "we," "us" and "our") was organized on January 7, 2008 and commenced operations on May 20, 2008 following the completion of our initial public offering. Our common stock is traded on The NASDAQ Global Select Market under the symbol "AGNC." We are externally managed by American Capital AGNC Management, LLC (our "Manager"), an affiliate of American Capital, Ltd. ("American Capital").</w:t>
      </w:r>
    </w:p>
    <w:p>
      <w:pPr>
        <w:spacing w:after="0" w:line="129"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We operate so as to qualify to be taxed as a real estate investment trust ("REIT") under the Internal Revenue Code of 1986, as amended (the "Internal Revenue Code"). As such, we are required to distribute annually 90% of our taxable net income. As long as we qualify as a REIT, we will generally not be subject to U.S. federal or state corporate taxes on our taxable net income to the extent that we distribute all of our annual taxable net income to our stockholders. It is our intention to distribute 100% of our taxable net income, after application of available tax attributes, within the limits prescribed by the Internal Revenue Code, which may extend into the subsequent taxable year.</w:t>
      </w:r>
    </w:p>
    <w:p>
      <w:pPr>
        <w:spacing w:after="0" w:line="134"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We earn income primarily from investing on a leveraged basis in agency mortgage-backed securities ("agency MBS"). These investments consist of residential mortgage pass-through securities and collateralized mortgage obligations ("CMOs") for which the principal and interest payments are guaranteed by a government-sponsored enterprise, such as the Federal National Mortgage Association ("Fannie Mae") and the Federal Home Loan Mortgage Corporation ("Freddie Mac"), or by a U.S. Government agency, such as the Government National Mortgage Association ("Ginnie Mae") (collectively referred to as "GSEs"). We may also invest in other assets reasonably related to agency securities and up to 10% of our assets in AAA non-agency and commercial mortgage-backed securities (collectively referred to as "AAA non-agency MBS").</w:t>
      </w:r>
    </w:p>
    <w:p>
      <w:pPr>
        <w:spacing w:after="0" w:line="139"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Our principal objective is to generate attractive risk-adjusted returns for distribution to our stockholders through regular monthly dividends from the combination of our net interest income and net realized gains and losses on our investments and hedging activities while preserving our net asset value (also referred to as "net book value," "NAV" and "stockholders' equity"). We fund our investments primarily through short-term borrowings structured as repurchase agreements.</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Investment Strategy</w:t>
      </w:r>
    </w:p>
    <w:p>
      <w:pPr>
        <w:spacing w:after="0" w:line="17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Our investment strategy is designed to:</w:t>
      </w:r>
    </w:p>
    <w:p>
      <w:pPr>
        <w:spacing w:after="0" w:line="185" w:lineRule="exact"/>
        <w:rPr>
          <w:sz w:val="20"/>
          <w:szCs w:val="20"/>
          <w:color w:val="auto"/>
        </w:rPr>
      </w:pPr>
    </w:p>
    <w:p>
      <w:pPr>
        <w:ind w:left="760" w:hanging="347"/>
        <w:spacing w:after="0"/>
        <w:tabs>
          <w:tab w:leader="none" w:pos="760" w:val="left"/>
        </w:tabs>
        <w:numPr>
          <w:ilvl w:val="0"/>
          <w:numId w:val="1"/>
        </w:numPr>
        <w:rPr>
          <w:rFonts w:ascii="Arial" w:cs="Arial" w:eastAsia="Arial" w:hAnsi="Arial"/>
          <w:sz w:val="18"/>
          <w:szCs w:val="18"/>
          <w:color w:val="auto"/>
        </w:rPr>
      </w:pPr>
      <w:r>
        <w:rPr>
          <w:rFonts w:ascii="Arial" w:cs="Arial" w:eastAsia="Arial" w:hAnsi="Arial"/>
          <w:sz w:val="18"/>
          <w:szCs w:val="18"/>
          <w:color w:val="auto"/>
        </w:rPr>
        <w:t>manage an investment portfolio consisting primarily of agency securities that seeks to generate attractive risk-adjusted returns;</w:t>
      </w:r>
    </w:p>
    <w:p>
      <w:pPr>
        <w:spacing w:after="0" w:line="130" w:lineRule="exact"/>
        <w:rPr>
          <w:rFonts w:ascii="Arial" w:cs="Arial" w:eastAsia="Arial" w:hAnsi="Arial"/>
          <w:sz w:val="18"/>
          <w:szCs w:val="18"/>
          <w:color w:val="auto"/>
        </w:rPr>
      </w:pPr>
    </w:p>
    <w:p>
      <w:pPr>
        <w:ind w:left="760" w:hanging="347"/>
        <w:spacing w:after="0"/>
        <w:tabs>
          <w:tab w:leader="none" w:pos="760" w:val="left"/>
        </w:tabs>
        <w:numPr>
          <w:ilvl w:val="0"/>
          <w:numId w:val="1"/>
        </w:numPr>
        <w:rPr>
          <w:rFonts w:ascii="Arial" w:cs="Arial" w:eastAsia="Arial" w:hAnsi="Arial"/>
          <w:sz w:val="18"/>
          <w:szCs w:val="18"/>
          <w:color w:val="auto"/>
        </w:rPr>
      </w:pPr>
      <w:r>
        <w:rPr>
          <w:rFonts w:ascii="Arial" w:cs="Arial" w:eastAsia="Arial" w:hAnsi="Arial"/>
          <w:sz w:val="18"/>
          <w:szCs w:val="18"/>
          <w:color w:val="auto"/>
        </w:rPr>
        <w:t>capitalize on discrepancies in the relative valuations in the agency and AAA non-agency securities market;</w:t>
      </w:r>
    </w:p>
    <w:p>
      <w:pPr>
        <w:spacing w:after="0" w:line="130" w:lineRule="exact"/>
        <w:rPr>
          <w:rFonts w:ascii="Arial" w:cs="Arial" w:eastAsia="Arial" w:hAnsi="Arial"/>
          <w:sz w:val="18"/>
          <w:szCs w:val="18"/>
          <w:color w:val="auto"/>
        </w:rPr>
      </w:pPr>
    </w:p>
    <w:p>
      <w:pPr>
        <w:ind w:left="760" w:hanging="347"/>
        <w:spacing w:after="0"/>
        <w:tabs>
          <w:tab w:leader="none" w:pos="760" w:val="left"/>
        </w:tabs>
        <w:numPr>
          <w:ilvl w:val="0"/>
          <w:numId w:val="1"/>
        </w:numPr>
        <w:rPr>
          <w:rFonts w:ascii="Arial" w:cs="Arial" w:eastAsia="Arial" w:hAnsi="Arial"/>
          <w:sz w:val="18"/>
          <w:szCs w:val="18"/>
          <w:color w:val="auto"/>
        </w:rPr>
      </w:pPr>
      <w:r>
        <w:rPr>
          <w:rFonts w:ascii="Arial" w:cs="Arial" w:eastAsia="Arial" w:hAnsi="Arial"/>
          <w:sz w:val="18"/>
          <w:szCs w:val="18"/>
          <w:color w:val="auto"/>
        </w:rPr>
        <w:t>manage financing, interest rate, prepayment and extension risks;</w:t>
      </w:r>
    </w:p>
    <w:p>
      <w:pPr>
        <w:spacing w:after="0" w:line="130" w:lineRule="exact"/>
        <w:rPr>
          <w:rFonts w:ascii="Arial" w:cs="Arial" w:eastAsia="Arial" w:hAnsi="Arial"/>
          <w:sz w:val="18"/>
          <w:szCs w:val="18"/>
          <w:color w:val="auto"/>
        </w:rPr>
      </w:pPr>
    </w:p>
    <w:p>
      <w:pPr>
        <w:ind w:left="760" w:hanging="347"/>
        <w:spacing w:after="0"/>
        <w:tabs>
          <w:tab w:leader="none" w:pos="76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preserve our net book value;</w:t>
      </w:r>
    </w:p>
    <w:p>
      <w:pPr>
        <w:spacing w:after="0" w:line="130" w:lineRule="exact"/>
        <w:rPr>
          <w:rFonts w:ascii="Arial" w:cs="Arial" w:eastAsia="Arial" w:hAnsi="Arial"/>
          <w:sz w:val="18"/>
          <w:szCs w:val="18"/>
          <w:color w:val="auto"/>
        </w:rPr>
      </w:pPr>
    </w:p>
    <w:p>
      <w:pPr>
        <w:ind w:left="760" w:hanging="347"/>
        <w:spacing w:after="0"/>
        <w:tabs>
          <w:tab w:leader="none" w:pos="76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provide regular monthly distributions to our stockholders;</w:t>
      </w:r>
    </w:p>
    <w:p>
      <w:pPr>
        <w:spacing w:after="0" w:line="130" w:lineRule="exact"/>
        <w:rPr>
          <w:rFonts w:ascii="Arial" w:cs="Arial" w:eastAsia="Arial" w:hAnsi="Arial"/>
          <w:sz w:val="18"/>
          <w:szCs w:val="18"/>
          <w:color w:val="auto"/>
        </w:rPr>
      </w:pPr>
    </w:p>
    <w:p>
      <w:pPr>
        <w:ind w:left="760" w:hanging="347"/>
        <w:spacing w:after="0"/>
        <w:tabs>
          <w:tab w:leader="none" w:pos="760" w:val="left"/>
        </w:tabs>
        <w:numPr>
          <w:ilvl w:val="0"/>
          <w:numId w:val="1"/>
        </w:numPr>
        <w:rPr>
          <w:rFonts w:ascii="Arial" w:cs="Arial" w:eastAsia="Arial" w:hAnsi="Arial"/>
          <w:sz w:val="18"/>
          <w:szCs w:val="18"/>
          <w:color w:val="auto"/>
        </w:rPr>
      </w:pPr>
      <w:r>
        <w:rPr>
          <w:rFonts w:ascii="Arial" w:cs="Arial" w:eastAsia="Arial" w:hAnsi="Arial"/>
          <w:sz w:val="18"/>
          <w:szCs w:val="18"/>
          <w:color w:val="auto"/>
        </w:rPr>
        <w:t>continue to qualify as a REIT; and</w:t>
      </w:r>
    </w:p>
    <w:p>
      <w:pPr>
        <w:spacing w:after="0" w:line="130" w:lineRule="exact"/>
        <w:rPr>
          <w:rFonts w:ascii="Arial" w:cs="Arial" w:eastAsia="Arial" w:hAnsi="Arial"/>
          <w:sz w:val="18"/>
          <w:szCs w:val="18"/>
          <w:color w:val="auto"/>
        </w:rPr>
      </w:pPr>
    </w:p>
    <w:p>
      <w:pPr>
        <w:ind w:left="760" w:hanging="347"/>
        <w:spacing w:after="0"/>
        <w:tabs>
          <w:tab w:leader="none" w:pos="760" w:val="left"/>
        </w:tabs>
        <w:numPr>
          <w:ilvl w:val="0"/>
          <w:numId w:val="1"/>
        </w:numPr>
        <w:rPr>
          <w:rFonts w:ascii="Arial" w:cs="Arial" w:eastAsia="Arial" w:hAnsi="Arial"/>
          <w:sz w:val="18"/>
          <w:szCs w:val="18"/>
          <w:color w:val="auto"/>
        </w:rPr>
      </w:pPr>
      <w:r>
        <w:rPr>
          <w:rFonts w:ascii="Arial" w:cs="Arial" w:eastAsia="Arial" w:hAnsi="Arial"/>
          <w:sz w:val="18"/>
          <w:szCs w:val="18"/>
          <w:color w:val="auto"/>
        </w:rPr>
        <w:t>remain exempt from the requirements of the Investment Company Act of 1940, as amended (the "Investment Company Act").</w:t>
      </w:r>
    </w:p>
    <w:p>
      <w:pPr>
        <w:spacing w:after="0" w:line="22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Our Targeted Investments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Agency Mortgage-Backed Securities</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agency MBS in which we invest consist of agency residential pass-through certificates and collateralized mortgage obligations:</w:t>
      </w:r>
    </w:p>
    <w:p>
      <w:pPr>
        <w:spacing w:after="0" w:line="181" w:lineRule="exact"/>
        <w:rPr>
          <w:sz w:val="20"/>
          <w:szCs w:val="20"/>
          <w:color w:val="auto"/>
        </w:rPr>
      </w:pPr>
    </w:p>
    <w:p>
      <w:pPr>
        <w:jc w:val="both"/>
        <w:ind w:left="760" w:hanging="347"/>
        <w:spacing w:after="0" w:line="274" w:lineRule="auto"/>
        <w:tabs>
          <w:tab w:leader="none" w:pos="760" w:val="left"/>
        </w:tabs>
        <w:numPr>
          <w:ilvl w:val="0"/>
          <w:numId w:val="2"/>
        </w:numPr>
        <w:rPr>
          <w:rFonts w:ascii="Arial" w:cs="Arial" w:eastAsia="Arial" w:hAnsi="Arial"/>
          <w:sz w:val="17"/>
          <w:szCs w:val="17"/>
          <w:color w:val="auto"/>
        </w:rPr>
      </w:pPr>
      <w:r>
        <w:rPr>
          <w:rFonts w:ascii="Arial" w:cs="Arial" w:eastAsia="Arial" w:hAnsi="Arial"/>
          <w:sz w:val="17"/>
          <w:szCs w:val="17"/>
          <w:b w:val="1"/>
          <w:bCs w:val="1"/>
          <w:i w:val="1"/>
          <w:iCs w:val="1"/>
          <w:color w:val="auto"/>
        </w:rPr>
        <w:t>Agency Residential Pass-Through Certificates</w:t>
      </w:r>
      <w:r>
        <w:rPr>
          <w:rFonts w:ascii="Arial" w:cs="Arial" w:eastAsia="Arial" w:hAnsi="Arial"/>
          <w:sz w:val="17"/>
          <w:szCs w:val="17"/>
          <w:b w:val="1"/>
          <w:bCs w:val="1"/>
          <w:color w:val="auto"/>
        </w:rPr>
        <w:t>.</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Agency residential pass-through certificates are securities representing interests in "pools" of</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mortgage loans secured by residential real property. Monthly payments of principal and interest made by the individual borrowers on the mortgage loans that underlie the securities, which are guaranteed by a GSE to holders of the securities, are in effect "passed through," net of fees paid to the issuer/guarantor and servicers of the securities, to the holders of the securities. In general, mortgage pass-through certificates distribute cash flows from the underlying collateral on a pro rata basis among the holders of the securities. Holders of the securities also receive guarantor advances of principal and interest for delinquent loans in the mortgage pools.</w:t>
      </w:r>
    </w:p>
    <w:p>
      <w:pPr>
        <w:spacing w:after="0" w:line="137" w:lineRule="exact"/>
        <w:rPr>
          <w:rFonts w:ascii="Arial" w:cs="Arial" w:eastAsia="Arial" w:hAnsi="Arial"/>
          <w:sz w:val="17"/>
          <w:szCs w:val="17"/>
          <w:color w:val="auto"/>
        </w:rPr>
      </w:pPr>
    </w:p>
    <w:p>
      <w:pPr>
        <w:ind w:left="760" w:right="20" w:hanging="320"/>
        <w:spacing w:after="0" w:line="277" w:lineRule="auto"/>
        <w:tabs>
          <w:tab w:leader="none" w:pos="760" w:val="left"/>
        </w:tabs>
        <w:numPr>
          <w:ilvl w:val="1"/>
          <w:numId w:val="2"/>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Agency Collateralized Mortgage Obligations. </w:t>
      </w:r>
      <w:r>
        <w:rPr>
          <w:rFonts w:ascii="Arial" w:cs="Arial" w:eastAsia="Arial" w:hAnsi="Arial"/>
          <w:sz w:val="18"/>
          <w:szCs w:val="18"/>
          <w:color w:val="auto"/>
        </w:rPr>
        <w:t>Agency CMOs are securities that are structured instruments representing interests in agency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residential pass-through certificates. Agency CMOs consist of multiple classes of securities, with</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580" w:right="239" w:bottom="1440" w:gutter="0" w:footer="0" w:header="0"/>
        </w:sectPr>
      </w:pPr>
    </w:p>
    <w:bookmarkStart w:id="3" w:name="page4"/>
    <w:bookmarkEnd w:id="3"/>
    <w:p>
      <w:pPr>
        <w:jc w:val="both"/>
        <w:ind w:left="760"/>
        <w:spacing w:after="0" w:line="329" w:lineRule="auto"/>
        <w:rPr>
          <w:sz w:val="20"/>
          <w:szCs w:val="20"/>
          <w:color w:val="auto"/>
        </w:rPr>
      </w:pPr>
      <w:r>
        <w:rPr>
          <w:rFonts w:ascii="Arial" w:cs="Arial" w:eastAsia="Arial" w:hAnsi="Arial"/>
          <w:sz w:val="17"/>
          <w:szCs w:val="17"/>
          <w:color w:val="auto"/>
        </w:rPr>
        <w:t>each class having specified characteristics, including stated maturity dates, weighted average lives and rules governing principal and interest distribution. Monthly payments of principal and interest, including prepayments, are typically returned to different classes based on rules described in the trust documents. Principal and interest payments may also be divided between holders of different securities in the agency CMO and some securities may only receive interest payments while others may only receive principal payments.</w:t>
      </w:r>
    </w:p>
    <w:p>
      <w:pPr>
        <w:spacing w:after="0" w:line="90"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agency MBS that we acquire provide funds for mortgage loans made to residential homeowners. These securities generally represent interests in pools of mortgage loans made by mortgage bankers, commercial banks, savings and loan institutions, and other mortgage lenders. These pools of mortgage loans are assembled for sale to investors, such as us, by various government-related or private organizations.</w:t>
      </w:r>
    </w:p>
    <w:p>
      <w:pPr>
        <w:spacing w:after="0" w:line="127" w:lineRule="exact"/>
        <w:rPr>
          <w:sz w:val="20"/>
          <w:szCs w:val="20"/>
          <w:color w:val="auto"/>
        </w:rPr>
      </w:pPr>
    </w:p>
    <w:p>
      <w:pPr>
        <w:jc w:val="both"/>
        <w:ind w:firstLine="432"/>
        <w:spacing w:after="0" w:line="285" w:lineRule="auto"/>
        <w:rPr>
          <w:sz w:val="20"/>
          <w:szCs w:val="20"/>
          <w:color w:val="auto"/>
        </w:rPr>
      </w:pPr>
      <w:r>
        <w:rPr>
          <w:rFonts w:ascii="Arial" w:cs="Arial" w:eastAsia="Arial" w:hAnsi="Arial"/>
          <w:sz w:val="17"/>
          <w:szCs w:val="17"/>
          <w:color w:val="auto"/>
        </w:rPr>
        <w:t>Agency MBS differ from other forms of traditional debt securities, which normally provide for periodic payments of interest in fixed amounts with principal payments at maturity or on specified call dates. Instead, agency MBS provide for a monthly payment, which may consist of both principal and interest. In addition, principal may be prepaid, without penalty, at par at any time due to prepayments on the underlying mortgage loans. These differences can result in significantly greater price and yield volatility than is the case with traditional fixed-income securities.</w:t>
      </w:r>
    </w:p>
    <w:p>
      <w:pPr>
        <w:spacing w:after="0" w:line="125" w:lineRule="exact"/>
        <w:rPr>
          <w:sz w:val="20"/>
          <w:szCs w:val="20"/>
          <w:color w:val="auto"/>
        </w:rPr>
      </w:pPr>
    </w:p>
    <w:p>
      <w:pPr>
        <w:jc w:val="both"/>
        <w:ind w:firstLine="432"/>
        <w:spacing w:after="0" w:line="291" w:lineRule="auto"/>
        <w:rPr>
          <w:sz w:val="20"/>
          <w:szCs w:val="20"/>
          <w:color w:val="auto"/>
        </w:rPr>
      </w:pPr>
      <w:r>
        <w:rPr>
          <w:rFonts w:ascii="Arial" w:cs="Arial" w:eastAsia="Arial" w:hAnsi="Arial"/>
          <w:sz w:val="16"/>
          <w:szCs w:val="16"/>
          <w:color w:val="auto"/>
        </w:rPr>
        <w:t>Various factors affect the rate at which mortgage prepayments occur, including changes in the level of and directional trends in housing prices, interest rates, general economic conditions, loan age and size, loan-to-value ratio, the location of the property and social and demographic conditions. Additionally, changes to GSE guarantee fees, underwriting practices or other governmental programs could also significantly impact prepayment rates or expectations. Also, the pace at which the loans underlying our securities become seriously delinquent or are modified and the timing of GSE repurchases of such loans from our securities can materially impact the rate of prepayments. Generally, prepayments on agency MBS increase during periods of falling mortgage interest rates and decrease during periods of rising mortgage interest rates. However, this may not always be the case. We may reinvest principal repayments at a yield that is lower or higher than the yield on the repaid investment, thus affecting our net interest income by altering the average yield on our assets.</w:t>
      </w:r>
    </w:p>
    <w:p>
      <w:pPr>
        <w:spacing w:after="0" w:line="113" w:lineRule="exact"/>
        <w:rPr>
          <w:sz w:val="20"/>
          <w:szCs w:val="20"/>
          <w:color w:val="auto"/>
        </w:rPr>
      </w:pPr>
    </w:p>
    <w:p>
      <w:pPr>
        <w:jc w:val="both"/>
        <w:ind w:firstLine="405"/>
        <w:spacing w:after="0" w:line="273" w:lineRule="auto"/>
        <w:rPr>
          <w:sz w:val="20"/>
          <w:szCs w:val="20"/>
          <w:color w:val="auto"/>
        </w:rPr>
      </w:pPr>
      <w:r>
        <w:rPr>
          <w:rFonts w:ascii="Arial" w:cs="Arial" w:eastAsia="Arial" w:hAnsi="Arial"/>
          <w:sz w:val="17"/>
          <w:szCs w:val="17"/>
          <w:color w:val="auto"/>
        </w:rPr>
        <w:t>When interest rates are declining, the value of agency MBS with prepayment options may not increase as much as other fixed income securities or could even decrease. The rate of prepayments on underlying mortgages affect the price and volatility of agency MBS and may have the effect of shortening or extending the duration of the security beyond what was anticipated at the time of purchase. When interest rates rise, our holdings of agency MBS may experience reduced returns if the owners of the underlying mortgages pay off their mortgages slower than anticipated. This could cause the prices of our mortgage assets to fall more than we anticipated and for our hedge portfolio to underperform relative to the decline in the value of our mortgage assets, thus reducing our net book value. This is generally referred to as "extension risk".</w:t>
      </w:r>
    </w:p>
    <w:p>
      <w:pPr>
        <w:spacing w:after="0" w:line="138"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Agency MBS are collateralized by pools of either fixed-rate mortgage loans, adjustable-rate mortgage loans ("ARMs") or hybrid ARMs. Hybrid ARMs are mortgage loans that have interest rates that are fixed for an initial period (typically three, five, seven or 10 years) and, thereafter, reset at regular intervals subject to interest rate caps. Our allocation of investments among securities collateralized by fixed-rate mortgage loans, ARMs or hybrid ARMs depends on our assessment of the relative value of the securities, which is based on numerous factors including, but not limited to, expected future prepayment trends, supply and demand, costs of financing, costs of hedging, expected future interest rate volatility and the overall shape of the U.S. Treasury and interest rate swap yield curves.</w:t>
      </w:r>
    </w:p>
    <w:p>
      <w:pPr>
        <w:spacing w:after="0" w:line="139"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Fannie Mae and Freddie Mac:</w:t>
      </w:r>
    </w:p>
    <w:p>
      <w:pPr>
        <w:spacing w:after="0" w:line="171" w:lineRule="exact"/>
        <w:rPr>
          <w:sz w:val="20"/>
          <w:szCs w:val="20"/>
          <w:color w:val="auto"/>
        </w:rPr>
      </w:pPr>
    </w:p>
    <w:p>
      <w:pPr>
        <w:jc w:val="both"/>
        <w:ind w:firstLine="405"/>
        <w:spacing w:after="0" w:line="273" w:lineRule="auto"/>
        <w:rPr>
          <w:sz w:val="20"/>
          <w:szCs w:val="20"/>
          <w:color w:val="auto"/>
        </w:rPr>
      </w:pPr>
      <w:r>
        <w:rPr>
          <w:rFonts w:ascii="Arial" w:cs="Arial" w:eastAsia="Arial" w:hAnsi="Arial"/>
          <w:sz w:val="17"/>
          <w:szCs w:val="17"/>
          <w:color w:val="auto"/>
        </w:rPr>
        <w:t>We primarily invest in Fannie Mae and Freddie Mac agency MBS. Fannie Mae and Freddie Mac are stockholder-owned corporations chartered by Congress with a public mission to provide liquidity, stability, and affordability to the U.S. housing market. Fannie Mae and Freddie Mac are currently regulated by the Federal Housing Finance Agency ("FHFA"), the U.S. Department of Housing and Urban Development ("HUD"), the U.S. Securities and Exchange Commission, and the U.S. Department of the Treasury ("U.S. Treasury") and are currently operating under the conservatorship of FHFA. The U.S. Treasury has agreed to support the continuing operations of Fannie Mae and Freddie Mac with any necessary capital contributions while in conservatorship. However, the U.S. government does not guarantee the securities, or other obligations, of Fannie Mae or Freddie Mac.</w:t>
      </w:r>
    </w:p>
    <w:p>
      <w:pPr>
        <w:spacing w:after="0" w:line="124" w:lineRule="exact"/>
        <w:rPr>
          <w:sz w:val="20"/>
          <w:szCs w:val="20"/>
          <w:color w:val="auto"/>
        </w:rPr>
      </w:pPr>
    </w:p>
    <w:p>
      <w:pPr>
        <w:jc w:val="both"/>
        <w:ind w:firstLine="405"/>
        <w:spacing w:after="0" w:line="273" w:lineRule="auto"/>
        <w:rPr>
          <w:sz w:val="20"/>
          <w:szCs w:val="20"/>
          <w:color w:val="auto"/>
        </w:rPr>
      </w:pPr>
      <w:r>
        <w:rPr>
          <w:rFonts w:ascii="Arial" w:cs="Arial" w:eastAsia="Arial" w:hAnsi="Arial"/>
          <w:sz w:val="17"/>
          <w:szCs w:val="17"/>
          <w:color w:val="auto"/>
        </w:rPr>
        <w:t>Fannie Mae and Freddie Mac operate in the secondary mortgage market. They purchase residential mortgage loans and mortgage-related securities from primary mortgage market institutions, such as commercial banks, savings and loan associations, mortgage banking companies, seller/servicers, securities dealers and other investors. Through the mortgage securitization process, they package mortgage loans into guaranteed MBS for sale to investors, such as us, in the form of pass-through certificates and guarantee the payment of principal and interest on the securities, in exchange for guarantee fees. The underlying loans must meet certain underwriting standards established by Fannie Mae and Freddie Mac (referred to as "conforming loans") and may be fixed or adjustable rate loans with original terms to maturity generally up to 40 years.</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773" w:right="239" w:bottom="1440" w:gutter="0" w:footer="0" w:header="0"/>
        </w:sectPr>
      </w:pPr>
    </w:p>
    <w:bookmarkStart w:id="4" w:name="page5"/>
    <w:bookmarkEnd w:id="4"/>
    <w:p>
      <w:pPr>
        <w:ind w:left="420"/>
        <w:spacing w:after="0"/>
        <w:rPr>
          <w:sz w:val="20"/>
          <w:szCs w:val="20"/>
          <w:color w:val="auto"/>
        </w:rPr>
      </w:pPr>
      <w:r>
        <w:rPr>
          <w:rFonts w:ascii="Arial" w:cs="Arial" w:eastAsia="Arial" w:hAnsi="Arial"/>
          <w:sz w:val="18"/>
          <w:szCs w:val="18"/>
          <w:i w:val="1"/>
          <w:iCs w:val="1"/>
          <w:color w:val="auto"/>
        </w:rPr>
        <w:t>Ginnie Mae:</w:t>
      </w:r>
    </w:p>
    <w:p>
      <w:pPr>
        <w:spacing w:after="0" w:line="171" w:lineRule="exact"/>
        <w:rPr>
          <w:sz w:val="20"/>
          <w:szCs w:val="20"/>
          <w:color w:val="auto"/>
        </w:rPr>
      </w:pPr>
    </w:p>
    <w:p>
      <w:pPr>
        <w:jc w:val="both"/>
        <w:ind w:firstLine="405"/>
        <w:spacing w:after="0" w:line="276" w:lineRule="auto"/>
        <w:rPr>
          <w:sz w:val="20"/>
          <w:szCs w:val="20"/>
          <w:color w:val="auto"/>
        </w:rPr>
      </w:pPr>
      <w:r>
        <w:rPr>
          <w:rFonts w:ascii="Arial" w:cs="Arial" w:eastAsia="Arial" w:hAnsi="Arial"/>
          <w:sz w:val="17"/>
          <w:szCs w:val="17"/>
          <w:color w:val="auto"/>
        </w:rPr>
        <w:t>Ginnie Mae is a wholly-owned corporate instrumentality of the United States within HUD. Ginnie Mae guarantees the timely payment of the principal and interest on certificates that represent an interest in a pool of mortgages insured by the Federal Housing Administration ("FHA"), partially guaranteed by the Department of Veterans Affairs or otherwise eligible for inclusion in mortgage pools underlying Ginnie Mae certificates. Section 306(g) of the Housing Act provides that the full faith and credit of the United States is pledged to the payment of all amounts that may be required to be paid under any guaranty by Ginnie Mae. Ginnie Mae certificates are primarily backed by single-family mortgage loans.</w:t>
      </w:r>
    </w:p>
    <w:p>
      <w:pPr>
        <w:spacing w:after="0" w:line="11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Non-Agency Mortgage-Backed Securities</w:t>
      </w:r>
    </w:p>
    <w:p>
      <w:pPr>
        <w:spacing w:after="0" w:line="171"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Non-agency mortgage investments in which we may invest consist of investment grade, AAA rated MBS backed by residential or commercial mortgages, for which the payment of principal and interest is not guaranteed by a GSE or government agency. Instead, a private institution such as a commercial bank will package residential or commercial mortgage loans and securitize them through the issuance of MBS. Non-agency MBS backed by residential loans are often referred to as private label MBS and MBS backed by commercial loans as CMBS. Investment grade, AAA rated non-agency MBS benefit from credit enhancements derived from structural elements, such as subordination, overcollateralization or insurance; however, they carry a higher level of credit exposure relative to agency MBS.</w:t>
      </w:r>
    </w:p>
    <w:p>
      <w:pPr>
        <w:spacing w:after="0" w:line="1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Investment Methods</w:t>
      </w:r>
    </w:p>
    <w:p>
      <w:pPr>
        <w:spacing w:after="0" w:line="175"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We purchase mortgage securities either in initial offerings or on the secondary market through broker-dealers or similar entities. We may also utilize to-be-announced forward contracts ("TBA securities") in order to invest in agency MBS or to hedge our investments. A TBA security is a forward contract for the purchase or the sale of agency securities at a predetermined price, face amount, issuer, coupon and stated maturity on an agreed-upon future date, but the particular agency securities to be delivered are not identified until shortly before the TBA settlement date. We may also choose, prior to settlement, to move the settlement of these securities out to a later date by entering into an offsetting position (referred to as a "pair off"), net settling the paired off positions for cash, and simultaneously entering into a similar TBA contract for a later settlement date, which is commonly collectively referred to as a "dollar roll" transaction.</w:t>
      </w:r>
    </w:p>
    <w:p>
      <w:pPr>
        <w:spacing w:after="0" w:line="13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Our Active Portfolio Management Strategy</w:t>
      </w:r>
    </w:p>
    <w:p>
      <w:pPr>
        <w:spacing w:after="0" w:line="175" w:lineRule="exact"/>
        <w:rPr>
          <w:sz w:val="20"/>
          <w:szCs w:val="20"/>
          <w:color w:val="auto"/>
        </w:rPr>
      </w:pPr>
    </w:p>
    <w:p>
      <w:pPr>
        <w:jc w:val="both"/>
        <w:ind w:firstLine="432"/>
        <w:spacing w:after="0" w:line="288" w:lineRule="auto"/>
        <w:rPr>
          <w:sz w:val="20"/>
          <w:szCs w:val="20"/>
          <w:color w:val="auto"/>
        </w:rPr>
      </w:pPr>
      <w:r>
        <w:rPr>
          <w:rFonts w:ascii="Arial" w:cs="Arial" w:eastAsia="Arial" w:hAnsi="Arial"/>
          <w:sz w:val="16"/>
          <w:szCs w:val="16"/>
          <w:color w:val="auto"/>
        </w:rPr>
        <w:t>Our Manager employs on our behalf an active management strategy to achieve our principal objectives of generating attractive risk-adjusted returns and preservation of our net book value. Our active management strategy primarily involves buying and selling securities in all sectors of the agency securities market, including fixed-rate agency securities, adjustable-rate agency securities, agency CMOs and options on agency securities. We may also invest in other assets reasonably related to agency securities and up to 10% of our investment portfolio in AAA non-agency securities. The specific securities in which we invest are based on our Manager's continual assessment of the relative risk-return profile of these securities and our ability to hedge a portion of our exposure to market risks. Therefore, the composition of our portfolio and hedging strategies will vary as our Manager believes changes to market conditions, risks and valuations warrant. Consequently, we may experience investment gains or losses when we sell securities that our Manager no longer believes will provide attractive risk-adjusted returns or when our Manager believes more attractive alternatives are available elsewhere in the agency or AAA non-agency securities market. We may also experience gains or losses as a result of our hedging strategies. Our leverage may also fluctuate as we pursue our active management strategy, but we generally would expect our leverage to be six to eleven times our stockholders' equity.</w:t>
      </w:r>
    </w:p>
    <w:p>
      <w:pPr>
        <w:spacing w:after="0" w:line="111"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Investment Committee and Investment Guidelines</w:t>
      </w:r>
    </w:p>
    <w:p>
      <w:pPr>
        <w:spacing w:after="0" w:line="229"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The investment committee established by our Manager consists of Messrs. Malon Wilkus, John R. Erickson, Samuel A. Flax and Thomas A. McHale, each of whom is an officer of our Manager. The role of the investment committee is to monitor the performance of our Manager with respect to our investment guidelines and investment strategy, to monitor our investment portfolio and to monitor our compliance requirements related to our intention to qualify as a REIT and to remain exempt from registration as an investment company under the Investment Company Act. The investment committee meets as frequently as it believes is required to maintain prudent oversight of our investment activities. Our Board of Directors receives an investment report and reviews our investment portfolio and related compliance with the investment guidelines on at least a quarterly basis. Our Board of Directors does not review or approve individual investments, but receives notification in the event that we operate outside of our operating policies or investment guidelines.</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746" w:right="239" w:bottom="1440" w:gutter="0" w:footer="0" w:header="0"/>
        </w:sectPr>
      </w:pPr>
    </w:p>
    <w:bookmarkStart w:id="5" w:name="page6"/>
    <w:bookmarkEnd w:id="5"/>
    <w:p>
      <w:pPr>
        <w:ind w:left="440"/>
        <w:spacing w:after="0"/>
        <w:rPr>
          <w:sz w:val="20"/>
          <w:szCs w:val="20"/>
          <w:color w:val="auto"/>
        </w:rPr>
      </w:pPr>
      <w:r>
        <w:rPr>
          <w:rFonts w:ascii="Arial" w:cs="Arial" w:eastAsia="Arial" w:hAnsi="Arial"/>
          <w:sz w:val="18"/>
          <w:szCs w:val="18"/>
          <w:color w:val="auto"/>
        </w:rPr>
        <w:t>Our Board of Directors has approved the following investment guidelines:</w:t>
      </w:r>
    </w:p>
    <w:p>
      <w:pPr>
        <w:spacing w:after="0" w:line="198" w:lineRule="exact"/>
        <w:rPr>
          <w:sz w:val="20"/>
          <w:szCs w:val="20"/>
          <w:color w:val="auto"/>
        </w:rPr>
      </w:pPr>
    </w:p>
    <w:p>
      <w:pPr>
        <w:ind w:left="760" w:right="20" w:hanging="347"/>
        <w:spacing w:after="0" w:line="277" w:lineRule="auto"/>
        <w:tabs>
          <w:tab w:leader="none" w:pos="7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all of our investments (other than for hedging purposes and investments in approved broker-dealers) shall be in agency securities or in assets reasonably related to agency securities, with up to 10% of our portfolio consisting of AAA non-agency securities;</w:t>
      </w:r>
    </w:p>
    <w:p>
      <w:pPr>
        <w:spacing w:after="0" w:line="116" w:lineRule="exact"/>
        <w:rPr>
          <w:rFonts w:ascii="Arial" w:cs="Arial" w:eastAsia="Arial" w:hAnsi="Arial"/>
          <w:sz w:val="18"/>
          <w:szCs w:val="18"/>
          <w:color w:val="auto"/>
        </w:rPr>
      </w:pPr>
    </w:p>
    <w:p>
      <w:pPr>
        <w:ind w:left="760" w:hanging="347"/>
        <w:spacing w:after="0"/>
        <w:tabs>
          <w:tab w:leader="none" w:pos="760" w:val="left"/>
        </w:tabs>
        <w:numPr>
          <w:ilvl w:val="0"/>
          <w:numId w:val="3"/>
        </w:numPr>
        <w:rPr>
          <w:rFonts w:ascii="Arial" w:cs="Arial" w:eastAsia="Arial" w:hAnsi="Arial"/>
          <w:sz w:val="18"/>
          <w:szCs w:val="18"/>
          <w:color w:val="auto"/>
        </w:rPr>
      </w:pPr>
      <w:r>
        <w:rPr>
          <w:rFonts w:ascii="Arial" w:cs="Arial" w:eastAsia="Arial" w:hAnsi="Arial"/>
          <w:sz w:val="18"/>
          <w:szCs w:val="18"/>
          <w:color w:val="auto"/>
        </w:rPr>
        <w:t>no investment shall be made that would cause us to fail to qualify as a REIT for federal income tax purposes;</w:t>
      </w:r>
    </w:p>
    <w:p>
      <w:pPr>
        <w:spacing w:after="0" w:line="198" w:lineRule="exact"/>
        <w:rPr>
          <w:rFonts w:ascii="Arial" w:cs="Arial" w:eastAsia="Arial" w:hAnsi="Arial"/>
          <w:sz w:val="18"/>
          <w:szCs w:val="18"/>
          <w:color w:val="auto"/>
        </w:rPr>
      </w:pPr>
    </w:p>
    <w:p>
      <w:pPr>
        <w:ind w:left="760" w:hanging="347"/>
        <w:spacing w:after="0"/>
        <w:tabs>
          <w:tab w:leader="none" w:pos="760" w:val="left"/>
        </w:tabs>
        <w:numPr>
          <w:ilvl w:val="0"/>
          <w:numId w:val="3"/>
        </w:numPr>
        <w:rPr>
          <w:rFonts w:ascii="Arial" w:cs="Arial" w:eastAsia="Arial" w:hAnsi="Arial"/>
          <w:sz w:val="18"/>
          <w:szCs w:val="18"/>
          <w:color w:val="auto"/>
        </w:rPr>
      </w:pPr>
      <w:r>
        <w:rPr>
          <w:rFonts w:ascii="Arial" w:cs="Arial" w:eastAsia="Arial" w:hAnsi="Arial"/>
          <w:sz w:val="18"/>
          <w:szCs w:val="18"/>
          <w:color w:val="auto"/>
        </w:rPr>
        <w:t>no investment shall be made that would cause us to be regulated as an investment company under the Investment Company Act; and</w:t>
      </w:r>
    </w:p>
    <w:p>
      <w:pPr>
        <w:spacing w:after="0" w:line="198" w:lineRule="exact"/>
        <w:rPr>
          <w:rFonts w:ascii="Arial" w:cs="Arial" w:eastAsia="Arial" w:hAnsi="Arial"/>
          <w:sz w:val="18"/>
          <w:szCs w:val="18"/>
          <w:color w:val="auto"/>
        </w:rPr>
      </w:pPr>
    </w:p>
    <w:p>
      <w:pPr>
        <w:ind w:left="760" w:hanging="347"/>
        <w:spacing w:after="0" w:line="277" w:lineRule="auto"/>
        <w:tabs>
          <w:tab w:leader="none" w:pos="760" w:val="left"/>
        </w:tabs>
        <w:numPr>
          <w:ilvl w:val="0"/>
          <w:numId w:val="3"/>
        </w:numPr>
        <w:rPr>
          <w:rFonts w:ascii="Arial" w:cs="Arial" w:eastAsia="Arial" w:hAnsi="Arial"/>
          <w:sz w:val="18"/>
          <w:szCs w:val="18"/>
          <w:color w:val="auto"/>
        </w:rPr>
      </w:pPr>
      <w:r>
        <w:rPr>
          <w:rFonts w:ascii="Arial" w:cs="Arial" w:eastAsia="Arial" w:hAnsi="Arial"/>
          <w:sz w:val="18"/>
          <w:szCs w:val="18"/>
          <w:color w:val="auto"/>
        </w:rPr>
        <w:t>prior to entering into any proposed investment transaction with American Capital or any of its affiliates, a majority of our independent directors must approve the terms of the transaction.</w:t>
      </w:r>
    </w:p>
    <w:p>
      <w:pPr>
        <w:spacing w:after="0" w:line="143"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investment committee may change these investment guidelines at any time, including a change that would permit us to invest in other mortgage related investments, with the approval of our Board of Directors (which must include a majority of our independent directors). Changes to our investment guidelines do not require stockholder approval.</w:t>
      </w:r>
    </w:p>
    <w:p>
      <w:pPr>
        <w:spacing w:after="0" w:line="123"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Our Financing Strategy</w:t>
      </w:r>
    </w:p>
    <w:p>
      <w:pPr>
        <w:spacing w:after="0" w:line="202" w:lineRule="exact"/>
        <w:rPr>
          <w:sz w:val="20"/>
          <w:szCs w:val="20"/>
          <w:color w:val="auto"/>
        </w:rPr>
      </w:pPr>
    </w:p>
    <w:p>
      <w:pPr>
        <w:jc w:val="both"/>
        <w:ind w:firstLine="459"/>
        <w:spacing w:after="0" w:line="284" w:lineRule="auto"/>
        <w:rPr>
          <w:sz w:val="20"/>
          <w:szCs w:val="20"/>
          <w:color w:val="auto"/>
        </w:rPr>
      </w:pPr>
      <w:r>
        <w:rPr>
          <w:rFonts w:ascii="Arial" w:cs="Arial" w:eastAsia="Arial" w:hAnsi="Arial"/>
          <w:sz w:val="17"/>
          <w:szCs w:val="17"/>
          <w:color w:val="auto"/>
        </w:rPr>
        <w:t>As part of our investment strategy, we leverage our investment portfolio to increase potential returns to our stockholders. Our primary source of financing is through short-term repurchase agreements. A repurchase transaction acts as a financing arrangement under which we effectively pledge our investment securities as collateral to secure a short-term loan. Our borrowings pursuant to these repurchase transactions generally have maturities that range from 30 days to one year, but may have maturities of fewer than 30 days or up to five or more years. Under our repurchase agreements we typically pay a floating rate based on the one, three or six month London Interbank Offered Rate, or LIBOR, plus or minus a fixed spread.</w:t>
      </w:r>
    </w:p>
    <w:p>
      <w:pPr>
        <w:spacing w:after="0" w:line="113"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Our leverage may vary periodically depending on market conditions, our Manager's assessment of risk and returns and our ability to continue to borrow funds sufficient to fund acquisitions of mortgage securities. We generally would expect our leverage to be within six to eleven times the amount of our stockholders' equity. However, under certain market conditions, we may operate at leverage levels outside of this range for extended periods of time.</w:t>
      </w:r>
    </w:p>
    <w:p>
      <w:pPr>
        <w:spacing w:after="0" w:line="93" w:lineRule="exact"/>
        <w:rPr>
          <w:sz w:val="20"/>
          <w:szCs w:val="20"/>
          <w:color w:val="auto"/>
        </w:rPr>
      </w:pPr>
    </w:p>
    <w:p>
      <w:pPr>
        <w:jc w:val="both"/>
        <w:ind w:firstLine="432"/>
        <w:spacing w:after="0" w:line="291" w:lineRule="auto"/>
        <w:rPr>
          <w:sz w:val="20"/>
          <w:szCs w:val="20"/>
          <w:color w:val="auto"/>
        </w:rPr>
      </w:pPr>
      <w:r>
        <w:rPr>
          <w:rFonts w:ascii="Arial" w:cs="Arial" w:eastAsia="Arial" w:hAnsi="Arial"/>
          <w:sz w:val="16"/>
          <w:szCs w:val="16"/>
          <w:color w:val="auto"/>
        </w:rPr>
        <w:t>We had master repurchase agreements with 36 financial institutions as of December 31, 2015. The terms of the repurchase transaction borrowings under our master repurchase agreements generally conform to the terms in the standard master repurchase agreement as published by the Securities Industry and Financial Markets Association ("SIFMA") as to repayment, margin requirements and the segregation of all securities we have initially sold under the repurchase transaction. In addition, each lender typically requires that we include supplemental terms and conditions to the standard master repurchase agreement. Typical supplemental terms and conditions include changes to the margin maintenance requirements, required "haircuts," purchase price maintenance requirements, requirements that all controversies related to the repurchase agreement be litigated in a particular jurisdiction and cross default provisions. These provisions differ for each of our lenders and certain of these terms are not determined until we engage in a specific repurchase transaction.</w:t>
      </w:r>
    </w:p>
    <w:p>
      <w:pPr>
        <w:spacing w:after="0" w:line="140" w:lineRule="exact"/>
        <w:rPr>
          <w:sz w:val="20"/>
          <w:szCs w:val="20"/>
          <w:color w:val="auto"/>
        </w:rPr>
      </w:pPr>
    </w:p>
    <w:p>
      <w:pPr>
        <w:jc w:val="both"/>
        <w:ind w:firstLine="432"/>
        <w:spacing w:after="0" w:line="253" w:lineRule="auto"/>
        <w:rPr>
          <w:sz w:val="20"/>
          <w:szCs w:val="20"/>
          <w:color w:val="auto"/>
        </w:rPr>
      </w:pPr>
      <w:r>
        <w:rPr>
          <w:rFonts w:ascii="Arial" w:cs="Arial" w:eastAsia="Arial" w:hAnsi="Arial"/>
          <w:sz w:val="18"/>
          <w:szCs w:val="18"/>
          <w:color w:val="auto"/>
        </w:rPr>
        <w:t>We may also seek to obtain other sources of financing depending on market conditions. We may finance the acquisition of agency MBS by entering into TBA dollar roll transactions in which we would sell a TBA contract for current month settlement and simultaneously purchase a similar TBA contract for a forward settlement date. Prior to the forward settlement date, we may choose to roll the position out to a later date by entering into an offsetting TBA position, net settling the paired off positions for cash, and simultaneously entering into a similar TBA contract for a later settlement date. In such transactions, the TBA contract purchased for a forward settlement date is priced at a discount to the TBA contract sold for settlement/pair off in the current month. This difference (or discount) is referred to as the "price drop." The price drop is the economic equivalent of net interest carry income on the underlying agency MBS over the roll period (interest income less implied financing cost) and is commonly referred to as "dollar roll income." Consequently, dollar roll transactions represent a form of off-balance sheet financing. In evaluating our overall leverage at risk, we consider both our on-balance and off-balance sheet financing.</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746" w:right="239" w:bottom="1440" w:gutter="0" w:footer="0" w:header="0"/>
        </w:sectPr>
      </w:pPr>
    </w:p>
    <w:bookmarkStart w:id="6" w:name="page7"/>
    <w:bookmarkEnd w:id="6"/>
    <w:p>
      <w:pPr>
        <w:jc w:val="both"/>
        <w:ind w:firstLine="486"/>
        <w:spacing w:after="0" w:line="291" w:lineRule="auto"/>
        <w:rPr>
          <w:sz w:val="20"/>
          <w:szCs w:val="20"/>
          <w:color w:val="auto"/>
        </w:rPr>
      </w:pPr>
      <w:r>
        <w:rPr>
          <w:rFonts w:ascii="Arial" w:cs="Arial" w:eastAsia="Arial" w:hAnsi="Arial"/>
          <w:sz w:val="16"/>
          <w:szCs w:val="16"/>
          <w:color w:val="auto"/>
        </w:rPr>
        <w:t>In April 2015, our wholly-owned captive insurance subsidiary, Old Georgetown Insurance Co., LLC ("OGI"), was approved as a member of the Federal Home Loan Bank ("FHLB") of Des Moines. The FHLBs provide a variety of products and services to their members, including short and long-term secured loans, called "advances." FHLB members may use a variety of real estate related assets, including agency MBS and AAA non-agency securities, as collateral for such advances. Membership in the FHLB obligates OGI to purchase membership and activity-based stock in the FHLB, the latter dependent upon the aggregate amount of advances obtained from the FHLB. On January 12, 2016, the FHFA released its final rule on proposed changes to regulations concerning FHLB membership criteria previously issued in September 2014. The final rule terminates OGI's FHLB membership and requires repayment of all advances at the earlier of their contractual maturity dates or one year after the effective date of the final rule (February 2017).</w:t>
      </w:r>
    </w:p>
    <w:p>
      <w:pPr>
        <w:spacing w:after="0" w:line="167" w:lineRule="exact"/>
        <w:rPr>
          <w:sz w:val="20"/>
          <w:szCs w:val="20"/>
          <w:color w:val="auto"/>
        </w:rPr>
      </w:pPr>
    </w:p>
    <w:p>
      <w:pPr>
        <w:jc w:val="both"/>
        <w:ind w:firstLine="486"/>
        <w:spacing w:after="0" w:line="302" w:lineRule="auto"/>
        <w:rPr>
          <w:sz w:val="20"/>
          <w:szCs w:val="20"/>
          <w:color w:val="auto"/>
        </w:rPr>
      </w:pPr>
      <w:r>
        <w:rPr>
          <w:rFonts w:ascii="Arial" w:cs="Arial" w:eastAsia="Arial" w:hAnsi="Arial"/>
          <w:sz w:val="16"/>
          <w:szCs w:val="16"/>
          <w:color w:val="auto"/>
        </w:rPr>
        <w:t>During 2015, we formed a wholly-owned captive broker-dealer subsidiary, Bethesda Securities, LLC ("BES"). BES is currently in the regulatory application process and expects to be operational in mid-2016. BES intends to become a member of the Fixed Income Clearing Corporation ("FICC"), thereby providing us with access to additional repurchase agreement funding and TBA trade clearing capabilities. There can be no assurances that BES will be successful in receiving the regulatory approvals required to become operational or that BES will be successful in becoming a member of the FICC.</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Risk Management Strategy</w:t>
      </w:r>
    </w:p>
    <w:p>
      <w:pPr>
        <w:spacing w:after="0" w:line="189" w:lineRule="exact"/>
        <w:rPr>
          <w:sz w:val="20"/>
          <w:szCs w:val="20"/>
          <w:color w:val="auto"/>
        </w:rPr>
      </w:pPr>
    </w:p>
    <w:p>
      <w:pPr>
        <w:jc w:val="both"/>
        <w:ind w:firstLine="405"/>
        <w:spacing w:after="0" w:line="272" w:lineRule="auto"/>
        <w:rPr>
          <w:sz w:val="20"/>
          <w:szCs w:val="20"/>
          <w:color w:val="auto"/>
        </w:rPr>
      </w:pPr>
      <w:r>
        <w:rPr>
          <w:rFonts w:ascii="Arial" w:cs="Arial" w:eastAsia="Arial" w:hAnsi="Arial"/>
          <w:sz w:val="17"/>
          <w:szCs w:val="17"/>
          <w:color w:val="auto"/>
        </w:rPr>
        <w:t>We use a variety of strategies to hedge a portion of our exposure to market risks, including interest rate, prepayment and extension risks, to the extent that our Manager believes is prudent, taking into account our investment strategy, the cost of the hedging transactions and our intention to qualify as a REIT. Our hedging strategies are generally not designed to protect our net book value from "spread risk" (also referred to as "basis risk"). Consequently, while we use interest rate swaps and other supplemental hedges to attempt to protect our net book value against moves in interest rates, we may not hedge certain interest rate, prepayment or extension risks if our Manager believes that bearing such risks enhances our return relative to our risk/return profile, or the hedging transaction would negatively impact our REIT status. Furthermore, such instruments typically will not protect our net book value against spread risk and, therefore, the value of our investment securities and our net book value could decline.</w:t>
      </w:r>
    </w:p>
    <w:p>
      <w:pPr>
        <w:spacing w:after="0" w:line="124" w:lineRule="exact"/>
        <w:rPr>
          <w:sz w:val="20"/>
          <w:szCs w:val="20"/>
          <w:color w:val="auto"/>
        </w:rPr>
      </w:pPr>
    </w:p>
    <w:p>
      <w:pPr>
        <w:jc w:val="both"/>
        <w:ind w:left="660" w:hanging="328"/>
        <w:spacing w:after="0" w:line="272" w:lineRule="auto"/>
        <w:tabs>
          <w:tab w:leader="none" w:pos="660" w:val="left"/>
        </w:tabs>
        <w:numPr>
          <w:ilvl w:val="0"/>
          <w:numId w:val="4"/>
        </w:numPr>
        <w:rPr>
          <w:rFonts w:ascii="Arial" w:cs="Arial" w:eastAsia="Arial" w:hAnsi="Arial"/>
          <w:sz w:val="17"/>
          <w:szCs w:val="17"/>
          <w:color w:val="auto"/>
        </w:rPr>
      </w:pPr>
      <w:r>
        <w:rPr>
          <w:rFonts w:ascii="Arial" w:cs="Arial" w:eastAsia="Arial" w:hAnsi="Arial"/>
          <w:sz w:val="17"/>
          <w:szCs w:val="17"/>
          <w:b w:val="1"/>
          <w:bCs w:val="1"/>
          <w:i w:val="1"/>
          <w:iCs w:val="1"/>
          <w:color w:val="auto"/>
        </w:rPr>
        <w:t xml:space="preserve">Interest Rate Risk. </w:t>
      </w:r>
      <w:r>
        <w:rPr>
          <w:rFonts w:ascii="Arial" w:cs="Arial" w:eastAsia="Arial" w:hAnsi="Arial"/>
          <w:sz w:val="17"/>
          <w:szCs w:val="17"/>
          <w:color w:val="auto"/>
        </w:rPr>
        <w:t>We hedge a portion of our exposure to potential interest rate mismatches between the interest we earn on our longer term</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investments and the interest we pay on our shorter term borrowings. Because a majority of our funding is in the form of repurchase agreements, our financing costs fluctuate based on short-term interest rate indices, such as LIBOR. Because our investments are assets that primarily have fixed rates of interest and could mature in up to 40 years, the interest we earn on those assets generally does not move in tandem with the interest that we pay on our repurchase agreements; therefore, we may experience reduced income or losses due to adverse rate movements. In order to attempt to mitigate a portion of such risk, we utilize certain hedging techniques to attempt to lock in a portion of the net interest spread between the interest we earn on our assets and the interest we pay on our financing costs.</w:t>
      </w:r>
    </w:p>
    <w:p>
      <w:pPr>
        <w:spacing w:after="0" w:line="123" w:lineRule="exact"/>
        <w:rPr>
          <w:rFonts w:ascii="Arial" w:cs="Arial" w:eastAsia="Arial" w:hAnsi="Arial"/>
          <w:sz w:val="17"/>
          <w:szCs w:val="17"/>
          <w:color w:val="auto"/>
        </w:rPr>
      </w:pPr>
    </w:p>
    <w:p>
      <w:pPr>
        <w:jc w:val="both"/>
        <w:ind w:left="660"/>
        <w:spacing w:after="0" w:line="254" w:lineRule="auto"/>
        <w:rPr>
          <w:rFonts w:ascii="Arial" w:cs="Arial" w:eastAsia="Arial" w:hAnsi="Arial"/>
          <w:sz w:val="17"/>
          <w:szCs w:val="17"/>
          <w:color w:val="auto"/>
        </w:rPr>
      </w:pPr>
      <w:r>
        <w:rPr>
          <w:rFonts w:ascii="Arial" w:cs="Arial" w:eastAsia="Arial" w:hAnsi="Arial"/>
          <w:sz w:val="18"/>
          <w:szCs w:val="18"/>
          <w:color w:val="auto"/>
        </w:rPr>
        <w:t>Additionally, because prepayments on residential mortgages generally accelerate when interest rates decrease and slow when interest rates increase, mortgage securities typically have "negative convexity." In other words, certain mortgage securities in which we invest may increase in price more slowly than similar duration bonds, or even fall in value, as interest rates decline. Conversely, certain mortgage securities in which we invest may decrease in value more quickly than similar duration bonds as interest rates increase. In order to manage this risk, we monitor, among other things, the "duration gap" between our mortgage assets and our hedge portfolio as well as our convexity exposure. Duration is the estimated percentage change in market value of our mortgage assets or our hedge portfolio that would be caused by a parallel change in short and long-term interest rates. Convexity exposure relates to the way the duration of our mortgage assets or our hedge portfolio changes when the interest rate or prepayment environment changes.</w:t>
      </w:r>
    </w:p>
    <w:p>
      <w:pPr>
        <w:spacing w:after="0" w:line="138" w:lineRule="exact"/>
        <w:rPr>
          <w:rFonts w:ascii="Arial" w:cs="Arial" w:eastAsia="Arial" w:hAnsi="Arial"/>
          <w:sz w:val="17"/>
          <w:szCs w:val="17"/>
          <w:color w:val="auto"/>
        </w:rPr>
      </w:pPr>
    </w:p>
    <w:p>
      <w:pPr>
        <w:jc w:val="both"/>
        <w:ind w:left="660"/>
        <w:spacing w:after="0" w:line="264" w:lineRule="auto"/>
        <w:rPr>
          <w:rFonts w:ascii="Arial" w:cs="Arial" w:eastAsia="Arial" w:hAnsi="Arial"/>
          <w:sz w:val="17"/>
          <w:szCs w:val="17"/>
          <w:color w:val="auto"/>
        </w:rPr>
      </w:pPr>
      <w:r>
        <w:rPr>
          <w:rFonts w:ascii="Arial" w:cs="Arial" w:eastAsia="Arial" w:hAnsi="Arial"/>
          <w:sz w:val="18"/>
          <w:szCs w:val="18"/>
          <w:color w:val="auto"/>
        </w:rPr>
        <w:t>The value of our mortgage assets may also be adversely impacted by fluctuations in the shape of the yield curve or by changes in the market's expectation about the volatility of future interest rates. We analyze our exposure to non-parallel changes in interest rates and to changes in the market's expectation of future interest rate volatility and take actions to attempt to mitigate these risks.</w:t>
      </w:r>
    </w:p>
    <w:p>
      <w:pPr>
        <w:spacing w:after="0" w:line="127" w:lineRule="exact"/>
        <w:rPr>
          <w:rFonts w:ascii="Arial" w:cs="Arial" w:eastAsia="Arial" w:hAnsi="Arial"/>
          <w:sz w:val="17"/>
          <w:szCs w:val="17"/>
          <w:color w:val="auto"/>
        </w:rPr>
      </w:pPr>
    </w:p>
    <w:p>
      <w:pPr>
        <w:jc w:val="both"/>
        <w:ind w:left="660" w:hanging="328"/>
        <w:spacing w:after="0" w:line="286" w:lineRule="auto"/>
        <w:tabs>
          <w:tab w:leader="none" w:pos="660" w:val="left"/>
        </w:tabs>
        <w:numPr>
          <w:ilvl w:val="0"/>
          <w:numId w:val="4"/>
        </w:numPr>
        <w:rPr>
          <w:rFonts w:ascii="Arial" w:cs="Arial" w:eastAsia="Arial" w:hAnsi="Arial"/>
          <w:sz w:val="17"/>
          <w:szCs w:val="17"/>
          <w:b w:val="1"/>
          <w:bCs w:val="1"/>
          <w:i w:val="1"/>
          <w:iCs w:val="1"/>
          <w:color w:val="auto"/>
        </w:rPr>
      </w:pPr>
      <w:r>
        <w:rPr>
          <w:rFonts w:ascii="Arial" w:cs="Arial" w:eastAsia="Arial" w:hAnsi="Arial"/>
          <w:sz w:val="17"/>
          <w:szCs w:val="17"/>
          <w:b w:val="1"/>
          <w:bCs w:val="1"/>
          <w:i w:val="1"/>
          <w:iCs w:val="1"/>
          <w:color w:val="auto"/>
        </w:rPr>
        <w:t xml:space="preserve">Prepayment Risk. </w:t>
      </w:r>
      <w:r>
        <w:rPr>
          <w:rFonts w:ascii="Arial" w:cs="Arial" w:eastAsia="Arial" w:hAnsi="Arial"/>
          <w:sz w:val="17"/>
          <w:szCs w:val="17"/>
          <w:color w:val="auto"/>
        </w:rPr>
        <w:t>Because residential borrowers have the option to prepay their mortgage loans at par at any time, we face the risk that we will</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experience a return of principal on our investments faster than anticipated. Prepayment risk generally increases when interest rates decline. In this scenario, our financial results may be adversely affected as we may have to invest that principal at potentially lower yields.</w:t>
      </w:r>
    </w:p>
    <w:p>
      <w:pPr>
        <w:spacing w:after="0" w:line="111" w:lineRule="exact"/>
        <w:rPr>
          <w:rFonts w:ascii="Arial" w:cs="Arial" w:eastAsia="Arial" w:hAnsi="Arial"/>
          <w:sz w:val="17"/>
          <w:szCs w:val="17"/>
          <w:b w:val="1"/>
          <w:bCs w:val="1"/>
          <w:i w:val="1"/>
          <w:iCs w:val="1"/>
          <w:color w:val="auto"/>
        </w:rPr>
      </w:pPr>
    </w:p>
    <w:p>
      <w:pPr>
        <w:ind w:left="660" w:hanging="328"/>
        <w:spacing w:after="0" w:line="277" w:lineRule="auto"/>
        <w:tabs>
          <w:tab w:leader="none" w:pos="660" w:val="left"/>
        </w:tabs>
        <w:numPr>
          <w:ilvl w:val="0"/>
          <w:numId w:val="4"/>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 xml:space="preserve">Extension Risk. </w:t>
      </w:r>
      <w:r>
        <w:rPr>
          <w:rFonts w:ascii="Arial" w:cs="Arial" w:eastAsia="Arial" w:hAnsi="Arial"/>
          <w:sz w:val="18"/>
          <w:szCs w:val="18"/>
          <w:color w:val="auto"/>
        </w:rPr>
        <w:t>Because residential borrowers have the option to make only scheduled payments on their mortgage loans, rather than prepay their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mortgage loans, we face the risk that a return of capital on our investment will occur slower</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800" w:right="239" w:bottom="1440" w:gutter="0" w:footer="0" w:header="0"/>
        </w:sectPr>
      </w:pPr>
    </w:p>
    <w:bookmarkStart w:id="7" w:name="page8"/>
    <w:bookmarkEnd w:id="7"/>
    <w:p>
      <w:pPr>
        <w:ind w:left="660"/>
        <w:spacing w:after="0" w:line="357" w:lineRule="auto"/>
        <w:rPr>
          <w:sz w:val="20"/>
          <w:szCs w:val="20"/>
          <w:color w:val="auto"/>
        </w:rPr>
      </w:pPr>
      <w:r>
        <w:rPr>
          <w:rFonts w:ascii="Arial" w:cs="Arial" w:eastAsia="Arial" w:hAnsi="Arial"/>
          <w:sz w:val="17"/>
          <w:szCs w:val="17"/>
          <w:color w:val="auto"/>
        </w:rPr>
        <w:t>than anticipated. Extension risk generally increases when interest rates rise. In this scenario, our financial results may be adversely affected as we may have to finance our investments at potentially higher costs without the ability to reinvest principal into higher yielding securities.</w:t>
      </w:r>
    </w:p>
    <w:p>
      <w:pPr>
        <w:spacing w:after="0" w:line="67" w:lineRule="exact"/>
        <w:rPr>
          <w:sz w:val="20"/>
          <w:szCs w:val="20"/>
          <w:color w:val="auto"/>
        </w:rPr>
      </w:pPr>
    </w:p>
    <w:p>
      <w:pPr>
        <w:jc w:val="both"/>
        <w:ind w:left="660" w:hanging="328"/>
        <w:spacing w:after="0" w:line="257" w:lineRule="auto"/>
        <w:tabs>
          <w:tab w:leader="none" w:pos="660" w:val="left"/>
        </w:tabs>
        <w:numPr>
          <w:ilvl w:val="0"/>
          <w:numId w:val="5"/>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 xml:space="preserve">Spread Risk. </w:t>
      </w:r>
      <w:r>
        <w:rPr>
          <w:rFonts w:ascii="Arial" w:cs="Arial" w:eastAsia="Arial" w:hAnsi="Arial"/>
          <w:sz w:val="18"/>
          <w:szCs w:val="18"/>
          <w:color w:val="auto"/>
        </w:rPr>
        <w:t>Because the market spread between the yield on our investments and the yield on benchmark interest rates, such as U.S. Treasury rates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and interest rate swap rates, may increase, we are exposed to spread risk. The inherent spread risk associated with our investment securities and the resulting fluctuations in fair value of these securities can occur independent of interest rates and may relate to other factors impacting the mortgage and fixed income markets, such as actual or anticipated monetary policy actions by the Federal Reserve ("Fed"), liquidity, or changes in required rates of return on different assets.</w:t>
      </w:r>
    </w:p>
    <w:p>
      <w:pPr>
        <w:spacing w:after="0" w:line="350" w:lineRule="exact"/>
        <w:rPr>
          <w:sz w:val="20"/>
          <w:szCs w:val="20"/>
          <w:color w:val="auto"/>
        </w:rPr>
      </w:pPr>
    </w:p>
    <w:p>
      <w:pPr>
        <w:jc w:val="both"/>
        <w:ind w:firstLine="432"/>
        <w:spacing w:after="0" w:line="302" w:lineRule="auto"/>
        <w:rPr>
          <w:sz w:val="20"/>
          <w:szCs w:val="20"/>
          <w:color w:val="auto"/>
        </w:rPr>
      </w:pPr>
      <w:r>
        <w:rPr>
          <w:rFonts w:ascii="Arial" w:cs="Arial" w:eastAsia="Arial" w:hAnsi="Arial"/>
          <w:sz w:val="16"/>
          <w:szCs w:val="16"/>
          <w:color w:val="auto"/>
        </w:rPr>
        <w:t>The principal instruments that we use to hedge a portion of our exposure to interest rate, prepayment and extension risks are interest rate swaps and options to enter into interest rate swaps ("interest rate swaptions"). We also utilize forward contracts for the purchase or sale of agency MBS securities in the TBA market on a generic pool basis and U.S. Treasury securities and U.S. Treasury futures contracts, primarily through short sales. We may also purchase or write put or call options on TBA securities and invest in mortgage and other types of derivative instruments, such as interest and principal-only securities.</w:t>
      </w:r>
    </w:p>
    <w:p>
      <w:pPr>
        <w:spacing w:after="0" w:line="100" w:lineRule="exact"/>
        <w:rPr>
          <w:sz w:val="20"/>
          <w:szCs w:val="20"/>
          <w:color w:val="auto"/>
        </w:rPr>
      </w:pPr>
    </w:p>
    <w:p>
      <w:pPr>
        <w:jc w:val="both"/>
        <w:ind w:firstLine="432"/>
        <w:spacing w:after="0" w:line="302" w:lineRule="auto"/>
        <w:rPr>
          <w:sz w:val="20"/>
          <w:szCs w:val="20"/>
          <w:color w:val="auto"/>
        </w:rPr>
      </w:pPr>
      <w:r>
        <w:rPr>
          <w:rFonts w:ascii="Arial" w:cs="Arial" w:eastAsia="Arial" w:hAnsi="Arial"/>
          <w:sz w:val="16"/>
          <w:szCs w:val="16"/>
          <w:color w:val="auto"/>
        </w:rPr>
        <w:t>The risk management actions we take may lower our earnings and dividends in the short term to further our objective of maintaining attractive levels of earnings and dividends over the long term. In addition, some of our hedges are intended to provide protection against larger rate moves and as a result may be relatively ineffective for smaller changes in interest rates. There can be no certainty that our Manager's projections of our exposures to interest rates, prepayments, extension or other risks will be accurate or that our hedging activities will be effective and, therefore, actual results could differ materially.</w:t>
      </w:r>
    </w:p>
    <w:p>
      <w:pPr>
        <w:spacing w:after="0" w:line="100" w:lineRule="exact"/>
        <w:rPr>
          <w:sz w:val="20"/>
          <w:szCs w:val="20"/>
          <w:color w:val="auto"/>
        </w:rPr>
      </w:pPr>
    </w:p>
    <w:p>
      <w:pPr>
        <w:jc w:val="both"/>
        <w:ind w:firstLine="432"/>
        <w:spacing w:after="0" w:line="302" w:lineRule="auto"/>
        <w:rPr>
          <w:sz w:val="20"/>
          <w:szCs w:val="20"/>
          <w:color w:val="auto"/>
        </w:rPr>
      </w:pPr>
      <w:r>
        <w:rPr>
          <w:rFonts w:ascii="Arial" w:cs="Arial" w:eastAsia="Arial" w:hAnsi="Arial"/>
          <w:sz w:val="16"/>
          <w:szCs w:val="16"/>
          <w:color w:val="auto"/>
        </w:rPr>
        <w:t>Income from hedging transactions that we enter into to manage risk may not constitute qualifying gross income under one or both of the gross income tests applicable to REITs (see "</w:t>
      </w:r>
      <w:r>
        <w:rPr>
          <w:rFonts w:ascii="Arial" w:cs="Arial" w:eastAsia="Arial" w:hAnsi="Arial"/>
          <w:sz w:val="16"/>
          <w:szCs w:val="16"/>
          <w:i w:val="1"/>
          <w:iCs w:val="1"/>
          <w:color w:val="auto"/>
        </w:rPr>
        <w:t>Real Estate Investment Trust Requirements"</w:t>
      </w:r>
      <w:r>
        <w:rPr>
          <w:rFonts w:ascii="Arial" w:cs="Arial" w:eastAsia="Arial" w:hAnsi="Arial"/>
          <w:sz w:val="16"/>
          <w:szCs w:val="16"/>
          <w:color w:val="auto"/>
        </w:rPr>
        <w:t>). Therefore, we may have to limit our use of certain advantageous hedging techniques, which could expose us to greater risks than we would otherwise want to bear, or implement those hedges through a taxable REIT subsidiary ("TRS"). Implementing our hedges through a TRS could increase the cost of our hedging activities because a TRS is subject to tax on income and gains.</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Investment Strategies</w:t>
      </w:r>
    </w:p>
    <w:p>
      <w:pPr>
        <w:spacing w:after="0" w:line="18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may enter into other short or long term investment strategies as the opportunities arise.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Manager</w:t>
      </w:r>
    </w:p>
    <w:p>
      <w:pPr>
        <w:spacing w:after="0" w:line="175" w:lineRule="exact"/>
        <w:rPr>
          <w:sz w:val="20"/>
          <w:szCs w:val="20"/>
          <w:color w:val="auto"/>
        </w:rPr>
      </w:pPr>
    </w:p>
    <w:p>
      <w:pPr>
        <w:jc w:val="both"/>
        <w:ind w:firstLine="486"/>
        <w:spacing w:after="0" w:line="255" w:lineRule="auto"/>
        <w:rPr>
          <w:sz w:val="20"/>
          <w:szCs w:val="20"/>
          <w:color w:val="auto"/>
        </w:rPr>
      </w:pPr>
      <w:r>
        <w:rPr>
          <w:rFonts w:ascii="Arial" w:cs="Arial" w:eastAsia="Arial" w:hAnsi="Arial"/>
          <w:sz w:val="18"/>
          <w:szCs w:val="18"/>
          <w:color w:val="auto"/>
        </w:rPr>
        <w:t>We are externally managed and advised by our Manager pursuant to the terms of a management agreement. Our Manager is an indirect subsidiary of American Capital Asset Management, LLC, which is a portfolio company of American Capital, Ltd., a publicly-traded private equity firm and global asset manager (NASDAQ: ACAS). American Capital both directly and through its asset management business, originates, underwrites and manages investments in middle market private equity, leveraged finance, real estate, energy &amp; infrastructure and structured products. American Capital, founded in 1986, manages $21 billion of assets, including assets on its balance sheet and fee earning assets under management by affiliated managers, with $73 billion of total assets under management (including levered assets) as of December 31, 2015. American Capital and its affiliates operate out of seven offices in the United States and Europe.</w:t>
      </w:r>
    </w:p>
    <w:p>
      <w:pPr>
        <w:spacing w:after="0" w:line="135" w:lineRule="exact"/>
        <w:rPr>
          <w:sz w:val="20"/>
          <w:szCs w:val="20"/>
          <w:color w:val="auto"/>
        </w:rPr>
      </w:pPr>
    </w:p>
    <w:p>
      <w:pPr>
        <w:jc w:val="both"/>
        <w:ind w:firstLine="486"/>
        <w:spacing w:after="0" w:line="257" w:lineRule="auto"/>
        <w:rPr>
          <w:sz w:val="20"/>
          <w:szCs w:val="20"/>
          <w:color w:val="auto"/>
        </w:rPr>
      </w:pPr>
      <w:r>
        <w:rPr>
          <w:rFonts w:ascii="Arial" w:cs="Arial" w:eastAsia="Arial" w:hAnsi="Arial"/>
          <w:sz w:val="18"/>
          <w:szCs w:val="18"/>
          <w:color w:val="auto"/>
        </w:rPr>
        <w:t>On January 7, 2016, American Capital announced that its Board of Directors authorized American Capital to solicit offers to purchase American Capital or its various business lines, in whole or in part. American Capital has issued no further information on the status of the solicitation or the nature of any possible transaction that may result from it. Thus, while it is possible that a transaction could have an impact on us or our Manager, it is impractical to provide information on the nature of any impacts. Moreover, there is no assurance that the solicitation will result in a transaction that will have an impact on us or our Manager.</w:t>
      </w:r>
    </w:p>
    <w:p>
      <w:pPr>
        <w:spacing w:after="0" w:line="134"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The sister company of our Manager is the external manager of American Capital Mortgage Investment Corp. (NASDAQ: MTGE) ("MTGE"), a publicly-traded REIT that invests in agency mortgage investments, non-agency mortgage investments and other mortgage related investments. In connection with our initial public offering, American Capital committed not to sponsor another investment vehicle that invests predominantly in agency securities that represent undivided beneficial interests in a group or pool of one or more mortgages, or whole-pool agency securities, for so long as we are managed by an affiliate of American Capital. Thus, MTGE's investment portfolio is expected to consist of assets that are not predominantly whole-pool agency securities for so long as we are managed by an affiliate of American Capital.</w:t>
      </w:r>
    </w:p>
    <w:p>
      <w:pPr>
        <w:spacing w:after="0" w:line="153"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Our Manager is responsible for administering our business activities and day-to-day operations, subject to the supervision and oversight of our Board of Directors. All of our officers and the members of our mortgage investment team and other support</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773" w:right="239" w:bottom="1440" w:gutter="0" w:footer="0" w:header="0"/>
        </w:sectPr>
      </w:pPr>
    </w:p>
    <w:bookmarkStart w:id="8" w:name="page9"/>
    <w:bookmarkEnd w:id="8"/>
    <w:p>
      <w:pPr>
        <w:jc w:val="both"/>
        <w:spacing w:after="0" w:line="257" w:lineRule="auto"/>
        <w:rPr>
          <w:sz w:val="20"/>
          <w:szCs w:val="20"/>
          <w:color w:val="auto"/>
        </w:rPr>
      </w:pPr>
      <w:r>
        <w:rPr>
          <w:rFonts w:ascii="Arial" w:cs="Arial" w:eastAsia="Arial" w:hAnsi="Arial"/>
          <w:sz w:val="18"/>
          <w:szCs w:val="18"/>
          <w:color w:val="auto"/>
        </w:rPr>
        <w:t>personnel, other than employees of BES, are employees of either the parent company of our Manager or American Capital. Our Manager has entered into an administrative services agreement with American Capital and the parent company of our Manager, pursuant to which our Manager has access to their employees, infrastructure, business relationships, management expertise, information technologies, capital raising capabilities, legal and compliance functions, and accounting, treasury and investor relations capabilities, to enable our Manager to fulfill all of its responsibilities under the management agreement. We are not a party to the administrative services agreement.</w:t>
      </w:r>
    </w:p>
    <w:p>
      <w:pPr>
        <w:spacing w:after="0" w:line="134" w:lineRule="exact"/>
        <w:rPr>
          <w:sz w:val="20"/>
          <w:szCs w:val="20"/>
          <w:color w:val="auto"/>
        </w:rPr>
      </w:pPr>
    </w:p>
    <w:p>
      <w:pPr>
        <w:jc w:val="both"/>
        <w:ind w:firstLine="405"/>
        <w:spacing w:after="0" w:line="289" w:lineRule="auto"/>
        <w:rPr>
          <w:sz w:val="20"/>
          <w:szCs w:val="20"/>
          <w:color w:val="auto"/>
        </w:rPr>
      </w:pPr>
      <w:r>
        <w:rPr>
          <w:rFonts w:ascii="Arial" w:cs="Arial" w:eastAsia="Arial" w:hAnsi="Arial"/>
          <w:sz w:val="16"/>
          <w:szCs w:val="16"/>
          <w:color w:val="auto"/>
        </w:rPr>
        <w:t>Malon Wilkus is our Chair and Chief Executive Officer and the Chief Executive Officer of our Manager and its parent company, American Capital Mortgage Management, LLC. Mr. Wilkus is also the Chair and Chief Executive Officer of MTGE and the Chief Executive Officer of its manager, American Capital MTGE Management, LLC. In addition, Mr. Wilkus is the Chair and Chief Executive Officer of American Capital Senior Floating, Ltd. (NASDAQ: ACSF), a publicly traded non-diversified closed-end investment management company. Mr. Wilkus is the founder of American Capital, and has served as its Chief Executive Officer and Chairman of the Board of Directors since 1986, except for the period from 1997 to 1998 during which he served as Chief Executive Officer and Vice Chairman of the Board of Directors. He also served as President of American Capital from 2001 to 2008 and from 1986 to 1999. Mr. Wilkus has also been the Chairman of European Capital Limited, a European private equity and mezzanine fund, since its formation in 2005. Additionally, Mr. Wilkus is the Chief Executive Officer and President of American Capital Asset Management, LLC, which is the asset fund management portfolio company of American Capital. He has also served on the board of directors of over a dozen middle-market companies in various industries.</w:t>
      </w:r>
    </w:p>
    <w:p>
      <w:pPr>
        <w:spacing w:after="0" w:line="113" w:lineRule="exact"/>
        <w:rPr>
          <w:sz w:val="20"/>
          <w:szCs w:val="20"/>
          <w:color w:val="auto"/>
        </w:rPr>
      </w:pPr>
    </w:p>
    <w:p>
      <w:pPr>
        <w:jc w:val="both"/>
        <w:ind w:firstLine="405"/>
        <w:spacing w:after="0" w:line="289" w:lineRule="auto"/>
        <w:rPr>
          <w:sz w:val="20"/>
          <w:szCs w:val="20"/>
          <w:color w:val="auto"/>
        </w:rPr>
      </w:pPr>
      <w:r>
        <w:rPr>
          <w:rFonts w:ascii="Arial" w:cs="Arial" w:eastAsia="Arial" w:hAnsi="Arial"/>
          <w:sz w:val="16"/>
          <w:szCs w:val="16"/>
          <w:color w:val="auto"/>
        </w:rPr>
        <w:t>Gary Kain is the President of our Manager and also serves as our President and Chief Investment Officer, with primary oversight for all of our investments. He is also the President and Chief Investment Officer of MTGE and the President of its manager. Mr. Kain joined American Capital in January 2009 as a Senior Vice President and Managing Director and has served in various other roles with American Capital and its affiliates. Prior to joining American Capital, Mr. Kain served as Senior Vice President of Investments and Capital Markets of Freddie Mac from May 2008 to January 2009. He also served as Senior Vice President of Mortgage Investments &amp; Structuring of Freddie Mac from February 2005 to April 2008, during which time he was responsible for managing all of Freddie Mac's mortgage investment activities for its $700 billion retained portfolio. From 2001 to 2005, Mr. Kain served as Vice President of Mortgage Portfolio Strategy at Freddie Mac. From 1995 to 2001, he served as head trader in Freddie Mac’s Securities Sales &amp; Trading Group, where he was responsible for managing all trading decisions, including REMIC structuring and underwriting, hedging all mortgage positions, income generation, and risk management. Prior to that, he served as a senior trader, responsible for managing the adjustable-rate mortgage and REMIC sectors.</w:t>
      </w:r>
    </w:p>
    <w:p>
      <w:pPr>
        <w:spacing w:after="0" w:line="167"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John R. Erickson is our Executive Vice President and Chief Financial Officer and a member of our Board of Directors, and Executive Vice President and Treasurer of our Manager and American Capital Mortgage Management, LLC. Mr. Erickson is also the Executive Vice President and Chief Financial Officer and a member of the board of directors of MTGE and the Executive Vice President and Treasurer of its manager, American Capital MTGE Management, LLC. In addition, he is the Executive Vice President and Chief Financial Officer of American Capital Senior Floating, Ltd. and the Executive Vice President and Treasurer of American Capital Asset Management, LLC. Mr. Erickson has also served as President, Structured Finance of American Capital since 2008 and as its Chief Financial Officer since 1998. From 1991 to 1998, Mr. Erickson was the Chief Financial Officer of Storage USA, Inc., a REIT formerly traded on the New York Stock Exchange (NYSE: SUS).</w:t>
      </w:r>
    </w:p>
    <w:p>
      <w:pPr>
        <w:spacing w:after="0" w:line="189" w:lineRule="exact"/>
        <w:rPr>
          <w:sz w:val="20"/>
          <w:szCs w:val="20"/>
          <w:color w:val="auto"/>
        </w:rPr>
      </w:pPr>
    </w:p>
    <w:p>
      <w:pPr>
        <w:jc w:val="both"/>
        <w:ind w:firstLine="405"/>
        <w:spacing w:after="0" w:line="290" w:lineRule="auto"/>
        <w:rPr>
          <w:sz w:val="20"/>
          <w:szCs w:val="20"/>
          <w:color w:val="auto"/>
        </w:rPr>
      </w:pPr>
      <w:r>
        <w:rPr>
          <w:rFonts w:ascii="Arial" w:cs="Arial" w:eastAsia="Arial" w:hAnsi="Arial"/>
          <w:sz w:val="16"/>
          <w:szCs w:val="16"/>
          <w:color w:val="auto"/>
        </w:rPr>
        <w:t>Samuel A. Flax is our Executive Vice President and Secretary and a member of our Board of Directors, and Executive Vice President, Chief Compliance Officer and Secretary of our Manager and American Capital Mortgage Management, LLC. Mr. Flax is also Executive Vice President and Secretary and a member of the board of directors of MTGE and the Executive Vice President, Chief Compliance Officer and Secretary of its manager, American Capital MTGE Management, LLC. In addition, he is the Executive Vice President, Chief Compliance Officer and Secretary of American Capital Senior Floating, Ltd. and American Capital Asset Management, LLC. Mr. Flax has also served as the Executive Vice President, General Counsel, Chief Compliance Officer and Secretary of American Capital, Ltd. since January 2005. Mr. Flax was a partner in the corporate and securities practice group of the Washington, D.C. law firm of Arnold &amp; Porter LLP from 1990 to January 2005. At Arnold &amp; Porter LLP, he represented American Capital in raising debt and equity capital, advised the company on corporate, securities and other legal matters and represented the company in many of its investment transactions.</w:t>
      </w:r>
    </w:p>
    <w:p>
      <w:pPr>
        <w:spacing w:after="0" w:line="112" w:lineRule="exact"/>
        <w:rPr>
          <w:sz w:val="20"/>
          <w:szCs w:val="20"/>
          <w:color w:val="auto"/>
        </w:rPr>
      </w:pPr>
    </w:p>
    <w:p>
      <w:pPr>
        <w:jc w:val="both"/>
        <w:ind w:firstLine="405"/>
        <w:spacing w:after="0" w:line="273" w:lineRule="auto"/>
        <w:rPr>
          <w:sz w:val="20"/>
          <w:szCs w:val="20"/>
          <w:color w:val="auto"/>
        </w:rPr>
      </w:pPr>
      <w:r>
        <w:rPr>
          <w:rFonts w:ascii="Arial" w:cs="Arial" w:eastAsia="Arial" w:hAnsi="Arial"/>
          <w:sz w:val="17"/>
          <w:szCs w:val="17"/>
          <w:color w:val="auto"/>
        </w:rPr>
        <w:t>Peter J. Federico is the Senior Vice President and Chief Risk Officer of our Manager and also serves as our Senior Vice President and Chief Risk Officer. He is also the Senior Vice President and Chief Risk Officer of MTGE and its manager. He is primarily responsible for overseeing risk management activities for us and other funds managed by affiliates of our Manager. Mr. Federico joined the parent company of our Manager in May 2011. Prior to that, Mr. Federico served as Executive Vice President and Treasurer of Freddie Mac from October 2010 through May 2011, where he was primarily responsible for managing the company's investment activities for its retained portfolio and developing, implementing and managing risk mitigation strategies. He was also responsible for managing Freddie Mac's $1.2 trillion interest rate derivative portfolio and short and long-term debt</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746" w:right="239" w:bottom="1440" w:gutter="0" w:footer="0" w:header="0"/>
        </w:sectPr>
      </w:pPr>
    </w:p>
    <w:bookmarkStart w:id="9" w:name="page10"/>
    <w:bookmarkEnd w:id="9"/>
    <w:p>
      <w:pPr>
        <w:jc w:val="both"/>
        <w:spacing w:after="0" w:line="277" w:lineRule="auto"/>
        <w:rPr>
          <w:sz w:val="20"/>
          <w:szCs w:val="20"/>
          <w:color w:val="auto"/>
        </w:rPr>
      </w:pPr>
      <w:r>
        <w:rPr>
          <w:rFonts w:ascii="Arial" w:cs="Arial" w:eastAsia="Arial" w:hAnsi="Arial"/>
          <w:sz w:val="18"/>
          <w:szCs w:val="18"/>
          <w:color w:val="auto"/>
        </w:rPr>
        <w:t>issuance programs. Mr. Federico also served in a number of other capacities at Freddie Mac, including as Senior Vice President, Asset &amp; Liability Management, after he joined the company in 1988.</w:t>
      </w:r>
    </w:p>
    <w:p>
      <w:pPr>
        <w:spacing w:after="0" w:line="116" w:lineRule="exact"/>
        <w:rPr>
          <w:sz w:val="20"/>
          <w:szCs w:val="20"/>
          <w:color w:val="auto"/>
        </w:rPr>
      </w:pPr>
    </w:p>
    <w:p>
      <w:pPr>
        <w:jc w:val="both"/>
        <w:ind w:firstLine="405"/>
        <w:spacing w:after="0" w:line="273" w:lineRule="auto"/>
        <w:rPr>
          <w:sz w:val="20"/>
          <w:szCs w:val="20"/>
          <w:color w:val="auto"/>
        </w:rPr>
      </w:pPr>
      <w:r>
        <w:rPr>
          <w:rFonts w:ascii="Arial" w:cs="Arial" w:eastAsia="Arial" w:hAnsi="Arial"/>
          <w:sz w:val="17"/>
          <w:szCs w:val="17"/>
          <w:color w:val="auto"/>
        </w:rPr>
        <w:t>Christopher J. Kuehl is a Senior Vice President of our Manager and also serves as our Senior Vice President, Agency Portfolio Investments. He is also the Senior Vice President, Agency Portfolio Investments of MTGE and Senior Vice President of its manager. He is primarily responsible for directing purchases and sales of agency securities for us and other funds managed by affiliates of our Manager. Mr. Kuehl joined the parent Company of our Manager in August 2010. Prior to that, Mr. Kuehl served as Vice President of Mortgage Investments &amp; Structuring of Freddie Mac, where he was primarily responsible for directing Freddie Mac's purchases, sales and structuring activities for all MBS products, including fixed-rate mortgages, ARMs and CMOs. Prior to joining Freddie Mac in 2000, Mr. Kuehl was a Portfolio Manager with TeleBanc/Etrade Bank.</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Management Agreement</w:t>
      </w:r>
    </w:p>
    <w:p>
      <w:pPr>
        <w:spacing w:after="0" w:line="189"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We have entered into a management agreement with our Manager with a current term through May 20, 2016, and automatic one-year extension options thereafter. The management agreement may only be terminated by either us or our Manager without cause, as defined in the management agreement, after the completion of the current renewal term or the expiration of any automatic subsequent renewal term, provided that either party provides 180-days prior written notice of non-renewal of the management agreement. If we were not to renew the management agreement without cause, we must pay a termination fee on the last day of the applicable term, equal to three times the average annual management fee earned by our Manager during the prior 24-month period immediately preceding the most recently completed month prior to the effective date of termination. We may only not renew the management agreement with or without cause with the consent of a majority of our independent directors. Our Manager is responsible for, among other things, performing all of our day-to-day functions, determining investment criteria in conjunction with our Board of Directors, sourcing, analyzing and executing investments, asset sales and financings and performing asset management duties.</w:t>
      </w:r>
    </w:p>
    <w:p>
      <w:pPr>
        <w:spacing w:after="0" w:line="14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We pay our Manager a management fee payable monthly in arrears in an amount equal to one-twelfth of 1.25% of our month-end stockholders' equity, adjusted to exclude the effect of any unrealized gains or losses included in either retained earnings or accumulated other comprehensive income ("OCI") (a separate component of stockholders' equity), each as computed in accordance with GAAP. There is no incentive compensation payable to our Manager pursuant to the management agreement.</w:t>
      </w:r>
    </w:p>
    <w:p>
      <w:pPr>
        <w:spacing w:after="0" w:line="146" w:lineRule="exact"/>
        <w:rPr>
          <w:sz w:val="20"/>
          <w:szCs w:val="20"/>
          <w:color w:val="auto"/>
        </w:rPr>
      </w:pPr>
    </w:p>
    <w:p>
      <w:pPr>
        <w:jc w:val="both"/>
        <w:ind w:right="20" w:firstLine="432"/>
        <w:spacing w:after="0" w:line="342" w:lineRule="auto"/>
        <w:rPr>
          <w:sz w:val="20"/>
          <w:szCs w:val="20"/>
          <w:color w:val="auto"/>
        </w:rPr>
      </w:pPr>
      <w:r>
        <w:rPr>
          <w:rFonts w:ascii="Arial" w:cs="Arial" w:eastAsia="Arial" w:hAnsi="Arial"/>
          <w:sz w:val="16"/>
          <w:szCs w:val="16"/>
          <w:color w:val="auto"/>
        </w:rPr>
        <w:t>In addition, we reimburse our Manager for expenses directly related to our operations incurred by our Manager, but excluding employment-related expenses of our Manager's officers and employees and any American Capital employees who provide services to us pursuant to the management agreement.</w:t>
      </w:r>
    </w:p>
    <w:p>
      <w:pPr>
        <w:spacing w:after="0" w:line="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Exemption from Regulation under the Investment Company Act</w:t>
      </w:r>
    </w:p>
    <w:p>
      <w:pPr>
        <w:spacing w:after="0" w:line="189" w:lineRule="exact"/>
        <w:rPr>
          <w:sz w:val="20"/>
          <w:szCs w:val="20"/>
          <w:color w:val="auto"/>
        </w:rPr>
      </w:pPr>
    </w:p>
    <w:p>
      <w:pPr>
        <w:jc w:val="both"/>
        <w:ind w:firstLine="405"/>
        <w:spacing w:after="0" w:line="272" w:lineRule="auto"/>
        <w:rPr>
          <w:sz w:val="20"/>
          <w:szCs w:val="20"/>
          <w:color w:val="auto"/>
        </w:rPr>
      </w:pPr>
      <w:r>
        <w:rPr>
          <w:rFonts w:ascii="Arial" w:cs="Arial" w:eastAsia="Arial" w:hAnsi="Arial"/>
          <w:sz w:val="17"/>
          <w:szCs w:val="17"/>
          <w:color w:val="auto"/>
        </w:rPr>
        <w:t>We conduct our business so as not to become regulated as an investment company under the Investment Company Act, in reliance on the exemption provided by Section 3(c)(5)(C) of the Investment Company Act. Section 3(c)(5)(C), as interpreted by the staff of the SEC, requires us to invest at least 55% of our assets in "mortgages and other liens on and interest in real estate" or "qualifying real estate interests" and at least 80% of our assets in qualifying real estate interests and "real estate-related assets." In satisfying this 55% requirement, based on pronouncements of the SEC staff, we treat agency MBS issued with respect to an underlying pool of mortgage loans in which we hold all of the certificates issued by the pool ("whole pool" securities) as qualifying real estate interests. We currently treat agency MBS in which we hold less than all of the certificates issued by the pool ("partial pool" securities) as real estate-related assets. We treat CMO securities and AAA non-agency securities as real-estate related assets.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Real Estate Investment Trust Requirements</w:t>
      </w:r>
    </w:p>
    <w:p>
      <w:pPr>
        <w:spacing w:after="0" w:line="175" w:lineRule="exact"/>
        <w:rPr>
          <w:sz w:val="20"/>
          <w:szCs w:val="20"/>
          <w:color w:val="auto"/>
        </w:rPr>
      </w:pPr>
    </w:p>
    <w:p>
      <w:pPr>
        <w:jc w:val="both"/>
        <w:ind w:firstLine="455"/>
        <w:spacing w:after="0" w:line="264" w:lineRule="auto"/>
        <w:rPr>
          <w:sz w:val="20"/>
          <w:szCs w:val="20"/>
          <w:color w:val="auto"/>
        </w:rPr>
      </w:pPr>
      <w:r>
        <w:rPr>
          <w:rFonts w:ascii="Arial" w:cs="Arial" w:eastAsia="Arial" w:hAnsi="Arial"/>
          <w:sz w:val="18"/>
          <w:szCs w:val="18"/>
          <w:color w:val="auto"/>
        </w:rPr>
        <w:t>We have elected to be taxed as a REIT under the Internal Revenue Code. As long as we qualify as a REIT, we generally will not be subject to federal income taxes on our taxable income to the extent that we annually distribute all of our taxable income to stockholders. We believe that we have been organized and operate in such a manner as to qualify for taxation as a REIT.</w:t>
      </w:r>
    </w:p>
    <w:p>
      <w:pPr>
        <w:spacing w:after="0" w:line="141"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Qualification and taxation as a REIT depends on our ability to meet on a continuing basis various qualification requirements imposed upon REITs by the Internal Revenue Code. Our ability to qualify as a REIT also requires that we satisfy certain asset tests, some of which depend upon the fair market values of assets that we own directly or indirectly. Such values may not be susceptible to precise determination. Accordingly, no assurance can be given that the actual results of our operations for any taxable year will satisfy such requirements for qualification and taxation as a REIT.</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Taxation of REITs in General</w:t>
      </w:r>
    </w:p>
    <w:p>
      <w:pPr>
        <w:spacing w:after="0" w:line="185"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Provided that we continue to qualify as a REIT, we will generally be entitled to a deduction for dividends that we pay and, therefore, will not be subject to federal corporate income tax on our taxable income that is currently distributed to our stockholders. This treatment substantially eliminates the "double taxation" at the corporate and stockholder levels that generally results from</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746" w:right="239" w:bottom="1440" w:gutter="0" w:footer="0" w:header="0"/>
        </w:sectPr>
      </w:pPr>
    </w:p>
    <w:bookmarkStart w:id="10" w:name="page11"/>
    <w:bookmarkEnd w:id="10"/>
    <w:p>
      <w:pPr>
        <w:spacing w:after="0" w:line="277" w:lineRule="auto"/>
        <w:rPr>
          <w:sz w:val="20"/>
          <w:szCs w:val="20"/>
          <w:color w:val="auto"/>
        </w:rPr>
      </w:pPr>
      <w:r>
        <w:rPr>
          <w:rFonts w:ascii="Arial" w:cs="Arial" w:eastAsia="Arial" w:hAnsi="Arial"/>
          <w:sz w:val="18"/>
          <w:szCs w:val="18"/>
          <w:color w:val="auto"/>
        </w:rPr>
        <w:t>investment in a domestic corporation. In general, the income that we generate is taxed only at the stockholder level upon a distribution of dividends to our stockholders.</w:t>
      </w:r>
    </w:p>
    <w:p>
      <w:pPr>
        <w:spacing w:after="0" w:line="13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As a REIT, we will nonetheless be subject to federal tax under certain circumstances including the following:</w:t>
      </w:r>
    </w:p>
    <w:p>
      <w:pPr>
        <w:spacing w:after="0" w:line="185" w:lineRule="exact"/>
        <w:rPr>
          <w:sz w:val="20"/>
          <w:szCs w:val="20"/>
          <w:color w:val="auto"/>
        </w:rPr>
      </w:pPr>
    </w:p>
    <w:p>
      <w:pPr>
        <w:ind w:left="760" w:hanging="347"/>
        <w:spacing w:after="0"/>
        <w:tabs>
          <w:tab w:leader="none" w:pos="760" w:val="left"/>
        </w:tabs>
        <w:numPr>
          <w:ilvl w:val="0"/>
          <w:numId w:val="6"/>
        </w:numPr>
        <w:rPr>
          <w:rFonts w:ascii="Arial" w:cs="Arial" w:eastAsia="Arial" w:hAnsi="Arial"/>
          <w:sz w:val="18"/>
          <w:szCs w:val="18"/>
          <w:color w:val="auto"/>
        </w:rPr>
      </w:pPr>
      <w:r>
        <w:rPr>
          <w:rFonts w:ascii="Arial" w:cs="Arial" w:eastAsia="Arial" w:hAnsi="Arial"/>
          <w:sz w:val="18"/>
          <w:szCs w:val="18"/>
          <w:color w:val="auto"/>
        </w:rPr>
        <w:t>We will be taxed at regular corporate rates on any undistributed taxable income, including undistributed net capital gains.</w:t>
      </w:r>
    </w:p>
    <w:p>
      <w:pPr>
        <w:spacing w:after="0" w:line="171" w:lineRule="exact"/>
        <w:rPr>
          <w:rFonts w:ascii="Arial" w:cs="Arial" w:eastAsia="Arial" w:hAnsi="Arial"/>
          <w:sz w:val="18"/>
          <w:szCs w:val="18"/>
          <w:color w:val="auto"/>
        </w:rPr>
      </w:pPr>
    </w:p>
    <w:p>
      <w:pPr>
        <w:ind w:left="760" w:hanging="347"/>
        <w:spacing w:after="0"/>
        <w:tabs>
          <w:tab w:leader="none" w:pos="760" w:val="left"/>
        </w:tabs>
        <w:numPr>
          <w:ilvl w:val="0"/>
          <w:numId w:val="6"/>
        </w:numPr>
        <w:rPr>
          <w:rFonts w:ascii="Arial" w:cs="Arial" w:eastAsia="Arial" w:hAnsi="Arial"/>
          <w:sz w:val="18"/>
          <w:szCs w:val="18"/>
          <w:color w:val="auto"/>
        </w:rPr>
      </w:pPr>
      <w:r>
        <w:rPr>
          <w:rFonts w:ascii="Arial" w:cs="Arial" w:eastAsia="Arial" w:hAnsi="Arial"/>
          <w:sz w:val="18"/>
          <w:szCs w:val="18"/>
          <w:color w:val="auto"/>
        </w:rPr>
        <w:t>We may be subject to the "alternative minimum tax" on our items of tax preference, including any deductions of net operating losses.</w:t>
      </w:r>
    </w:p>
    <w:p>
      <w:pPr>
        <w:spacing w:after="0" w:line="184" w:lineRule="exact"/>
        <w:rPr>
          <w:rFonts w:ascii="Arial" w:cs="Arial" w:eastAsia="Arial" w:hAnsi="Arial"/>
          <w:sz w:val="18"/>
          <w:szCs w:val="18"/>
          <w:color w:val="auto"/>
        </w:rPr>
      </w:pPr>
    </w:p>
    <w:p>
      <w:pPr>
        <w:ind w:left="760" w:hanging="347"/>
        <w:spacing w:after="0" w:line="308" w:lineRule="auto"/>
        <w:tabs>
          <w:tab w:leader="none" w:pos="760" w:val="left"/>
        </w:tabs>
        <w:numPr>
          <w:ilvl w:val="0"/>
          <w:numId w:val="6"/>
        </w:numPr>
        <w:rPr>
          <w:rFonts w:ascii="Arial" w:cs="Arial" w:eastAsia="Arial" w:hAnsi="Arial"/>
          <w:sz w:val="17"/>
          <w:szCs w:val="17"/>
          <w:color w:val="auto"/>
        </w:rPr>
      </w:pPr>
      <w:r>
        <w:rPr>
          <w:rFonts w:ascii="Arial" w:cs="Arial" w:eastAsia="Arial" w:hAnsi="Arial"/>
          <w:sz w:val="17"/>
          <w:szCs w:val="17"/>
          <w:color w:val="auto"/>
        </w:rPr>
        <w:t>If we have net income from prohibited transactions, which are, in general, sales or other dispositions of inventory or property held primarily for sale to customers in the ordinary course of business, other than foreclosure property, such income will be subject to a 100% tax.</w:t>
      </w:r>
    </w:p>
    <w:p>
      <w:pPr>
        <w:spacing w:after="0" w:line="106" w:lineRule="exact"/>
        <w:rPr>
          <w:rFonts w:ascii="Arial" w:cs="Arial" w:eastAsia="Arial" w:hAnsi="Arial"/>
          <w:sz w:val="17"/>
          <w:szCs w:val="17"/>
          <w:color w:val="auto"/>
        </w:rPr>
      </w:pPr>
    </w:p>
    <w:p>
      <w:pPr>
        <w:jc w:val="both"/>
        <w:ind w:left="760" w:hanging="347"/>
        <w:spacing w:after="0" w:line="264" w:lineRule="auto"/>
        <w:tabs>
          <w:tab w:leader="none" w:pos="760" w:val="left"/>
        </w:tabs>
        <w:numPr>
          <w:ilvl w:val="0"/>
          <w:numId w:val="6"/>
        </w:numPr>
        <w:rPr>
          <w:rFonts w:ascii="Arial" w:cs="Arial" w:eastAsia="Arial" w:hAnsi="Arial"/>
          <w:sz w:val="18"/>
          <w:szCs w:val="18"/>
          <w:color w:val="auto"/>
        </w:rPr>
      </w:pPr>
      <w:r>
        <w:rPr>
          <w:rFonts w:ascii="Arial" w:cs="Arial" w:eastAsia="Arial" w:hAnsi="Arial"/>
          <w:sz w:val="18"/>
          <w:szCs w:val="18"/>
          <w:color w:val="auto"/>
        </w:rPr>
        <w:t>If we should fail to satisfy the 75% gross income test or the 95% gross income test, as discussed below, but nonetheless maintain our qualification as a REIT because we satisfy other requirements, we will be subject to a 100% tax on an amount based on the magnitude of the failure, as adjusted to reflect the profit margin associated with our gross income.</w:t>
      </w:r>
    </w:p>
    <w:p>
      <w:pPr>
        <w:spacing w:after="0" w:line="140" w:lineRule="exact"/>
        <w:rPr>
          <w:rFonts w:ascii="Arial" w:cs="Arial" w:eastAsia="Arial" w:hAnsi="Arial"/>
          <w:sz w:val="18"/>
          <w:szCs w:val="18"/>
          <w:color w:val="auto"/>
        </w:rPr>
      </w:pPr>
    </w:p>
    <w:p>
      <w:pPr>
        <w:jc w:val="both"/>
        <w:ind w:left="760" w:hanging="347"/>
        <w:spacing w:after="0" w:line="257" w:lineRule="auto"/>
        <w:tabs>
          <w:tab w:leader="none" w:pos="760" w:val="left"/>
        </w:tabs>
        <w:numPr>
          <w:ilvl w:val="0"/>
          <w:numId w:val="6"/>
        </w:numPr>
        <w:rPr>
          <w:rFonts w:ascii="Arial" w:cs="Arial" w:eastAsia="Arial" w:hAnsi="Arial"/>
          <w:sz w:val="18"/>
          <w:szCs w:val="18"/>
          <w:color w:val="auto"/>
        </w:rPr>
      </w:pPr>
      <w:r>
        <w:rPr>
          <w:rFonts w:ascii="Arial" w:cs="Arial" w:eastAsia="Arial" w:hAnsi="Arial"/>
          <w:sz w:val="18"/>
          <w:szCs w:val="18"/>
          <w:color w:val="auto"/>
        </w:rPr>
        <w:t xml:space="preserve">If we should violate the asset tests (other than certain </w:t>
      </w:r>
      <w:r>
        <w:rPr>
          <w:rFonts w:ascii="Arial" w:cs="Arial" w:eastAsia="Arial" w:hAnsi="Arial"/>
          <w:sz w:val="18"/>
          <w:szCs w:val="18"/>
          <w:i w:val="1"/>
          <w:iCs w:val="1"/>
          <w:color w:val="auto"/>
        </w:rPr>
        <w:t>de minimis</w:t>
      </w:r>
      <w:r>
        <w:rPr>
          <w:rFonts w:ascii="Arial" w:cs="Arial" w:eastAsia="Arial" w:hAnsi="Arial"/>
          <w:sz w:val="18"/>
          <w:szCs w:val="18"/>
          <w:color w:val="auto"/>
        </w:rPr>
        <w:t xml:space="preserve"> violations) or other requirements applicable to REITs, as described below, and yet maintain our qualification as a REIT because there is reasonable cause for the failure and other applicable requirements are met, we may be subject to a penalty tax. In that case, the amount of the penalty tax will be at least $50,000 per failure, and, in the case of certain asset test failures, will be determined as the amount of net income generated by the assets in question multiplied by the highest corporate tax rate (currently 35%) if that amount exceeds $50,000 per failure.</w:t>
      </w:r>
    </w:p>
    <w:p>
      <w:pPr>
        <w:spacing w:after="0" w:line="147" w:lineRule="exact"/>
        <w:rPr>
          <w:rFonts w:ascii="Arial" w:cs="Arial" w:eastAsia="Arial" w:hAnsi="Arial"/>
          <w:sz w:val="18"/>
          <w:szCs w:val="18"/>
          <w:color w:val="auto"/>
        </w:rPr>
      </w:pPr>
    </w:p>
    <w:p>
      <w:pPr>
        <w:jc w:val="both"/>
        <w:ind w:left="760" w:hanging="347"/>
        <w:spacing w:after="0" w:line="279" w:lineRule="auto"/>
        <w:tabs>
          <w:tab w:leader="none" w:pos="760" w:val="left"/>
        </w:tabs>
        <w:numPr>
          <w:ilvl w:val="0"/>
          <w:numId w:val="6"/>
        </w:numPr>
        <w:rPr>
          <w:rFonts w:ascii="Arial" w:cs="Arial" w:eastAsia="Arial" w:hAnsi="Arial"/>
          <w:sz w:val="17"/>
          <w:szCs w:val="17"/>
          <w:color w:val="auto"/>
        </w:rPr>
      </w:pPr>
      <w:r>
        <w:rPr>
          <w:rFonts w:ascii="Arial" w:cs="Arial" w:eastAsia="Arial" w:hAnsi="Arial"/>
          <w:sz w:val="17"/>
          <w:szCs w:val="17"/>
          <w:color w:val="auto"/>
        </w:rPr>
        <w:t>If we should fail to distribute during each calendar year at least the sum of (a) 85% of our REIT ordinary income for such year, (b) 95% of our REIT capital gain net income for such year, and (c) any undistributed taxable income from prior periods, we would be subject to a nondeductible 4% excise tax on the excess of the required distribution over the sum of (i) the amounts that we actually distributed, (ii) the amounts we retained and upon which we paid income tax at the corporate level and (iii) any over distributions from prior periods.</w:t>
      </w:r>
    </w:p>
    <w:p>
      <w:pPr>
        <w:spacing w:after="0" w:line="117" w:lineRule="exact"/>
        <w:rPr>
          <w:rFonts w:ascii="Arial" w:cs="Arial" w:eastAsia="Arial" w:hAnsi="Arial"/>
          <w:sz w:val="17"/>
          <w:szCs w:val="17"/>
          <w:color w:val="auto"/>
        </w:rPr>
      </w:pPr>
    </w:p>
    <w:p>
      <w:pPr>
        <w:jc w:val="both"/>
        <w:ind w:left="760" w:hanging="347"/>
        <w:spacing w:after="0" w:line="264" w:lineRule="auto"/>
        <w:tabs>
          <w:tab w:leader="none" w:pos="760" w:val="left"/>
        </w:tabs>
        <w:numPr>
          <w:ilvl w:val="0"/>
          <w:numId w:val="6"/>
        </w:numPr>
        <w:rPr>
          <w:rFonts w:ascii="Arial" w:cs="Arial" w:eastAsia="Arial" w:hAnsi="Arial"/>
          <w:sz w:val="18"/>
          <w:szCs w:val="18"/>
          <w:color w:val="auto"/>
        </w:rPr>
      </w:pPr>
      <w:r>
        <w:rPr>
          <w:rFonts w:ascii="Arial" w:cs="Arial" w:eastAsia="Arial" w:hAnsi="Arial"/>
          <w:sz w:val="18"/>
          <w:szCs w:val="18"/>
          <w:color w:val="auto"/>
        </w:rPr>
        <w:t>We may be required to pay monetary penalties to the Internal Revenue Service ("IRS") in certain circumstances, including if we fail to meet record keeping requirements intended to monitor our compliance with rules relating to the composition of a REIT's stockholders, as described below in "Requirements for Qualification-General."</w:t>
      </w:r>
    </w:p>
    <w:p>
      <w:pPr>
        <w:spacing w:after="0" w:line="140" w:lineRule="exact"/>
        <w:rPr>
          <w:rFonts w:ascii="Arial" w:cs="Arial" w:eastAsia="Arial" w:hAnsi="Arial"/>
          <w:sz w:val="18"/>
          <w:szCs w:val="18"/>
          <w:color w:val="auto"/>
        </w:rPr>
      </w:pPr>
    </w:p>
    <w:p>
      <w:pPr>
        <w:ind w:left="760" w:hanging="347"/>
        <w:spacing w:after="0"/>
        <w:tabs>
          <w:tab w:leader="none" w:pos="760" w:val="left"/>
        </w:tabs>
        <w:numPr>
          <w:ilvl w:val="0"/>
          <w:numId w:val="6"/>
        </w:numPr>
        <w:rPr>
          <w:rFonts w:ascii="Arial" w:cs="Arial" w:eastAsia="Arial" w:hAnsi="Arial"/>
          <w:sz w:val="18"/>
          <w:szCs w:val="18"/>
          <w:color w:val="auto"/>
        </w:rPr>
      </w:pPr>
      <w:r>
        <w:rPr>
          <w:rFonts w:ascii="Arial" w:cs="Arial" w:eastAsia="Arial" w:hAnsi="Arial"/>
          <w:sz w:val="18"/>
          <w:szCs w:val="18"/>
          <w:color w:val="auto"/>
        </w:rPr>
        <w:t>A 100% tax may be imposed on transactions between us and our TRSs (as described below), that do not reflect arm's-length terms.</w:t>
      </w:r>
    </w:p>
    <w:p>
      <w:pPr>
        <w:spacing w:after="0" w:line="184" w:lineRule="exact"/>
        <w:rPr>
          <w:rFonts w:ascii="Arial" w:cs="Arial" w:eastAsia="Arial" w:hAnsi="Arial"/>
          <w:sz w:val="18"/>
          <w:szCs w:val="18"/>
          <w:color w:val="auto"/>
        </w:rPr>
      </w:pPr>
    </w:p>
    <w:p>
      <w:pPr>
        <w:jc w:val="both"/>
        <w:ind w:left="760" w:hanging="347"/>
        <w:spacing w:after="0" w:line="257" w:lineRule="auto"/>
        <w:tabs>
          <w:tab w:leader="none" w:pos="760" w:val="left"/>
        </w:tabs>
        <w:numPr>
          <w:ilvl w:val="0"/>
          <w:numId w:val="6"/>
        </w:numPr>
        <w:rPr>
          <w:rFonts w:ascii="Arial" w:cs="Arial" w:eastAsia="Arial" w:hAnsi="Arial"/>
          <w:sz w:val="18"/>
          <w:szCs w:val="18"/>
          <w:color w:val="auto"/>
        </w:rPr>
      </w:pPr>
      <w:r>
        <w:rPr>
          <w:rFonts w:ascii="Arial" w:cs="Arial" w:eastAsia="Arial" w:hAnsi="Arial"/>
          <w:sz w:val="18"/>
          <w:szCs w:val="18"/>
          <w:color w:val="auto"/>
        </w:rPr>
        <w:t>If we acquire appreciated assets from a corporation that is not a REIT (i.e., a corporation taxable under subchapter C of the Internal Revenue Code) in a transaction in which the adjusted tax basis of the assets in our hands is determined by reference to the adjusted tax basis of the assets in the hands of the subchapter C corporation, we may be subject to tax on such appreciation at the highest corporate income tax rate then applicable if we subsequently recognize a gain on a disposition of any such assets during the ten-year period following their acquisition from the subchapter C corporation.</w:t>
      </w:r>
    </w:p>
    <w:p>
      <w:pPr>
        <w:spacing w:after="0" w:line="147" w:lineRule="exact"/>
        <w:rPr>
          <w:rFonts w:ascii="Arial" w:cs="Arial" w:eastAsia="Arial" w:hAnsi="Arial"/>
          <w:sz w:val="18"/>
          <w:szCs w:val="18"/>
          <w:color w:val="auto"/>
        </w:rPr>
      </w:pPr>
    </w:p>
    <w:p>
      <w:pPr>
        <w:ind w:left="760" w:right="20" w:hanging="347"/>
        <w:spacing w:after="0" w:line="277" w:lineRule="auto"/>
        <w:tabs>
          <w:tab w:leader="none" w:pos="7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earnings of our subsidiaries, including our TRSs, are subject to federal corporate income tax to the extent that such subsidiaries are subchapter C corporations and are not qualified REIT subsidiaries ("QRS").</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Requirements for Qualification-General</w:t>
      </w:r>
    </w:p>
    <w:p>
      <w:pPr>
        <w:spacing w:after="0" w:line="18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Internal Revenue Code defines a REIT as a corporation, trust or association:</w:t>
      </w:r>
    </w:p>
    <w:p>
      <w:pPr>
        <w:spacing w:after="0" w:line="185" w:lineRule="exact"/>
        <w:rPr>
          <w:sz w:val="20"/>
          <w:szCs w:val="20"/>
          <w:color w:val="auto"/>
        </w:rPr>
      </w:pPr>
    </w:p>
    <w:p>
      <w:pPr>
        <w:ind w:left="880" w:hanging="467"/>
        <w:spacing w:after="0"/>
        <w:tabs>
          <w:tab w:leader="none" w:pos="88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that is managed by one or more trustees or directors;</w:t>
      </w:r>
    </w:p>
    <w:p>
      <w:pPr>
        <w:spacing w:after="0" w:line="184" w:lineRule="exact"/>
        <w:rPr>
          <w:rFonts w:ascii="Arial" w:cs="Arial" w:eastAsia="Arial" w:hAnsi="Arial"/>
          <w:sz w:val="18"/>
          <w:szCs w:val="18"/>
          <w:color w:val="auto"/>
        </w:rPr>
      </w:pPr>
    </w:p>
    <w:p>
      <w:pPr>
        <w:ind w:left="880" w:hanging="467"/>
        <w:spacing w:after="0"/>
        <w:tabs>
          <w:tab w:leader="none" w:pos="88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beneficial ownership of which is evidenced by transferable shares, or by transferable certificates of beneficial interest;</w:t>
      </w:r>
    </w:p>
    <w:p>
      <w:pPr>
        <w:spacing w:after="0" w:line="184" w:lineRule="exact"/>
        <w:rPr>
          <w:rFonts w:ascii="Arial" w:cs="Arial" w:eastAsia="Arial" w:hAnsi="Arial"/>
          <w:sz w:val="18"/>
          <w:szCs w:val="18"/>
          <w:color w:val="auto"/>
        </w:rPr>
      </w:pPr>
    </w:p>
    <w:p>
      <w:pPr>
        <w:ind w:left="880" w:hanging="467"/>
        <w:spacing w:after="0"/>
        <w:tabs>
          <w:tab w:leader="none" w:pos="88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that would be taxable as a domestic corporation but for its election to be subject to tax as a REIT;</w:t>
      </w:r>
    </w:p>
    <w:p>
      <w:pPr>
        <w:spacing w:after="0" w:line="184" w:lineRule="exact"/>
        <w:rPr>
          <w:rFonts w:ascii="Arial" w:cs="Arial" w:eastAsia="Arial" w:hAnsi="Arial"/>
          <w:sz w:val="18"/>
          <w:szCs w:val="18"/>
          <w:color w:val="auto"/>
        </w:rPr>
      </w:pPr>
    </w:p>
    <w:p>
      <w:pPr>
        <w:ind w:left="880" w:hanging="467"/>
        <w:spacing w:after="0"/>
        <w:tabs>
          <w:tab w:leader="none" w:pos="88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that is neither a financial institution nor an insurance company subject to specific provisions of the Internal Revenue Code;</w:t>
      </w:r>
    </w:p>
    <w:p>
      <w:pPr>
        <w:spacing w:after="0" w:line="2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746" w:right="239" w:bottom="1440" w:gutter="0" w:footer="0" w:header="0"/>
        </w:sectPr>
      </w:pPr>
    </w:p>
    <w:bookmarkStart w:id="11" w:name="page12"/>
    <w:bookmarkEnd w:id="11"/>
    <w:p>
      <w:pPr>
        <w:ind w:left="880" w:hanging="467"/>
        <w:spacing w:after="0"/>
        <w:tabs>
          <w:tab w:leader="none" w:pos="88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beneficial ownership of which is held by 100 or more persons;</w:t>
      </w:r>
    </w:p>
    <w:p>
      <w:pPr>
        <w:spacing w:after="0" w:line="184" w:lineRule="exact"/>
        <w:rPr>
          <w:rFonts w:ascii="Arial" w:cs="Arial" w:eastAsia="Arial" w:hAnsi="Arial"/>
          <w:sz w:val="18"/>
          <w:szCs w:val="18"/>
          <w:color w:val="auto"/>
        </w:rPr>
      </w:pPr>
    </w:p>
    <w:p>
      <w:pPr>
        <w:ind w:left="880" w:hanging="467"/>
        <w:spacing w:after="0" w:line="277" w:lineRule="auto"/>
        <w:tabs>
          <w:tab w:leader="none" w:pos="88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 which, during the last half of each taxable year, not more than 50% in value of the outstanding stock is owned, directly or indirectly, by five or fewer "individuals" (as defined in the Internal Revenue Code to include specified tax-exempt entities); and</w:t>
      </w:r>
    </w:p>
    <w:p>
      <w:pPr>
        <w:spacing w:after="0" w:line="170" w:lineRule="exact"/>
        <w:rPr>
          <w:rFonts w:ascii="Arial" w:cs="Arial" w:eastAsia="Arial" w:hAnsi="Arial"/>
          <w:sz w:val="18"/>
          <w:szCs w:val="18"/>
          <w:color w:val="auto"/>
        </w:rPr>
      </w:pPr>
    </w:p>
    <w:p>
      <w:pPr>
        <w:ind w:left="880" w:hanging="467"/>
        <w:spacing w:after="0"/>
        <w:tabs>
          <w:tab w:leader="none" w:pos="880" w:val="left"/>
        </w:tabs>
        <w:numPr>
          <w:ilvl w:val="0"/>
          <w:numId w:val="8"/>
        </w:numPr>
        <w:rPr>
          <w:rFonts w:ascii="Arial" w:cs="Arial" w:eastAsia="Arial" w:hAnsi="Arial"/>
          <w:sz w:val="18"/>
          <w:szCs w:val="18"/>
          <w:color w:val="auto"/>
        </w:rPr>
      </w:pPr>
      <w:r>
        <w:rPr>
          <w:rFonts w:ascii="Arial" w:cs="Arial" w:eastAsia="Arial" w:hAnsi="Arial"/>
          <w:sz w:val="18"/>
          <w:szCs w:val="18"/>
          <w:color w:val="auto"/>
        </w:rPr>
        <w:t>which meets other tests described below, including with respect to the nature of its income and assets.</w:t>
      </w:r>
    </w:p>
    <w:p>
      <w:pPr>
        <w:spacing w:after="0" w:line="185"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The Internal Revenue Code provides that conditions (1) through (4) must be met during the entire taxable year, and that condition (5) must be met during at least 335 days of a taxable year of 12 months. Our amended and restated articles of incorporation provides restrictions regarding the ownership and transfers of our stock, which are intended to assist us in satisfying the stock ownership requirements described in conditions (5) and (6) above.</w:t>
      </w:r>
    </w:p>
    <w:p>
      <w:pPr>
        <w:spacing w:after="0" w:line="106"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To monitor compliance with the stock ownership requirements, we generally are required to maintain records regarding the actual ownership of our stock. To do so, we must demand written statements each year from the record holders of significant percentages of our stock pursuant to which the record holders must disclose the actual owners of the stock (i.e., the persons required to include our dividends in their gross income). We must maintain a list of those persons failing or refusing to comply with this demand as part of our records. We could be subject to monetary penalties if we fail to comply with these record-keeping requirements. If a stockholder fails or refuses to comply with the demands, the stockholder will be required by U.S. Treasury regulations to submit a statement with their tax return disclosing their actual ownership of our stock and other information.</w:t>
      </w:r>
    </w:p>
    <w:p>
      <w:pPr>
        <w:spacing w:after="0" w:line="138"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The Internal Revenue Code provides relief from violations of the REIT gross income requirements, as described below under "Income Tests," in cases where a violation is due to reasonable cause and not to willful neglect and other requirements are met, including the payment of a penalty tax that is based upon the magnitude of the violation. In addition, certain provisions of the Internal Revenue Code extend similar relief in the case of certain violations of the REIT asset requirements (see "Asset Tests" below) and other REIT requirements, again provided that the violation is due to reasonable cause and not willful neglect and other conditions are met, including the payment of a penalty tax. If we fail to satisfy any of the various REIT requirements, there can be no assurance that these relief provisions would be available to enable us to maintain our qualification as a REIT, and, if such relief provisions are available, the amount of any resultant penalty tax could be substantial.</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Effect of Taxable Subsidiaries</w:t>
      </w:r>
    </w:p>
    <w:p>
      <w:pPr>
        <w:spacing w:after="0" w:line="185"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In general, we may jointly elect with a subsidiary corporation, whether or not wholly-owned, to treat such subsidiary corporation as a taxable REIT subsidiary. We generally may not own more than 10% of the securities of a taxable corporation, as measured by voting power or value, unless we and such taxable corporation elect to treat such corporation as a taxable REIT subsidiary. The separate existence of a taxable REIT subsidiary or other taxable corporation is not ignored for federal income tax purposes. Accordingly, such entities generally are subject to corporate income tax on their earnings, which may reduce the cash flow that we and our subsidiaries generate in the aggregate, and may reduce our ability to make distributions to our stockholders.</w:t>
      </w:r>
    </w:p>
    <w:p>
      <w:pPr>
        <w:spacing w:after="0" w:line="118" w:lineRule="exact"/>
        <w:rPr>
          <w:sz w:val="20"/>
          <w:szCs w:val="20"/>
          <w:color w:val="auto"/>
        </w:rPr>
      </w:pPr>
    </w:p>
    <w:p>
      <w:pPr>
        <w:jc w:val="both"/>
        <w:ind w:firstLine="432"/>
        <w:spacing w:after="0" w:line="272" w:lineRule="auto"/>
        <w:rPr>
          <w:sz w:val="20"/>
          <w:szCs w:val="20"/>
          <w:color w:val="auto"/>
        </w:rPr>
      </w:pPr>
      <w:r>
        <w:rPr>
          <w:rFonts w:ascii="Arial" w:cs="Arial" w:eastAsia="Arial" w:hAnsi="Arial"/>
          <w:sz w:val="17"/>
          <w:szCs w:val="17"/>
          <w:color w:val="auto"/>
        </w:rPr>
        <w:t>For determining compliance with the "Income Tests" and "Asset Tests" applicable to REITs described below, the gross income and assets of TRSs and other taxable subsidiaries are excluded. Instead, actual dividends paid to the REIT from such taxable subsidiaries, if any, are included in the REIT's gross income tests and the value of the REIT's net investment in such entities is included in the gross asset tests. Because the gross income and assets of a TRS or other taxable subsidiary corporations are excluded in determining compliance with the REIT requirements, we may use such entities to undertake indirectly activities that the REIT rules might otherwise preclude us from doing directly or through pass-through subsidiaries. For example, we may use our TRS or other taxable subsidiary corporations to conduct activities that give rise to certain categories of income or to conduct activities that, if conducted by us directly, could be treated in our hands as non-real estate related or prohibited transactions.</w:t>
      </w:r>
    </w:p>
    <w:p>
      <w:pPr>
        <w:spacing w:after="0" w:line="124" w:lineRule="exact"/>
        <w:rPr>
          <w:sz w:val="20"/>
          <w:szCs w:val="20"/>
          <w:color w:val="auto"/>
        </w:rPr>
      </w:pPr>
    </w:p>
    <w:p>
      <w:pPr>
        <w:ind w:left="420"/>
        <w:spacing w:after="0"/>
        <w:rPr>
          <w:sz w:val="20"/>
          <w:szCs w:val="20"/>
          <w:color w:val="auto"/>
        </w:rPr>
      </w:pPr>
      <w:r>
        <w:rPr>
          <w:rFonts w:ascii="Arial" w:cs="Arial" w:eastAsia="Arial" w:hAnsi="Arial"/>
          <w:sz w:val="18"/>
          <w:szCs w:val="18"/>
          <w:color w:val="auto"/>
        </w:rPr>
        <w:t>We jointly elected to treat our wholly-owned subsidiary American Capital Agency TRS, LLC as a TRS.</w:t>
      </w:r>
    </w:p>
    <w:p>
      <w:pPr>
        <w:spacing w:after="0" w:line="171"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The TRS rules limit the deductibility of interest paid or accrued by a TRS to its parent REIT to assure that the TRS is subject to an appropriate level of corporate taxation. Further, the rules impose a 100% excise tax on transactions between a TRS and its parent REIT that are not conducted on an arm's-length basis. We intend that all of our transactions with our TRSs will be conducted on an arm's-length basis.</w:t>
      </w:r>
    </w:p>
    <w:p>
      <w:pPr>
        <w:spacing w:after="0" w:line="127"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Disregarded Entities</w:t>
      </w:r>
    </w:p>
    <w:p>
      <w:pPr>
        <w:spacing w:after="0" w:line="171"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Our wholly-owned subsidiaries Bethesda Securities, LLC and Old Georgetown Insurance Co., LLC are disregarded entities for federal income tax purposes. As such, their assets, liabilities and income would generally be treated as our assets, liabilities and income for purposes of each of the below REIT qualification tests.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746" w:right="239" w:bottom="1440" w:gutter="0" w:footer="0" w:header="0"/>
        </w:sectPr>
      </w:pPr>
    </w:p>
    <w:bookmarkStart w:id="12" w:name="page13"/>
    <w:bookmarkEnd w:id="12"/>
    <w:p>
      <w:pPr>
        <w:spacing w:after="0"/>
        <w:rPr>
          <w:sz w:val="20"/>
          <w:szCs w:val="20"/>
          <w:color w:val="auto"/>
        </w:rPr>
      </w:pPr>
      <w:r>
        <w:rPr>
          <w:rFonts w:ascii="Arial" w:cs="Arial" w:eastAsia="Arial" w:hAnsi="Arial"/>
          <w:sz w:val="18"/>
          <w:szCs w:val="18"/>
          <w:i w:val="1"/>
          <w:iCs w:val="1"/>
          <w:color w:val="auto"/>
        </w:rPr>
        <w:t>Income Tests</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In order to continue to qualify as a REIT, we must satisfy two gross income requirements on an annual basis.</w:t>
      </w:r>
    </w:p>
    <w:p>
      <w:pPr>
        <w:spacing w:after="0" w:line="171" w:lineRule="exact"/>
        <w:rPr>
          <w:sz w:val="20"/>
          <w:szCs w:val="20"/>
          <w:color w:val="auto"/>
        </w:rPr>
      </w:pPr>
    </w:p>
    <w:p>
      <w:pPr>
        <w:ind w:left="1060" w:hanging="647"/>
        <w:spacing w:after="0" w:line="297" w:lineRule="auto"/>
        <w:tabs>
          <w:tab w:leader="none" w:pos="736" w:val="left"/>
        </w:tabs>
        <w:numPr>
          <w:ilvl w:val="0"/>
          <w:numId w:val="9"/>
        </w:numPr>
        <w:rPr>
          <w:rFonts w:ascii="Arial" w:cs="Arial" w:eastAsia="Arial" w:hAnsi="Arial"/>
          <w:sz w:val="16"/>
          <w:szCs w:val="16"/>
          <w:color w:val="auto"/>
        </w:rPr>
      </w:pPr>
      <w:r>
        <w:rPr>
          <w:rFonts w:ascii="Arial" w:cs="Arial" w:eastAsia="Arial" w:hAnsi="Arial"/>
          <w:sz w:val="16"/>
          <w:szCs w:val="16"/>
          <w:color w:val="auto"/>
        </w:rPr>
        <w:t>At least 75% of our gross income for each taxable year, excluding gross income from sales of inventory or dealer property in "prohibited transactions" and certain hedging transactions, generally must be derived from investments relating to real property or mortgages on real property, including interest income derived from mortgage loans secured by real property (including, generally, agency MBS and certain other types of mortgage-backed securities), "rents from real property," dividends received from other REITs, and gains from the sale of real estate assets (excluding nonqualified debt instruments from publically offered REITs), as well as specified income from temporary investments.</w:t>
      </w:r>
    </w:p>
    <w:p>
      <w:pPr>
        <w:spacing w:after="0" w:line="104" w:lineRule="exact"/>
        <w:rPr>
          <w:rFonts w:ascii="Arial" w:cs="Arial" w:eastAsia="Arial" w:hAnsi="Arial"/>
          <w:sz w:val="16"/>
          <w:szCs w:val="16"/>
          <w:color w:val="auto"/>
        </w:rPr>
      </w:pPr>
    </w:p>
    <w:p>
      <w:pPr>
        <w:ind w:left="1060" w:hanging="647"/>
        <w:spacing w:after="0" w:line="286" w:lineRule="auto"/>
        <w:tabs>
          <w:tab w:leader="none" w:pos="736" w:val="left"/>
        </w:tabs>
        <w:numPr>
          <w:ilvl w:val="0"/>
          <w:numId w:val="9"/>
        </w:numPr>
        <w:rPr>
          <w:rFonts w:ascii="Arial" w:cs="Arial" w:eastAsia="Arial" w:hAnsi="Arial"/>
          <w:sz w:val="17"/>
          <w:szCs w:val="17"/>
          <w:color w:val="auto"/>
        </w:rPr>
      </w:pPr>
      <w:r>
        <w:rPr>
          <w:rFonts w:ascii="Arial" w:cs="Arial" w:eastAsia="Arial" w:hAnsi="Arial"/>
          <w:sz w:val="17"/>
          <w:szCs w:val="17"/>
          <w:color w:val="auto"/>
        </w:rPr>
        <w:t>At least 95% of our gross income in each taxable year, excluding gross income from prohibited transactions and certain hedging transactions, must be derived from some combination of income that qualifies under the 75% gross income test described above, as well as other dividends, interest, and gains from the sale or disposition of stock or securities, which need not have any relation to real property.</w:t>
      </w:r>
    </w:p>
    <w:p>
      <w:pPr>
        <w:spacing w:after="0" w:line="111" w:lineRule="exact"/>
        <w:rPr>
          <w:sz w:val="20"/>
          <w:szCs w:val="20"/>
          <w:color w:val="auto"/>
        </w:rPr>
      </w:pPr>
    </w:p>
    <w:p>
      <w:pPr>
        <w:jc w:val="both"/>
        <w:ind w:firstLine="432"/>
        <w:spacing w:after="0" w:line="291" w:lineRule="auto"/>
        <w:rPr>
          <w:sz w:val="20"/>
          <w:szCs w:val="20"/>
          <w:color w:val="auto"/>
        </w:rPr>
      </w:pPr>
      <w:r>
        <w:rPr>
          <w:rFonts w:ascii="Arial" w:cs="Arial" w:eastAsia="Arial" w:hAnsi="Arial"/>
          <w:sz w:val="16"/>
          <w:szCs w:val="16"/>
          <w:color w:val="auto"/>
        </w:rPr>
        <w:t>Interest income constitutes qualifying mortgage interest for purposes of the 75% gross income test described above to the extent that the obligation upon which such interest is paid is secured by a mortgage on real property. If we receive interest income with respect to a mortgage loan that is secured by both real property and other property that has an aggregate value in excess of 15% of the combined value of the real and other property, and the highest principal amount of the loan outstanding during a taxable year exceeds the fair market value of the real property on the date that we acquired or originated the mortgage loan, the interest income will be apportioned between the real property and the other collateral, and our income from the arrangement will qualify for purposes of the 75% gross income test only to the extent that the interest is allocable to the real property. Even if a loan is not secured by real property, or is under secured, the income that it generates may nonetheless qualify for purposes of the 95% gross income test.</w:t>
      </w:r>
    </w:p>
    <w:p>
      <w:pPr>
        <w:spacing w:after="0" w:line="127" w:lineRule="exact"/>
        <w:rPr>
          <w:sz w:val="20"/>
          <w:szCs w:val="20"/>
          <w:color w:val="auto"/>
        </w:rPr>
      </w:pPr>
    </w:p>
    <w:p>
      <w:pPr>
        <w:jc w:val="both"/>
        <w:ind w:firstLine="432"/>
        <w:spacing w:after="0" w:line="269" w:lineRule="auto"/>
        <w:rPr>
          <w:sz w:val="20"/>
          <w:szCs w:val="20"/>
          <w:color w:val="auto"/>
        </w:rPr>
      </w:pPr>
      <w:r>
        <w:rPr>
          <w:rFonts w:ascii="Arial" w:cs="Arial" w:eastAsia="Arial" w:hAnsi="Arial"/>
          <w:sz w:val="17"/>
          <w:szCs w:val="17"/>
          <w:color w:val="auto"/>
        </w:rPr>
        <w:t>We treat our investments in agency and AAA non-agency MBS either as interests in a grantor trust or as interests in a real estate mortgage investment conduit ("REMIC") for federal income tax purposes and, therefore, treat all interest income from such investments as qualifying income for the 95% gross income test. In the case of agency MBS treated as interests in grantor trusts, we treat these as owning an undivided beneficial ownership interest in the mortgage loans held by the grantor trust. Such mortgage loans generally qualify as real estate assets to the extent that they are secured by real property. The interest on such mortgage loans is qualifying income for purposes of the 75% gross income test to the extent that the obligation is secured by real property, as discussed above. In the case of agency and AAA non-agency MBS treated as interests in a REMIC, income derived from REMIC interests is generally treated as qualifying income for purposes of the 75% gross income tests. If less than 95% of the assets of the REMIC are real estate assets, however, then only a proportionate part of our interest in the REMIC and income derived from the interest qualifies for purposes of the 75% gross income test. In addition, some REMIC securitizations include embedded interest rate swap or cap contracts or other derivative instruments that potentially could produce non-qualifying income for the holder of the related REMIC securities. We expect that substantially all of our income from our agency and AAA non-agency MBS will continue to be qualifying income for purposes of the REIT gross income tests.</w:t>
      </w:r>
    </w:p>
    <w:p>
      <w:pPr>
        <w:spacing w:after="0" w:line="142" w:lineRule="exact"/>
        <w:rPr>
          <w:sz w:val="20"/>
          <w:szCs w:val="20"/>
          <w:color w:val="auto"/>
        </w:rPr>
      </w:pPr>
    </w:p>
    <w:p>
      <w:pPr>
        <w:jc w:val="both"/>
        <w:ind w:firstLine="405"/>
        <w:spacing w:after="0" w:line="269" w:lineRule="auto"/>
        <w:rPr>
          <w:sz w:val="20"/>
          <w:szCs w:val="20"/>
          <w:color w:val="auto"/>
        </w:rPr>
      </w:pPr>
      <w:r>
        <w:rPr>
          <w:rFonts w:ascii="Arial" w:cs="Arial" w:eastAsia="Arial" w:hAnsi="Arial"/>
          <w:sz w:val="17"/>
          <w:szCs w:val="17"/>
          <w:color w:val="auto"/>
        </w:rPr>
        <w:t>We purchase and sell agency MBS through TBA contracts and recognize income or gains from the disposition of those TBAs, through dollar roll transactions or otherwise, and may continue to do so in the future. While there is no direct authority with respect to the qualification of income or gains from dispositions of TBAs as gains from the sale of real property (including interests in real property and interests in mortgages on real property) or other qualifying income for purposes of the 75% gross income test, we treat income and gains from our TBAs as qualifying income for purposes of the 75% gross income test, based on an opinion of Skadden, Arps, Slate, Meagher &amp; Flom LLP substantially to the effect that, for purposes of the 75% REIT gross income test, any gain recognized by us in connection with the settlement of our TBA contracts should be treated as gain from the sale or disposition of the underlying agency securities. Opinions of counsel are not binding on the IRS, and no assurance can be given that the IRS will not successfully challenge the conclusions set forth in such opinions. In addition, it must be emphasized that the opinion of Skadden, Arps, Slate, Meagher &amp; Flom LLP is based on various assumptions relating to our TBAs and is conditioned upon fact-based representations and covenants made by our management regarding our TBAs. No assurance can be given that the IRS would not assert that such income is not qualifying income. If the IRS were to successfully challenge the opinion of Skadden, Arps, Slate, Meagher &amp; Flom LLP, we could be subject to a penalty tax or we could fail to qualify as a REIT if a sufficient portion of our income consists of income or gains from the disposition of TBAs.</w:t>
      </w:r>
    </w:p>
    <w:p>
      <w:pPr>
        <w:spacing w:after="0" w:line="126"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We may directly or indirectly receive distributions from our TRSs or other corporations that are not REITs or qualified REIT subsidiaries. These distributions generally are treated as dividend income to the extent of the earnings and profits of the distributing corporation. Such distributions will generally constitute qualifying income for purposes of the 95% gross income test, but not for purposes of the 75% gross income test. Any dividends that we receive from a REIT, however, will be qualifying income for purposes of both the 95% and 75% gross income tests.</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746" w:right="239" w:bottom="1440" w:gutter="0" w:footer="0" w:header="0"/>
        </w:sectPr>
      </w:pPr>
    </w:p>
    <w:bookmarkStart w:id="13" w:name="page14"/>
    <w:bookmarkEnd w:id="13"/>
    <w:p>
      <w:pPr>
        <w:jc w:val="both"/>
        <w:ind w:firstLine="432"/>
        <w:spacing w:after="0" w:line="255" w:lineRule="auto"/>
        <w:rPr>
          <w:sz w:val="20"/>
          <w:szCs w:val="20"/>
          <w:color w:val="auto"/>
        </w:rPr>
      </w:pPr>
      <w:r>
        <w:rPr>
          <w:rFonts w:ascii="Arial" w:cs="Arial" w:eastAsia="Arial" w:hAnsi="Arial"/>
          <w:sz w:val="18"/>
          <w:szCs w:val="18"/>
          <w:color w:val="auto"/>
        </w:rPr>
        <w:t>Any income or gain that we derive from instruments that hedge the risk of changes in interest rates will generally be excluded from both the numerator and the denominator for purposes of the 75% and 95% gross income test, provided that specified requirements are met, including the requirement that: the instrument is entered into during the ordinary course of our business; the instrument hedges risks associated with indebtedness issued by us that is incurred to acquire or carry "real estate assets" (as described below under "Asset Tests") or that the instrument is entered into to offset the hedging effect achieved by the original hedge upon a disposition of all or a portion of the real estate indebtedness being hedged; and the instrument is properly identified as a hedge along with the risk that it hedges within prescribed time periods. Income and gain from all other hedging transactions will not be qualifying income for either the 95% or 75% gross income test.</w:t>
      </w:r>
    </w:p>
    <w:p>
      <w:pPr>
        <w:spacing w:after="0" w:line="135"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Under The Housing and Economic Recovery Tax Act of 2008, the Secretary of the Treasury has been given broad authority to determine whether particular items of gain or income recognized after July 30, 2008 qualify or not under the 75% and 95% gross income tests, or are to be excluded from the measure of gross income for such purposes.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Asset Tests</w:t>
      </w:r>
    </w:p>
    <w:p>
      <w:pPr>
        <w:spacing w:after="0" w:line="18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At the close of each calendar quarter, we must also satisfy four tests relating to the nature of our assets.</w:t>
      </w:r>
    </w:p>
    <w:p>
      <w:pPr>
        <w:spacing w:after="0" w:line="171" w:lineRule="exact"/>
        <w:rPr>
          <w:sz w:val="20"/>
          <w:szCs w:val="20"/>
          <w:color w:val="auto"/>
        </w:rPr>
      </w:pPr>
    </w:p>
    <w:p>
      <w:pPr>
        <w:jc w:val="both"/>
        <w:ind w:left="660" w:hanging="328"/>
        <w:spacing w:after="0" w:line="257"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At least 75% of the value of our total assets must be represented by some combination of "real estate assets," cash, cash items, U.S. Government securities, and, under some circumstances, temporary investments in stock or debt instruments purchased with new capital. For this purpose, real estate assets include some kinds of MBS and mortgage loans, as well as interests in real property, stock of other corporations that qualify as REITs and debt instruments of publically offered REITs (limited to 25% of the value of our total assets). Assets that do not qualify for purposes of the 75% asset test are subject to the additional asset tests described below.</w:t>
      </w:r>
    </w:p>
    <w:p>
      <w:pPr>
        <w:spacing w:after="0" w:line="134" w:lineRule="exact"/>
        <w:rPr>
          <w:rFonts w:ascii="Arial" w:cs="Arial" w:eastAsia="Arial" w:hAnsi="Arial"/>
          <w:sz w:val="18"/>
          <w:szCs w:val="18"/>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value of any one issuer's securities that we own may not exceed 5% of the value of our total assets.</w:t>
      </w:r>
    </w:p>
    <w:p>
      <w:pPr>
        <w:spacing w:after="0" w:line="171" w:lineRule="exact"/>
        <w:rPr>
          <w:rFonts w:ascii="Arial" w:cs="Arial" w:eastAsia="Arial" w:hAnsi="Arial"/>
          <w:sz w:val="18"/>
          <w:szCs w:val="18"/>
          <w:color w:val="auto"/>
        </w:rPr>
      </w:pPr>
    </w:p>
    <w:p>
      <w:pPr>
        <w:jc w:val="both"/>
        <w:ind w:left="660" w:right="20" w:hanging="328"/>
        <w:spacing w:after="0" w:line="264"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We may not own more than 10% of any one issuer's outstanding securities, as measured by either voting power or value. The 5% and 10% asset tests do not apply to securities of TRSs and qualified REIT subsidiaries and the 10% asset test does not apply to "straight debt" having specified characteristics and to certain other securities.</w:t>
      </w:r>
    </w:p>
    <w:p>
      <w:pPr>
        <w:spacing w:after="0" w:line="127" w:lineRule="exact"/>
        <w:rPr>
          <w:rFonts w:ascii="Arial" w:cs="Arial" w:eastAsia="Arial" w:hAnsi="Arial"/>
          <w:sz w:val="18"/>
          <w:szCs w:val="18"/>
          <w:color w:val="auto"/>
        </w:rPr>
      </w:pPr>
    </w:p>
    <w:p>
      <w:pPr>
        <w:jc w:val="both"/>
        <w:ind w:left="660" w:hanging="328"/>
        <w:spacing w:after="0" w:line="264"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For tax years beginning on or before December 31, 2017, the aggregate value of all securities of all TRSs that we hold may not exceed 25% of the value of our total assets. For tax years beginning after December 31, 2017, the aggregate value of all securities of all TRSs that we hold may not exceed 20% of the value of our total assets.</w:t>
      </w:r>
    </w:p>
    <w:p>
      <w:pPr>
        <w:spacing w:after="0" w:line="127"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We enter into sale and repurchase agreements under which we nominally sell certain of our investment securities to a counterparty and simultaneously enter into an agreement to repurchase the sold assets in exchange for a purchase price that reflects a financing charge. We believe that we would be treated for REIT asset and income test purposes as the owner of the collateral that is the subject of any such agreement notwithstanding that such agreement may transfer record ownership of the assets to the counterparty during the term of the agreement. It is possible, however, that the IRS could assert that we did not own such collateral during the term of the sale and repurchase agreement, in which case we could fail to qualify as a REIT.</w:t>
      </w:r>
    </w:p>
    <w:p>
      <w:pPr>
        <w:spacing w:after="0" w:line="104" w:lineRule="exact"/>
        <w:rPr>
          <w:sz w:val="20"/>
          <w:szCs w:val="20"/>
          <w:color w:val="auto"/>
        </w:rPr>
      </w:pPr>
    </w:p>
    <w:p>
      <w:pPr>
        <w:ind w:left="420"/>
        <w:spacing w:after="0"/>
        <w:rPr>
          <w:sz w:val="20"/>
          <w:szCs w:val="20"/>
          <w:color w:val="auto"/>
        </w:rPr>
      </w:pPr>
      <w:r>
        <w:rPr>
          <w:rFonts w:ascii="Arial" w:cs="Arial" w:eastAsia="Arial" w:hAnsi="Arial"/>
          <w:sz w:val="16"/>
          <w:szCs w:val="16"/>
          <w:color w:val="auto"/>
        </w:rPr>
        <w:t>As discussed above, we purchase and sell agency MBS through TBAs and may continue to do so in the future. While there is no direct authority with</w:t>
      </w:r>
    </w:p>
    <w:p>
      <w:pPr>
        <w:spacing w:after="0" w:line="86"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respect to the qualification of TBAs as real estate assets or U.S. Government securities for purposes of the 75% asset test, we treat our TBAs as qualifying assets for purposes of the REIT asset tests, based on an opinion of Skadden, Arps, Slate, Meagher &amp; Flom LLP substantially to the effect that, for purposes of the REIT asset tests, our ownership of a TBA should be treated as ownership of the underlying agency MBS. Opinions of counsel are not binding on the IRS, and no assurance can be given that the IRS will not successfully challenge the conclusions set forth in such opinions. In addition, it must be emphasized that the opinion of Skadden, Arps, Slate, Meagher &amp; Flom LLP is based on various assumptions relating to our TBAs and is conditioned upon fact-based representations and covenants made by our management regarding our TBAs. No assurance can be given that the IRS would not assert that such assets are not qualifying assets. If the IRS were to successfully challenge the opinion of Skadden, Arps, Slate, Meagher &amp; Flom LLP, we could be subject to a penalty tax or we could fail to qualify as a REIT if a sufficient portion of our assets consists of TBAs.</w:t>
      </w:r>
    </w:p>
    <w:p>
      <w:pPr>
        <w:spacing w:after="0" w:line="138" w:lineRule="exact"/>
        <w:rPr>
          <w:sz w:val="20"/>
          <w:szCs w:val="20"/>
          <w:color w:val="auto"/>
        </w:rPr>
      </w:pPr>
    </w:p>
    <w:p>
      <w:pPr>
        <w:jc w:val="both"/>
        <w:ind w:firstLine="405"/>
        <w:spacing w:after="0" w:line="297" w:lineRule="auto"/>
        <w:rPr>
          <w:sz w:val="20"/>
          <w:szCs w:val="20"/>
          <w:color w:val="auto"/>
        </w:rPr>
      </w:pPr>
      <w:r>
        <w:rPr>
          <w:rFonts w:ascii="Arial" w:cs="Arial" w:eastAsia="Arial" w:hAnsi="Arial"/>
          <w:sz w:val="16"/>
          <w:szCs w:val="16"/>
          <w:color w:val="auto"/>
        </w:rPr>
        <w:t>No independent appraisals have been obtained to support our conclusions as to the value of our total assets or the value of any particular security or securities. Moreover, values of some assets, including instruments issued in securitization transactions, may not be susceptible to a precise determination, and values are subject to change in the future. Furthermore, the proper classification of an instrument as debt or equity for federal income tax purposes may be uncertain in some circumstances, which could affect the application of the REIT asset requirements. Accordingly, there can be no assurance that the IRS will not contend that our interests in our subsidiaries or in the securities of other issuers will not cause a violation of the REIT asset tests.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746" w:right="239" w:bottom="1440" w:gutter="0" w:footer="0" w:header="0"/>
        </w:sectPr>
      </w:pPr>
    </w:p>
    <w:bookmarkStart w:id="14" w:name="page15"/>
    <w:bookmarkEnd w:id="14"/>
    <w:p>
      <w:pPr>
        <w:ind w:left="440"/>
        <w:spacing w:after="0"/>
        <w:rPr>
          <w:sz w:val="20"/>
          <w:szCs w:val="20"/>
          <w:color w:val="auto"/>
        </w:rPr>
      </w:pPr>
      <w:r>
        <w:rPr>
          <w:rFonts w:ascii="Arial" w:cs="Arial" w:eastAsia="Arial" w:hAnsi="Arial"/>
          <w:sz w:val="17"/>
          <w:szCs w:val="17"/>
          <w:color w:val="auto"/>
        </w:rPr>
        <w:t>If we should fail to satisfy the asset tests at the end of a calendar quarter, such a failure would not cause us to lose our REIT qualification if we</w:t>
      </w:r>
    </w:p>
    <w:p>
      <w:pPr>
        <w:spacing w:after="0" w:line="35" w:lineRule="exact"/>
        <w:rPr>
          <w:sz w:val="20"/>
          <w:szCs w:val="20"/>
          <w:color w:val="auto"/>
        </w:rPr>
      </w:pPr>
    </w:p>
    <w:p>
      <w:pPr>
        <w:jc w:val="both"/>
        <w:ind w:firstLine="8"/>
        <w:spacing w:after="0" w:line="254" w:lineRule="auto"/>
        <w:tabs>
          <w:tab w:leader="none" w:pos="266" w:val="left"/>
        </w:tabs>
        <w:numPr>
          <w:ilvl w:val="0"/>
          <w:numId w:val="11"/>
        </w:numPr>
        <w:rPr>
          <w:rFonts w:ascii="Arial" w:cs="Arial" w:eastAsia="Arial" w:hAnsi="Arial"/>
          <w:sz w:val="18"/>
          <w:szCs w:val="18"/>
          <w:color w:val="auto"/>
        </w:rPr>
      </w:pPr>
      <w:r>
        <w:rPr>
          <w:rFonts w:ascii="Arial" w:cs="Arial" w:eastAsia="Arial" w:hAnsi="Arial"/>
          <w:sz w:val="18"/>
          <w:szCs w:val="18"/>
          <w:color w:val="auto"/>
        </w:rPr>
        <w:t>satisfied the asset tests at the close of the preceding calendar quarter and (2) the discrepancy between the value of our assets and the asset requirements was not wholly or partly caused by an acquisition of non-qualifying assets, but instead arose from changes in the market value of our assets. If the condition described in (2) were not satisfied, we still could avoid disqualification by eliminating any discrepancy within 30 days after the close of the calendar quarter in which it arose or by making use of relief provisions described under "</w:t>
      </w:r>
      <w:r>
        <w:rPr>
          <w:rFonts w:ascii="Arial" w:cs="Arial" w:eastAsia="Arial" w:hAnsi="Arial"/>
          <w:sz w:val="18"/>
          <w:szCs w:val="18"/>
          <w:i w:val="1"/>
          <w:iCs w:val="1"/>
          <w:color w:val="auto"/>
        </w:rPr>
        <w:t>Failure to Qualify</w:t>
      </w:r>
      <w:r>
        <w:rPr>
          <w:rFonts w:ascii="Arial" w:cs="Arial" w:eastAsia="Arial" w:hAnsi="Arial"/>
          <w:sz w:val="18"/>
          <w:szCs w:val="18"/>
          <w:color w:val="auto"/>
        </w:rPr>
        <w:t>" below.</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Annual Distribution Requirements</w:t>
      </w:r>
    </w:p>
    <w:p>
      <w:pPr>
        <w:spacing w:after="0" w:line="185" w:lineRule="exact"/>
        <w:rPr>
          <w:sz w:val="20"/>
          <w:szCs w:val="20"/>
          <w:color w:val="auto"/>
        </w:rPr>
      </w:pPr>
    </w:p>
    <w:p>
      <w:pPr>
        <w:ind w:left="440"/>
        <w:spacing w:after="0"/>
        <w:rPr>
          <w:sz w:val="20"/>
          <w:szCs w:val="20"/>
          <w:color w:val="auto"/>
        </w:rPr>
      </w:pPr>
      <w:r>
        <w:rPr>
          <w:rFonts w:ascii="Arial" w:cs="Arial" w:eastAsia="Arial" w:hAnsi="Arial"/>
          <w:sz w:val="16"/>
          <w:szCs w:val="16"/>
          <w:color w:val="auto"/>
        </w:rPr>
        <w:t>In order to qualify as a REIT, we are required to distribute dividends, other than capital gain dividends, to our stockholders in an amount at least equal</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to:</w:t>
      </w:r>
    </w:p>
    <w:p>
      <w:pPr>
        <w:spacing w:after="0" w:line="170" w:lineRule="exact"/>
        <w:rPr>
          <w:sz w:val="20"/>
          <w:szCs w:val="20"/>
          <w:color w:val="auto"/>
        </w:rPr>
      </w:pPr>
    </w:p>
    <w:p>
      <w:pPr>
        <w:ind w:left="1120" w:hanging="248"/>
        <w:spacing w:after="0"/>
        <w:tabs>
          <w:tab w:leader="none" w:pos="11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sum of</w:t>
      </w:r>
    </w:p>
    <w:p>
      <w:pPr>
        <w:spacing w:after="0" w:line="184" w:lineRule="exact"/>
        <w:rPr>
          <w:rFonts w:ascii="Arial" w:cs="Arial" w:eastAsia="Arial" w:hAnsi="Arial"/>
          <w:sz w:val="18"/>
          <w:szCs w:val="18"/>
          <w:color w:val="auto"/>
        </w:rPr>
      </w:pPr>
    </w:p>
    <w:p>
      <w:pPr>
        <w:ind w:left="1560" w:hanging="255"/>
        <w:spacing w:after="0"/>
        <w:tabs>
          <w:tab w:leader="none" w:pos="1560" w:val="left"/>
        </w:tabs>
        <w:numPr>
          <w:ilvl w:val="1"/>
          <w:numId w:val="12"/>
        </w:numPr>
        <w:rPr>
          <w:rFonts w:ascii="Arial" w:cs="Arial" w:eastAsia="Arial" w:hAnsi="Arial"/>
          <w:sz w:val="17"/>
          <w:szCs w:val="17"/>
          <w:color w:val="auto"/>
        </w:rPr>
      </w:pPr>
      <w:r>
        <w:rPr>
          <w:rFonts w:ascii="Arial" w:cs="Arial" w:eastAsia="Arial" w:hAnsi="Arial"/>
          <w:sz w:val="17"/>
          <w:szCs w:val="17"/>
          <w:color w:val="auto"/>
        </w:rPr>
        <w:t>90% of our "REIT taxable income," computed without regard to our net capital gains and the deduction for dividends paid, and</w:t>
      </w:r>
    </w:p>
    <w:p>
      <w:pPr>
        <w:spacing w:after="0" w:line="196" w:lineRule="exact"/>
        <w:rPr>
          <w:rFonts w:ascii="Arial" w:cs="Arial" w:eastAsia="Arial" w:hAnsi="Arial"/>
          <w:sz w:val="17"/>
          <w:szCs w:val="17"/>
          <w:color w:val="auto"/>
        </w:rPr>
      </w:pPr>
    </w:p>
    <w:p>
      <w:pPr>
        <w:ind w:left="1560" w:hanging="255"/>
        <w:spacing w:after="0"/>
        <w:tabs>
          <w:tab w:leader="none" w:pos="1560" w:val="left"/>
        </w:tabs>
        <w:numPr>
          <w:ilvl w:val="1"/>
          <w:numId w:val="12"/>
        </w:numPr>
        <w:rPr>
          <w:rFonts w:ascii="Arial" w:cs="Arial" w:eastAsia="Arial" w:hAnsi="Arial"/>
          <w:sz w:val="18"/>
          <w:szCs w:val="18"/>
          <w:color w:val="auto"/>
        </w:rPr>
      </w:pPr>
      <w:r>
        <w:rPr>
          <w:rFonts w:ascii="Arial" w:cs="Arial" w:eastAsia="Arial" w:hAnsi="Arial"/>
          <w:sz w:val="18"/>
          <w:szCs w:val="18"/>
          <w:color w:val="auto"/>
        </w:rPr>
        <w:t>90% of our net income after tax, if any, from foreclosure property minus</w:t>
      </w:r>
    </w:p>
    <w:p>
      <w:pPr>
        <w:spacing w:after="0" w:line="184" w:lineRule="exact"/>
        <w:rPr>
          <w:rFonts w:ascii="Arial" w:cs="Arial" w:eastAsia="Arial" w:hAnsi="Arial"/>
          <w:sz w:val="18"/>
          <w:szCs w:val="18"/>
          <w:color w:val="auto"/>
        </w:rPr>
      </w:pPr>
    </w:p>
    <w:p>
      <w:pPr>
        <w:ind w:left="1120" w:hanging="248"/>
        <w:spacing w:after="0"/>
        <w:tabs>
          <w:tab w:leader="none" w:pos="11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sum of specified items of non-cash income.</w:t>
      </w:r>
    </w:p>
    <w:p>
      <w:pPr>
        <w:spacing w:after="0" w:line="185"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We generally must make these distributions in the taxable year to which they relate, or in the following taxable year if declared before we timely file our tax return for the year and if paid with or before the first regular dividend payment after such declaration.</w:t>
      </w:r>
    </w:p>
    <w:p>
      <w:pPr>
        <w:spacing w:after="0" w:line="130"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To the extent that we distribute at least 90%, but less than 100%, of our "REIT taxable income," within the period described above, we will be subject to tax at the applicable corporate tax rates on the retained portion. We may elect to retain, rather than distribute, our net long-term capital gains and pay tax on such gains if required. In this case, we could elect for our stockholders to include their proportionate shares of such undistributed long-term capital gains in income, and to receive a corresponding credit for their share of the tax that we paid. Our stockholders would then increase their adjusted basis of their stock by the difference between (a) the amounts of capital gain dividends that we designated and that they include in their taxable income, minus (b) the tax that we paid on their behalf with respect to that income.</w:t>
      </w:r>
    </w:p>
    <w:p>
      <w:pPr>
        <w:spacing w:after="0" w:line="153"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To the extent that we may have available net operating losses carried forward from prior tax years, such losses may reduce the amount of distributions that we must make in order to comply with the REIT distribution requirements. Such losses, however, will generally not affect the character, in the hands of our stockholders, of any distributions that are actually made as ordinary or capital gain dividends.</w:t>
      </w:r>
    </w:p>
    <w:p>
      <w:pPr>
        <w:spacing w:after="0" w:line="141" w:lineRule="exact"/>
        <w:rPr>
          <w:sz w:val="20"/>
          <w:szCs w:val="20"/>
          <w:color w:val="auto"/>
        </w:rPr>
      </w:pPr>
    </w:p>
    <w:p>
      <w:pPr>
        <w:jc w:val="both"/>
        <w:ind w:firstLine="405"/>
        <w:spacing w:after="0" w:line="279" w:lineRule="auto"/>
        <w:rPr>
          <w:sz w:val="20"/>
          <w:szCs w:val="20"/>
          <w:color w:val="auto"/>
        </w:rPr>
      </w:pPr>
      <w:r>
        <w:rPr>
          <w:rFonts w:ascii="Arial" w:cs="Arial" w:eastAsia="Arial" w:hAnsi="Arial"/>
          <w:sz w:val="17"/>
          <w:szCs w:val="17"/>
          <w:color w:val="auto"/>
        </w:rPr>
        <w:t>If we should fail to distribute during each calendar year at least the sum of (a) 85% of our REIT ordinary income for such year, (b) 95% of our REIT capital gain net income for such year, and (c) any undistributed taxable income from prior periods, we would be subject to a non-deductible 4% excise tax on the excess of such required distribution over the sum of (x) the amounts actually distributed, (y) the amounts of income we retained and on which we have paid corporate income tax and (z) any excess distributions over required distributions from prior periods.</w:t>
      </w:r>
    </w:p>
    <w:p>
      <w:pPr>
        <w:spacing w:after="0" w:line="117"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It is also possible that, from time to time, we may not have sufficient cash to meet the distribution requirements due to timing differences between our actual receipt of cash and our inclusion of items in income for federal income tax purposes. For example, mortgage-backed securities that are issued at a discount generally require the accrual of taxable economic interest in advance of receipt in cash.</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Derivatives and Hedging Transactions</w:t>
      </w:r>
    </w:p>
    <w:p>
      <w:pPr>
        <w:spacing w:after="0" w:line="185" w:lineRule="exact"/>
        <w:rPr>
          <w:sz w:val="20"/>
          <w:szCs w:val="20"/>
          <w:color w:val="auto"/>
        </w:rPr>
      </w:pPr>
    </w:p>
    <w:p>
      <w:pPr>
        <w:jc w:val="both"/>
        <w:ind w:firstLine="405"/>
        <w:spacing w:after="0" w:line="276" w:lineRule="auto"/>
        <w:rPr>
          <w:sz w:val="20"/>
          <w:szCs w:val="20"/>
          <w:color w:val="auto"/>
        </w:rPr>
      </w:pPr>
      <w:r>
        <w:rPr>
          <w:rFonts w:ascii="Arial" w:cs="Arial" w:eastAsia="Arial" w:hAnsi="Arial"/>
          <w:sz w:val="17"/>
          <w:szCs w:val="17"/>
          <w:color w:val="auto"/>
        </w:rPr>
        <w:t>We maintain a risk management strategy, under which we may use a variety of derivative instruments to hedge some of our exposure to market risks, including interest rate, prepayment and extension risk. To the extent that we enter into a hedging transaction to manage interest rate risk on indebtedness incurred to acquire or carry real estate assets, or to offset the hedging effect achieved by the original hedging transaction, and the instrument is properly identified as a hedge along with the risk it hedges within prescribed time periods, any periodic income from the instrument, or gain from the disposition of such instrument, would be excluded altogether from the 75% and 95% gross income test.</w:t>
      </w:r>
    </w:p>
    <w:p>
      <w:pPr>
        <w:spacing w:after="0" w:line="132"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To the extent that we hedge in other situations, the resultant income may not qualify under the 75% or the 95% gross income tests. We intend to structure any hedging transactions in a manner that does not jeopardize our status as a REIT. We may conduct some of our hedging activities through our TRS, the income from which would be subject to federal and state income tax, rather than by participating in the arrangements directly.</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746" w:right="239" w:bottom="1440" w:gutter="0" w:footer="0" w:header="0"/>
        </w:sectPr>
      </w:pPr>
    </w:p>
    <w:bookmarkStart w:id="15" w:name="page16"/>
    <w:bookmarkEnd w:id="15"/>
    <w:p>
      <w:pPr>
        <w:spacing w:after="0"/>
        <w:rPr>
          <w:sz w:val="20"/>
          <w:szCs w:val="20"/>
          <w:color w:val="auto"/>
        </w:rPr>
      </w:pPr>
      <w:r>
        <w:rPr>
          <w:rFonts w:ascii="Arial" w:cs="Arial" w:eastAsia="Arial" w:hAnsi="Arial"/>
          <w:sz w:val="18"/>
          <w:szCs w:val="18"/>
          <w:i w:val="1"/>
          <w:iCs w:val="1"/>
          <w:color w:val="auto"/>
        </w:rPr>
        <w:t>Failure to Qualify</w:t>
      </w:r>
    </w:p>
    <w:p>
      <w:pPr>
        <w:spacing w:after="0" w:line="185" w:lineRule="exact"/>
        <w:rPr>
          <w:sz w:val="20"/>
          <w:szCs w:val="20"/>
          <w:color w:val="auto"/>
        </w:rPr>
      </w:pPr>
    </w:p>
    <w:p>
      <w:pPr>
        <w:jc w:val="both"/>
        <w:ind w:firstLine="432"/>
        <w:spacing w:after="0" w:line="254" w:lineRule="auto"/>
        <w:rPr>
          <w:sz w:val="20"/>
          <w:szCs w:val="20"/>
          <w:color w:val="auto"/>
        </w:rPr>
      </w:pPr>
      <w:r>
        <w:rPr>
          <w:rFonts w:ascii="Arial" w:cs="Arial" w:eastAsia="Arial" w:hAnsi="Arial"/>
          <w:sz w:val="18"/>
          <w:szCs w:val="18"/>
          <w:color w:val="auto"/>
        </w:rPr>
        <w:t>If we should fail to satisfy one or more requirements for REIT qualification, we may still qualify as a REIT if there is reasonable cause for the failure and not due to willful neglect and other applicable requirements are met, including completion of applicable IRS filings. It is not possible to state whether we would be entitled to the benefit of these relief provisions in all circumstances. If these relief provisions are inapplicable to a particular set of circumstances, we will not qualify as a REIT. Furthermore, if we satisfy the relief provisions and maintain our qualification as a REIT, we may be still subject to a penalty tax. The amount of the penalty tax will be at least $50,000 per failure, and, in the case of certain asset test failures, will be determined as the amount of net income generated by the assets in question multiplied by the highest corporate tax rate (currently 35%) if that amount exceeds $50,000 per failure, and, in case of income test failures, will be a 100% tax on an amount based on the magnitude of the failure, as adjusted to reflect the profit margin associated with our gross income.</w:t>
      </w:r>
    </w:p>
    <w:p>
      <w:pPr>
        <w:spacing w:after="0" w:line="152"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If we fail to qualify for taxation as a REIT in any taxable year, and the relief provisions described above do not apply, we would be subject to federal and state income tax, including any applicable alternative minimum tax, on our taxable income at regular corporate rates. We cannot deduct distributions to stockholders in any year in which we are not a REIT, nor would we be required to make distributions in such a year. In this situation, to the extent of current and accumulated earnings and profits, distributions to domestic common stockholders that are individuals, trusts and estates will generally be taxable as a qualified dividend eligible for the maximum federal tax rate of 20% provided that the shares have been held for more than 60 days during the 121 day period beginning 60 days before the ex-dividend date. For certain distributions to preferred stockholders, the relevant holding period is at least 91 days out of the 181 day period beginning 90 days before the ex–dividend date. In addition, subject to the limitations of the Internal Revenue Code, corporate distributees may be eligible for the dividends received deduction. Unless we are entitled to relief under specific statutory provisions, we would also be disqualified from re-electing to be taxed as a REIT for the four taxable years following the year during which we lost qualification. It is not possible to state whether, in all circumstances, we would be entitled to this statutory relief.</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Information</w:t>
      </w:r>
    </w:p>
    <w:p>
      <w:pPr>
        <w:spacing w:after="0" w:line="189" w:lineRule="exact"/>
        <w:rPr>
          <w:sz w:val="20"/>
          <w:szCs w:val="20"/>
          <w:color w:val="auto"/>
        </w:rPr>
      </w:pPr>
    </w:p>
    <w:p>
      <w:pPr>
        <w:ind w:left="440"/>
        <w:spacing w:after="0"/>
        <w:rPr>
          <w:sz w:val="20"/>
          <w:szCs w:val="20"/>
          <w:color w:val="auto"/>
        </w:rPr>
      </w:pPr>
      <w:r>
        <w:rPr>
          <w:rFonts w:ascii="Arial" w:cs="Arial" w:eastAsia="Arial" w:hAnsi="Arial"/>
          <w:sz w:val="17"/>
          <w:szCs w:val="17"/>
          <w:color w:val="auto"/>
        </w:rPr>
        <w:t>Our executive offices are located at Two Bethesda Metro Center, 14</w:t>
      </w:r>
      <w:r>
        <w:rPr>
          <w:rFonts w:ascii="Arial" w:cs="Arial" w:eastAsia="Arial" w:hAnsi="Arial"/>
          <w:sz w:val="17"/>
          <w:szCs w:val="17"/>
          <w:color w:val="auto"/>
          <w:vertAlign w:val="superscript"/>
        </w:rPr>
        <w:t>th</w:t>
      </w:r>
      <w:r>
        <w:rPr>
          <w:rFonts w:ascii="Arial" w:cs="Arial" w:eastAsia="Arial" w:hAnsi="Arial"/>
          <w:sz w:val="17"/>
          <w:szCs w:val="17"/>
          <w:color w:val="auto"/>
        </w:rPr>
        <w:t xml:space="preserve"> Floor, Bethesda, MD 20814 and our telephone number is (301) 968-9300.</w:t>
      </w:r>
    </w:p>
    <w:p>
      <w:pPr>
        <w:spacing w:after="0" w:line="196"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 xml:space="preserve">We make available all of our Annual Reports on Form 10-K, quarterly reports on Form 10-Q, current reports on Form 8-K and amendments to such reports as well as our Code of Ethics and Conduct free of charge on our internet website at </w:t>
      </w:r>
      <w:r>
        <w:rPr>
          <w:rFonts w:ascii="Arial" w:cs="Arial" w:eastAsia="Arial" w:hAnsi="Arial"/>
          <w:sz w:val="18"/>
          <w:szCs w:val="18"/>
          <w:u w:val="single" w:color="auto"/>
          <w:color w:val="auto"/>
        </w:rPr>
        <w:t>www.AGNC.com</w:t>
      </w:r>
      <w:r>
        <w:rPr>
          <w:rFonts w:ascii="Arial" w:cs="Arial" w:eastAsia="Arial" w:hAnsi="Arial"/>
          <w:sz w:val="18"/>
          <w:szCs w:val="18"/>
          <w:color w:val="auto"/>
        </w:rPr>
        <w:t xml:space="preserve"> as soon as reasonably practical after such material is electronically filed with or furnished to the Securities and Exchange Commission ("SEC"). These reports are also available on the SEC internet website at </w:t>
      </w:r>
      <w:r>
        <w:rPr>
          <w:rFonts w:ascii="Arial" w:cs="Arial" w:eastAsia="Arial" w:hAnsi="Arial"/>
          <w:sz w:val="18"/>
          <w:szCs w:val="18"/>
          <w:u w:val="single" w:color="auto"/>
          <w:color w:val="auto"/>
        </w:rPr>
        <w:t>www.sec.gov</w:t>
      </w:r>
      <w:r>
        <w:rPr>
          <w:rFonts w:ascii="Arial" w:cs="Arial" w:eastAsia="Arial" w:hAnsi="Arial"/>
          <w:sz w:val="18"/>
          <w:szCs w:val="18"/>
          <w:color w:val="auto"/>
        </w:rPr>
        <w:t>.</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189"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Our success depends, in large part, on our ability to acquire assets at favorable spreads over our borrowing costs. In acquiring mortgage assets, we compete with mortgage REITs, mortgage finance and specialty finance companies, savings and loan associations, banks, mortgage bankers, insurance companies, mutual funds, institutional investors, investment banking firms, other lenders, governmental bodies and other entities. These entities and others that may be organized in the future may have similar asset acquisition objectives and increase competition for the available supply of mortgage assets suitable for purchase. Additionally, our investment strategy is dependent on the amount of financing available to us in the repurchase agreement market, which may also be impacted by competing borrowers. Our investment strategy will be adversely impacted if we are not able to secure financing on favorable terms, if at all.</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189" w:lineRule="exact"/>
        <w:rPr>
          <w:sz w:val="20"/>
          <w:szCs w:val="20"/>
          <w:color w:val="auto"/>
        </w:rPr>
      </w:pPr>
    </w:p>
    <w:p>
      <w:pPr>
        <w:ind w:right="160" w:firstLine="405"/>
        <w:spacing w:after="0" w:line="277" w:lineRule="auto"/>
        <w:rPr>
          <w:sz w:val="20"/>
          <w:szCs w:val="20"/>
          <w:color w:val="auto"/>
        </w:rPr>
      </w:pPr>
      <w:r>
        <w:rPr>
          <w:rFonts w:ascii="Arial" w:cs="Arial" w:eastAsia="Arial" w:hAnsi="Arial"/>
          <w:sz w:val="18"/>
          <w:szCs w:val="18"/>
          <w:color w:val="auto"/>
        </w:rPr>
        <w:t>We are managed by our Manager pursuant to the management agreement between our Manager and us. Prior to the formation of BES, we did not have any employees. As of December 31, 2015, BES had three employees.</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746" w:right="239" w:bottom="1440" w:gutter="0" w:footer="0" w:header="0"/>
        </w:sectPr>
      </w:pPr>
    </w:p>
    <w:bookmarkStart w:id="16" w:name="page17"/>
    <w:bookmarkEnd w:id="16"/>
    <w:p>
      <w:pPr>
        <w:spacing w:after="0"/>
        <w:rPr>
          <w:sz w:val="20"/>
          <w:szCs w:val="20"/>
          <w:color w:val="auto"/>
        </w:rPr>
      </w:pPr>
      <w:r>
        <w:rPr>
          <w:rFonts w:ascii="Arial" w:cs="Arial" w:eastAsia="Arial" w:hAnsi="Arial"/>
          <w:sz w:val="18"/>
          <w:szCs w:val="18"/>
          <w:b w:val="1"/>
          <w:bCs w:val="1"/>
          <w:color w:val="auto"/>
        </w:rPr>
        <w:t xml:space="preserve">Item 1A. </w:t>
      </w:r>
      <w:r>
        <w:rPr>
          <w:rFonts w:ascii="Arial" w:cs="Arial" w:eastAsia="Arial" w:hAnsi="Arial"/>
          <w:sz w:val="18"/>
          <w:szCs w:val="18"/>
          <w:b w:val="1"/>
          <w:bCs w:val="1"/>
          <w:i w:val="1"/>
          <w:iCs w:val="1"/>
          <w:color w:val="auto"/>
        </w:rPr>
        <w:t>Risk Factors</w:t>
      </w:r>
    </w:p>
    <w:p>
      <w:pPr>
        <w:spacing w:after="0" w:line="243"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You should carefully consider the risks described below and all other information contained in this Annual Report on Form 10-K, including our annual consolidated financial statements and the related notes thereto before making a decision to purchase our securities. The risks and uncertainties described below are not the only ones facing us. Additional risks and uncertainties not presently known to us, or not presently deemed material by us, may also impair our operations and performance.</w:t>
      </w:r>
    </w:p>
    <w:p>
      <w:pPr>
        <w:spacing w:after="0" w:line="187"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If any of the following risks actually occur, our business, financial condition or results of operations could be materially adversely affected. If that happens, the trading price of our securities could decline, and you may lose all or part of your investment.</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Investing, Portfolio Management and Financing Activities</w:t>
      </w:r>
    </w:p>
    <w:p>
      <w:pPr>
        <w:spacing w:after="0" w:line="17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Our Board of Directors has approved broad investment guidelines for our Manager and will not approve each investment and financing decision made by our Manager.</w:t>
      </w:r>
    </w:p>
    <w:p>
      <w:pPr>
        <w:spacing w:after="0" w:line="116" w:lineRule="exact"/>
        <w:rPr>
          <w:sz w:val="20"/>
          <w:szCs w:val="20"/>
          <w:color w:val="auto"/>
        </w:rPr>
      </w:pPr>
    </w:p>
    <w:p>
      <w:pPr>
        <w:jc w:val="both"/>
        <w:ind w:firstLine="405"/>
        <w:spacing w:after="0" w:line="272" w:lineRule="auto"/>
        <w:rPr>
          <w:sz w:val="20"/>
          <w:szCs w:val="20"/>
          <w:color w:val="auto"/>
        </w:rPr>
      </w:pPr>
      <w:r>
        <w:rPr>
          <w:rFonts w:ascii="Arial" w:cs="Arial" w:eastAsia="Arial" w:hAnsi="Arial"/>
          <w:sz w:val="17"/>
          <w:szCs w:val="17"/>
          <w:color w:val="auto"/>
        </w:rPr>
        <w:t>Our Manager is authorized to follow broad investment guidelines that may be amended from time to time. Our Board of Directors periodically reviews our investment guidelines and our investment portfolio but does not, and will not be required to, review all of our proposed investments on an individual basis. In conducting periodic reviews, our Board of Directors relies primarily on information provided to it by our Manager. Furthermore, our Manager may use complex strategies and transactions that may be costly, difficult or impossible to unwind if our Board of Directors determines that they are not consistent with our investment guidelines. In addition, because our Manager has a certain amount of discretion in investment, financing and hedging decisions, our Manager's decisions could result in investment returns that are substantially below expectations or that result in losses, which would materially and adversely affect our business, financial condition and results of operations.</w:t>
      </w:r>
    </w:p>
    <w:p>
      <w:pPr>
        <w:spacing w:after="0" w:line="12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may experience significant short-term gains or losses and, consequently, greater earnings volatility as a result of our active portfolio management strategy.</w:t>
      </w:r>
    </w:p>
    <w:p>
      <w:pPr>
        <w:spacing w:after="0" w:line="116" w:lineRule="exact"/>
        <w:rPr>
          <w:sz w:val="20"/>
          <w:szCs w:val="20"/>
          <w:color w:val="auto"/>
        </w:rPr>
      </w:pPr>
    </w:p>
    <w:p>
      <w:pPr>
        <w:jc w:val="both"/>
        <w:ind w:firstLine="405"/>
        <w:spacing w:after="0" w:line="287" w:lineRule="auto"/>
        <w:rPr>
          <w:sz w:val="20"/>
          <w:szCs w:val="20"/>
          <w:color w:val="auto"/>
        </w:rPr>
      </w:pPr>
      <w:r>
        <w:rPr>
          <w:rFonts w:ascii="Arial" w:cs="Arial" w:eastAsia="Arial" w:hAnsi="Arial"/>
          <w:sz w:val="16"/>
          <w:szCs w:val="16"/>
          <w:color w:val="auto"/>
        </w:rPr>
        <w:t>Our Manager employs an active management strategy on our behalf to achieve our principal objective of preserving our net book value while generating attractive risk-adjusted returns. Our active management strategy involves buying and selling financial instruments in all sectors of the agency securities market, including fixed-rate and adjustable-rate agency securities, CMOs, mortgage-related derivatives, and other assets similar or reasonably or related to agency securities, such as AAA non-agency securities and marketable equity securities of other agency focused mortgage REITs, based on our Manager's continual assessment of the relative risk/return of those investments. Therefore, the composition of our investment portfolio will vary as our Manager believes changes to market conditions, risks and valuations warrant. Consequently, we may experience significant investment gains or losses when we sell investments that our Manager no longer believes provide attractive risk-adjusted returns or when our Manager believes more attractive alternatives are available. With an active management strategy, our Manager may be incorrect in its assessment of our investment portfolio and select an investment portfolio that could generate lower returns than a more static management strategy. Also, investors are less able to assess the changes in our valuation and performance by observing changes in the mortgage market since we may have changed our strategy and portfolio from the last publicly available data. We may also experience fluctuations in leverage as we pursue our active management strategy.</w:t>
      </w:r>
    </w:p>
    <w:p>
      <w:pPr>
        <w:spacing w:after="0" w:line="17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Purchases and sales of agency mortgage-backed securities by the Federal Reserve may adversely affect the price and return associated with agency securities.</w:t>
      </w:r>
    </w:p>
    <w:p>
      <w:pPr>
        <w:spacing w:after="0" w:line="170" w:lineRule="exact"/>
        <w:rPr>
          <w:sz w:val="20"/>
          <w:szCs w:val="20"/>
          <w:color w:val="auto"/>
        </w:rPr>
      </w:pPr>
    </w:p>
    <w:p>
      <w:pPr>
        <w:jc w:val="both"/>
        <w:ind w:firstLine="405"/>
        <w:spacing w:after="0" w:line="273" w:lineRule="auto"/>
        <w:rPr>
          <w:sz w:val="20"/>
          <w:szCs w:val="20"/>
          <w:color w:val="auto"/>
        </w:rPr>
      </w:pPr>
      <w:r>
        <w:rPr>
          <w:rFonts w:ascii="Arial" w:cs="Arial" w:eastAsia="Arial" w:hAnsi="Arial"/>
          <w:sz w:val="17"/>
          <w:szCs w:val="17"/>
          <w:color w:val="auto"/>
        </w:rPr>
        <w:t>From time to time, the Federal Reserve may engage in large scale purchases of agency MBS and U.S. Treasury securities in the private market through a competitive process, with the goal of supporting mortgage markets and promoting its monetary policy objectives. We cannot predict the impact of the Fed's actions on the prices and liquidity of agency MBS. During periods in which the Federal Reserve purchases significant volumes of agency MBS, yields on agency MBS will likely be lower, refinancing volumes will likely be higher, and market volatility will likely be considerably higher than would have been absent its large scale purchases. Further, there is also a risk that when the Fed reduces its purchases of agency MBS, or sells some or all of its holdings of agency MBS, the pricing of our agency MBS portfolio and our net book value could be adversely affected.</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580" w:right="239" w:bottom="1440" w:gutter="0" w:footer="0" w:header="0"/>
        </w:sectPr>
      </w:pPr>
    </w:p>
    <w:bookmarkStart w:id="17" w:name="page18"/>
    <w:bookmarkEnd w:id="17"/>
    <w:p>
      <w:pPr>
        <w:spacing w:after="0"/>
        <w:rPr>
          <w:sz w:val="20"/>
          <w:szCs w:val="20"/>
          <w:color w:val="auto"/>
        </w:rPr>
      </w:pPr>
      <w:r>
        <w:rPr>
          <w:rFonts w:ascii="Arial" w:cs="Arial" w:eastAsia="Arial" w:hAnsi="Arial"/>
          <w:sz w:val="18"/>
          <w:szCs w:val="18"/>
          <w:b w:val="1"/>
          <w:bCs w:val="1"/>
          <w:i w:val="1"/>
          <w:iCs w:val="1"/>
          <w:color w:val="auto"/>
        </w:rPr>
        <w:t>Our strategy involves significant leverage, which increases the risk that we may incur substantial losses.</w:t>
      </w:r>
    </w:p>
    <w:p>
      <w:pPr>
        <w:spacing w:after="0" w:line="171"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We expect our leverage to vary with market conditions and our assessment of risk/return on investments. We incur this leverage by borrowing against a substantial portion of the market value of our assets. By incurring this leverage, we could enhance our returns. Nevertheless, this leverage, which is fundamental to our investment strategy, also creates significant risks. For example, because of our significant leverage, we may incur substantial losses if our borrowing costs increase or if the value of our investments declines.</w:t>
      </w:r>
    </w:p>
    <w:p>
      <w:pPr>
        <w:spacing w:after="0" w:line="13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b w:val="1"/>
          <w:bCs w:val="1"/>
          <w:i w:val="1"/>
          <w:iCs w:val="1"/>
          <w:color w:val="auto"/>
        </w:rPr>
        <w:t>Failure to procure adequate repurchase agreement and other financing or to renew or replace existing repurchase agreement and other financing as it matures (to which risk we are specifically exposed due to the short-term nature of our financing arrangements we employ) would adversely affect our financial condition and results of operations.</w:t>
      </w:r>
    </w:p>
    <w:p>
      <w:pPr>
        <w:spacing w:after="0" w:line="127"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We use debt financing as a strategy to increase our return on equity. However, we may not be able to achieve our desired leverage ratio for a number of reasons, including the following:</w:t>
      </w:r>
    </w:p>
    <w:p>
      <w:pPr>
        <w:spacing w:after="0" w:line="116" w:lineRule="exact"/>
        <w:rPr>
          <w:sz w:val="20"/>
          <w:szCs w:val="20"/>
          <w:color w:val="auto"/>
        </w:rPr>
      </w:pPr>
    </w:p>
    <w:p>
      <w:pPr>
        <w:ind w:left="980" w:hanging="324"/>
        <w:spacing w:after="0"/>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our lenders do not make repurchase or other financing agreements available to us at acceptable rates;</w:t>
      </w:r>
    </w:p>
    <w:p>
      <w:pPr>
        <w:spacing w:after="0" w:line="23" w:lineRule="exact"/>
        <w:rPr>
          <w:rFonts w:ascii="Arial" w:cs="Arial" w:eastAsia="Arial" w:hAnsi="Arial"/>
          <w:sz w:val="18"/>
          <w:szCs w:val="18"/>
          <w:color w:val="auto"/>
        </w:rPr>
      </w:pPr>
    </w:p>
    <w:p>
      <w:pPr>
        <w:ind w:left="980" w:hanging="324"/>
        <w:spacing w:after="0"/>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lenders with whom we enter into repurchase or other financing agreements subsequently exit the market;</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our lenders require that we pledge additional collateral to cover our borrowings, which we may be unable to do; or</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we determine that the leverage would expose us to excessive risk.</w:t>
      </w:r>
    </w:p>
    <w:p>
      <w:pPr>
        <w:spacing w:after="0" w:line="157"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Furthermore, because we rely primarily on short-term borrowings, our ability to achieve our investment objectives depends not only on our ability to borrow money in sufficient amounts and on favorable terms, but also on our ability to renew or replace on a continuous basis our maturing short-term borrowings. Additionally, on January 12, 2016, the FHFA released its final rule on changes to regulations concerning FHLB membership criteria. The final rule terminates OGI's FHLB membership and requires repayment of all advances at the earlier of their contractual maturity dates or one year after the effective date of the final rule (February 2017).</w:t>
      </w:r>
    </w:p>
    <w:p>
      <w:pPr>
        <w:spacing w:after="0" w:line="134" w:lineRule="exact"/>
        <w:rPr>
          <w:sz w:val="20"/>
          <w:szCs w:val="20"/>
          <w:color w:val="auto"/>
        </w:rPr>
      </w:pPr>
    </w:p>
    <w:p>
      <w:pPr>
        <w:jc w:val="both"/>
        <w:ind w:firstLine="405"/>
        <w:spacing w:after="0" w:line="272" w:lineRule="auto"/>
        <w:rPr>
          <w:sz w:val="20"/>
          <w:szCs w:val="20"/>
          <w:color w:val="auto"/>
        </w:rPr>
      </w:pPr>
      <w:r>
        <w:rPr>
          <w:rFonts w:ascii="Arial" w:cs="Arial" w:eastAsia="Arial" w:hAnsi="Arial"/>
          <w:sz w:val="17"/>
          <w:szCs w:val="17"/>
          <w:color w:val="auto"/>
        </w:rPr>
        <w:t>If we are not able to renew or replace maturing borrowings, we may have to sell some or all of our assets, possibly under adverse market conditions. In addition, if the regulatory capital requirements imposed on our repurchase agreement lenders change, they may be required to significantly increase the cost of the financing that they provide to us. Our lenders also may revise their eligibility requirements for the types of assets they are willing to finance or the terms of such financings, based on, among other factors, the regulatory environment and their management of perceived risk, particularly with respect to assignee liability. Consequently, we cannot assure you that any, or sufficient, financing will be available to us in the future on terms that are acceptable to us. In the event that we cannot obtain sufficient funding on acceptable terms, there may be a negative impact on the value of our common and preferred stock and our ability to make distributions on our common and preferred stock.</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 increase in our borrowing costs would adversely affect our financial condition and results of operations.</w:t>
      </w:r>
    </w:p>
    <w:p>
      <w:pPr>
        <w:spacing w:after="0" w:line="17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Our borrowing costs may increase for any of the following reasons:</w:t>
      </w:r>
    </w:p>
    <w:p>
      <w:pPr>
        <w:spacing w:after="0" w:line="198" w:lineRule="exact"/>
        <w:rPr>
          <w:sz w:val="20"/>
          <w:szCs w:val="20"/>
          <w:color w:val="auto"/>
        </w:rPr>
      </w:pPr>
    </w:p>
    <w:p>
      <w:pPr>
        <w:ind w:left="1360" w:hanging="380"/>
        <w:spacing w:after="0"/>
        <w:tabs>
          <w:tab w:leader="none" w:pos="13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short-term interest rates increase;</w:t>
      </w:r>
    </w:p>
    <w:p>
      <w:pPr>
        <w:spacing w:after="0" w:line="49" w:lineRule="exact"/>
        <w:rPr>
          <w:rFonts w:ascii="Arial" w:cs="Arial" w:eastAsia="Arial" w:hAnsi="Arial"/>
          <w:sz w:val="18"/>
          <w:szCs w:val="18"/>
          <w:color w:val="auto"/>
        </w:rPr>
      </w:pPr>
    </w:p>
    <w:p>
      <w:pPr>
        <w:ind w:left="1360" w:hanging="380"/>
        <w:spacing w:after="0"/>
        <w:tabs>
          <w:tab w:leader="none" w:pos="13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market value of our investments decreases;</w:t>
      </w:r>
    </w:p>
    <w:p>
      <w:pPr>
        <w:spacing w:after="0" w:line="49" w:lineRule="exact"/>
        <w:rPr>
          <w:rFonts w:ascii="Arial" w:cs="Arial" w:eastAsia="Arial" w:hAnsi="Arial"/>
          <w:sz w:val="18"/>
          <w:szCs w:val="18"/>
          <w:color w:val="auto"/>
        </w:rPr>
      </w:pPr>
    </w:p>
    <w:p>
      <w:pPr>
        <w:ind w:left="1360" w:hanging="380"/>
        <w:spacing w:after="0"/>
        <w:tabs>
          <w:tab w:leader="none" w:pos="13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"haircut" applied to our assets under our repurchase agreements increases;</w:t>
      </w:r>
    </w:p>
    <w:p>
      <w:pPr>
        <w:spacing w:after="0" w:line="49" w:lineRule="exact"/>
        <w:rPr>
          <w:rFonts w:ascii="Arial" w:cs="Arial" w:eastAsia="Arial" w:hAnsi="Arial"/>
          <w:sz w:val="18"/>
          <w:szCs w:val="18"/>
          <w:color w:val="auto"/>
        </w:rPr>
      </w:pPr>
    </w:p>
    <w:p>
      <w:pPr>
        <w:ind w:left="1360" w:hanging="380"/>
        <w:spacing w:after="0"/>
        <w:tabs>
          <w:tab w:leader="none" w:pos="13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interest rate volatility increases; or</w:t>
      </w:r>
    </w:p>
    <w:p>
      <w:pPr>
        <w:spacing w:after="0" w:line="49" w:lineRule="exact"/>
        <w:rPr>
          <w:rFonts w:ascii="Arial" w:cs="Arial" w:eastAsia="Arial" w:hAnsi="Arial"/>
          <w:sz w:val="18"/>
          <w:szCs w:val="18"/>
          <w:color w:val="auto"/>
        </w:rPr>
      </w:pPr>
    </w:p>
    <w:p>
      <w:pPr>
        <w:ind w:left="1360" w:hanging="380"/>
        <w:spacing w:after="0"/>
        <w:tabs>
          <w:tab w:leader="none" w:pos="13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availability of financing in the market decreases.</w:t>
      </w:r>
    </w:p>
    <w:p>
      <w:pPr>
        <w:spacing w:after="0" w:line="185" w:lineRule="exact"/>
        <w:rPr>
          <w:sz w:val="20"/>
          <w:szCs w:val="20"/>
          <w:color w:val="auto"/>
        </w:rPr>
      </w:pPr>
    </w:p>
    <w:p>
      <w:pPr>
        <w:jc w:val="both"/>
        <w:ind w:firstLine="405"/>
        <w:spacing w:after="0" w:line="297" w:lineRule="auto"/>
        <w:rPr>
          <w:sz w:val="20"/>
          <w:szCs w:val="20"/>
          <w:color w:val="auto"/>
        </w:rPr>
      </w:pPr>
      <w:r>
        <w:rPr>
          <w:rFonts w:ascii="Arial" w:cs="Arial" w:eastAsia="Arial" w:hAnsi="Arial"/>
          <w:sz w:val="16"/>
          <w:szCs w:val="16"/>
          <w:color w:val="auto"/>
        </w:rPr>
        <w:t>An increase in our borrowing costs will reduce the difference, or spread, that we may earn between the yield on the investments we make and the cost of the leverage we employ to finance such investments. Moreover, due to the short-term or adjustable rate nature of the majority of our repurchase agreements used to finance our investments, our borrowing costs are particularly sensitive to increases in short-term interest rates. It is possible that due to higher borrowing costs, the spread on investments could be reduced to a point at which the profitability from investments would be significantly reduced. This would adversely affect the returns on our assets, financial condition and results of operations and could require us to liquidate certain or all of our assets.</w:t>
      </w:r>
    </w:p>
    <w:p>
      <w:pPr>
        <w:spacing w:after="0" w:line="104"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Differences in the stated maturity of our fixed rate assets, or in timing of interest rate adjustments on our adjustable-rate assets, and our borrowings may adversely affect our profitability.</w:t>
      </w:r>
    </w:p>
    <w:p>
      <w:pPr>
        <w:spacing w:after="0" w:line="116" w:lineRule="exact"/>
        <w:rPr>
          <w:sz w:val="20"/>
          <w:szCs w:val="20"/>
          <w:color w:val="auto"/>
        </w:rPr>
      </w:pPr>
    </w:p>
    <w:p>
      <w:pPr>
        <w:jc w:val="both"/>
        <w:ind w:firstLine="405"/>
        <w:spacing w:after="0" w:line="286" w:lineRule="auto"/>
        <w:rPr>
          <w:sz w:val="20"/>
          <w:szCs w:val="20"/>
          <w:color w:val="auto"/>
        </w:rPr>
      </w:pPr>
      <w:r>
        <w:rPr>
          <w:rFonts w:ascii="Arial" w:cs="Arial" w:eastAsia="Arial" w:hAnsi="Arial"/>
          <w:sz w:val="17"/>
          <w:szCs w:val="17"/>
          <w:color w:val="auto"/>
        </w:rPr>
        <w:t>We rely primarily on short-term and/or variable rate borrowings to acquire fixed-rate securities with long-term maturities. In addition, we may have adjustable rate assets with interest rates that vary over time based upon changes in an objective index, such as LIBOR or the U.S. Treasury rate. These indices generally reflect short-term interest rates but these assets may not reset in a manner that matches our borrowings.</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746" w:right="239" w:bottom="1440" w:gutter="0" w:footer="0" w:header="0"/>
        </w:sectPr>
      </w:pPr>
    </w:p>
    <w:bookmarkStart w:id="18" w:name="page19"/>
    <w:bookmarkEnd w:id="18"/>
    <w:p>
      <w:pPr>
        <w:jc w:val="both"/>
        <w:ind w:firstLine="405"/>
        <w:spacing w:after="0" w:line="271" w:lineRule="auto"/>
        <w:rPr>
          <w:sz w:val="20"/>
          <w:szCs w:val="20"/>
          <w:color w:val="auto"/>
        </w:rPr>
      </w:pPr>
      <w:r>
        <w:rPr>
          <w:rFonts w:ascii="Arial" w:cs="Arial" w:eastAsia="Arial" w:hAnsi="Arial"/>
          <w:sz w:val="17"/>
          <w:szCs w:val="17"/>
          <w:color w:val="auto"/>
        </w:rPr>
        <w:t>The relationship between short-term and longer-term interest rates is often referred to as the "yield curve." Ordinarily, short-term interest rates are lower than longer-term interest rates. If short-term interest rates rise disproportionately relative to longer-term interest rates (a "flattening" of the yield curve), our borrowing costs may increase more rapidly than the interest income earned on our assets. Because our investments generally bear interest at longer-term rates than we pay on our borrowings, a flattening of the yield curve would tend to decrease our net interest income and the market value of our investment portfolio. Additionally, to the extent cash flows from investments that return scheduled and unscheduled principal are reinvested, the spread between the yields on the new investments and available borrowing rates may decline, which would likely decrease our net income. It is also possible that short-term interest rates may exceed longer-term interest rates (a yield curve "inversion"), in which event, our borrowing costs may exceed our interest income and we could incur operating losses and our ability to make distributions to our stockholders could be hindered.</w:t>
      </w:r>
    </w:p>
    <w:p>
      <w:pPr>
        <w:spacing w:after="0" w:line="1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caps on mortgages backing our adjustable rate securities may adversely affect our profitability.</w:t>
      </w:r>
    </w:p>
    <w:p>
      <w:pPr>
        <w:spacing w:after="0" w:line="171" w:lineRule="exact"/>
        <w:rPr>
          <w:sz w:val="20"/>
          <w:szCs w:val="20"/>
          <w:color w:val="auto"/>
        </w:rPr>
      </w:pPr>
    </w:p>
    <w:p>
      <w:pPr>
        <w:jc w:val="both"/>
        <w:ind w:firstLine="405"/>
        <w:spacing w:after="0" w:line="290" w:lineRule="auto"/>
        <w:rPr>
          <w:sz w:val="20"/>
          <w:szCs w:val="20"/>
          <w:color w:val="auto"/>
        </w:rPr>
      </w:pPr>
      <w:r>
        <w:rPr>
          <w:rFonts w:ascii="Arial" w:cs="Arial" w:eastAsia="Arial" w:hAnsi="Arial"/>
          <w:sz w:val="16"/>
          <w:szCs w:val="16"/>
          <w:color w:val="auto"/>
        </w:rPr>
        <w:t>Adjustable-rate mortgages that we may purchase or that may back securities that we purchase will typically be subject to periodic and lifetime interest rate caps. Periodic interest rate caps limit the amount an interest rate can increase during any given period. Lifetime interest rate caps limit the amount an interest rate can increase through the maturity of a mortgage loan we may purchase or that may back securities that we may purchase. Our borrowings typically will not be subject to similar restrictions. Accordingly, in a period of rapidly increasing interest rates, the interest rates paid on our borrowings could increase without limitation while caps on mortgages could limit the interest rates on our investments in ARMs. This problem is magnified for hybrid ARMs and ARMs that are not fully indexed. Further, some hybrid ARMs and ARMs may be subject to periodic payment caps on the mortgages that result in a portion of the interest being deferred and added to the principal outstanding. As a result, we may receive less cash income on hybrid ARMs and ARMs than we need to pay interest on our related borrowings. These factors could reduce our net interest income and cause us to suffer a loss.</w:t>
      </w:r>
    </w:p>
    <w:p>
      <w:pPr>
        <w:spacing w:after="0" w:line="11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Declines in value of the assets in which we invest will adversely affect our financial condition and results of operations, and make it more costly to finance these assets.</w:t>
      </w:r>
    </w:p>
    <w:p>
      <w:pPr>
        <w:spacing w:after="0" w:line="116" w:lineRule="exact"/>
        <w:rPr>
          <w:sz w:val="20"/>
          <w:szCs w:val="20"/>
          <w:color w:val="auto"/>
        </w:rPr>
      </w:pPr>
    </w:p>
    <w:p>
      <w:pPr>
        <w:jc w:val="both"/>
        <w:ind w:firstLine="405"/>
        <w:spacing w:after="0" w:line="291" w:lineRule="auto"/>
        <w:rPr>
          <w:sz w:val="20"/>
          <w:szCs w:val="20"/>
          <w:color w:val="auto"/>
        </w:rPr>
      </w:pPr>
      <w:r>
        <w:rPr>
          <w:rFonts w:ascii="Arial" w:cs="Arial" w:eastAsia="Arial" w:hAnsi="Arial"/>
          <w:sz w:val="16"/>
          <w:szCs w:val="16"/>
          <w:color w:val="auto"/>
        </w:rPr>
        <w:t>We use our investments as collateral for our financings. A decline in their value, or perceived market uncertainty about their value, could make it difficult for us to obtain financing on favorable terms or at all, or maintain our compliance with terms of any financing arrangements already in place. Any fixed-rate securities we invest in generally will be more negatively affected by increases in interest rates than adjustable-rate securities. Our investments in mortgage-related securities are recorded at fair value with changes in fair value reported in net income or other comprehensive income (a component of equity). As a result, a decline in the fair value of our mortgage-related securities could reduce both our comprehensive income and stockholders' equity. If market conditions result in a decline in the fair value of our assets it will decrease the amounts we may borrow to purchase additional mortgage-related investments, which may restrict our ability to increase our net income, and our financial condition and results of operations could be adversely affected.</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hedging strategies may not be successful in mitigating the risks associated with changes in interest rates.</w:t>
      </w:r>
    </w:p>
    <w:p>
      <w:pPr>
        <w:spacing w:after="0" w:line="171" w:lineRule="exact"/>
        <w:rPr>
          <w:sz w:val="20"/>
          <w:szCs w:val="20"/>
          <w:color w:val="auto"/>
        </w:rPr>
      </w:pPr>
    </w:p>
    <w:p>
      <w:pPr>
        <w:jc w:val="both"/>
        <w:ind w:firstLine="405"/>
        <w:spacing w:after="0" w:line="270" w:lineRule="auto"/>
        <w:rPr>
          <w:sz w:val="20"/>
          <w:szCs w:val="20"/>
          <w:color w:val="auto"/>
        </w:rPr>
      </w:pPr>
      <w:r>
        <w:rPr>
          <w:rFonts w:ascii="Arial" w:cs="Arial" w:eastAsia="Arial" w:hAnsi="Arial"/>
          <w:sz w:val="17"/>
          <w:szCs w:val="17"/>
          <w:color w:val="auto"/>
        </w:rPr>
        <w:t>Subject to complying with REIT tax requirements, we employ techniques that limit, or "hedge," the adverse effects of changes in interest rates on our repurchase agreements and our net book value. In general, our hedging strategy depends on our Manager's view of our entire investment portfolio, consisting of assets, liabilities and derivative instruments, in light of prevailing market conditions. Our hedging activities are generally designed to limit certain exposures and not to eliminate them. In addition, they may be unsuccessful and we could misjudge the condition of our investment portfolio or the market. Our hedging activity will vary in scope based on the level and volatility of interest rates and principal repayments, credit market conditions, the type of assets held and other changing market conditions. Our actual hedging decisions will be determined in light of the facts and circumstances existing at the time and may differ from our currently anticipated hedging strategy. These techniques may include entering into interest rate swap agreements, interest rate swaptions, TBAs, short sales, caps, collars, floors, forward contracts, options, futures or other types of hedging transactions. We may conduct certain hedging transactions through a TRS, which may subject those transactions to federal, state and, if applicable, local income tax.</w:t>
      </w:r>
    </w:p>
    <w:p>
      <w:pPr>
        <w:spacing w:after="0" w:line="128" w:lineRule="exact"/>
        <w:rPr>
          <w:sz w:val="20"/>
          <w:szCs w:val="20"/>
          <w:color w:val="auto"/>
        </w:rPr>
      </w:pPr>
    </w:p>
    <w:p>
      <w:pPr>
        <w:jc w:val="both"/>
        <w:ind w:firstLine="405"/>
        <w:spacing w:after="0" w:line="291" w:lineRule="auto"/>
        <w:rPr>
          <w:sz w:val="20"/>
          <w:szCs w:val="20"/>
          <w:color w:val="auto"/>
        </w:rPr>
      </w:pPr>
      <w:r>
        <w:rPr>
          <w:rFonts w:ascii="Arial" w:cs="Arial" w:eastAsia="Arial" w:hAnsi="Arial"/>
          <w:sz w:val="16"/>
          <w:szCs w:val="16"/>
          <w:color w:val="auto"/>
        </w:rPr>
        <w:t>There are no perfect hedging strategies, and interest rate hedging may fail to protect us from loss. Additionally, our business model calls for accepting certain amounts of interest rate, mortgage spread, prepayment, extension and liquidity risks and other exposures and thus some risks will generally not be hedged. Alternatively, our Manager may fail to properly assess a risk to our investment portfolio or may fail to recognize a risk entirely, leaving us exposed to losses without the benefit of any offsetting hedging activities. The derivative financial instruments we select may not have the effect of reducing our risk. The nature and timing of hedging transactions may influence the effectiveness of these strategies. Poorly designed hedging strategies or improperly executed transactions could actually increase our risk and losses. In addition, hedging activities could result in losses if the event against which we hedge does not occur. For example, interest rate hedging could fail to protect us or adversely affect us because, among other things:</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746" w:right="239" w:bottom="1440" w:gutter="0" w:footer="0" w:header="0"/>
        </w:sectPr>
      </w:pPr>
    </w:p>
    <w:bookmarkStart w:id="19" w:name="page20"/>
    <w:bookmarkEnd w:id="19"/>
    <w:p>
      <w:pPr>
        <w:ind w:left="980" w:hanging="324"/>
        <w:spacing w:after="0"/>
        <w:tabs>
          <w:tab w:leader="none" w:pos="9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interest rate hedging can be expensive, particularly during periods of rising and volatile interest rates;</w:t>
      </w:r>
    </w:p>
    <w:p>
      <w:pPr>
        <w:spacing w:after="0" w:line="23" w:lineRule="exact"/>
        <w:rPr>
          <w:rFonts w:ascii="Arial" w:cs="Arial" w:eastAsia="Arial" w:hAnsi="Arial"/>
          <w:sz w:val="18"/>
          <w:szCs w:val="18"/>
          <w:color w:val="auto"/>
        </w:rPr>
      </w:pPr>
    </w:p>
    <w:p>
      <w:pPr>
        <w:ind w:left="980" w:hanging="324"/>
        <w:spacing w:after="0"/>
        <w:tabs>
          <w:tab w:leader="none" w:pos="9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available interest rate hedges may not correspond directly with the interest rate risk for which protection is sought;</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duration of the hedge may not match the duration of the related liability;</w:t>
      </w:r>
    </w:p>
    <w:p>
      <w:pPr>
        <w:spacing w:after="0" w:line="9" w:lineRule="exact"/>
        <w:rPr>
          <w:rFonts w:ascii="Arial" w:cs="Arial" w:eastAsia="Arial" w:hAnsi="Arial"/>
          <w:sz w:val="18"/>
          <w:szCs w:val="18"/>
          <w:color w:val="auto"/>
        </w:rPr>
      </w:pPr>
    </w:p>
    <w:p>
      <w:pPr>
        <w:ind w:left="980" w:hanging="324"/>
        <w:spacing w:after="0" w:line="250" w:lineRule="auto"/>
        <w:tabs>
          <w:tab w:leader="none" w:pos="9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amount of income that a REIT may earn from hedging transactions, other than hedging transactions that satisfy certain requirements of the Internal Revenue Code or that are done through a TRS, is limited by federal tax provisions governing REITs;</w:t>
      </w:r>
    </w:p>
    <w:p>
      <w:pPr>
        <w:ind w:left="980" w:hanging="324"/>
        <w:spacing w:after="0"/>
        <w:tabs>
          <w:tab w:leader="none" w:pos="9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party owing money in the hedging transaction may default on its obligation to pay;</w:t>
      </w:r>
    </w:p>
    <w:p>
      <w:pPr>
        <w:spacing w:after="0" w:line="9" w:lineRule="exact"/>
        <w:rPr>
          <w:rFonts w:ascii="Arial" w:cs="Arial" w:eastAsia="Arial" w:hAnsi="Arial"/>
          <w:sz w:val="18"/>
          <w:szCs w:val="18"/>
          <w:color w:val="auto"/>
        </w:rPr>
      </w:pPr>
    </w:p>
    <w:p>
      <w:pPr>
        <w:ind w:left="980" w:hanging="324"/>
        <w:spacing w:after="0" w:line="250" w:lineRule="auto"/>
        <w:tabs>
          <w:tab w:leader="none" w:pos="9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credit quality of the party owing money on the hedge may be downgraded to such an extent that it impairs our ability to sell or assign our side of the hedging transaction; and</w:t>
      </w:r>
    </w:p>
    <w:p>
      <w:pPr>
        <w:ind w:left="980" w:hanging="324"/>
        <w:spacing w:after="0"/>
        <w:tabs>
          <w:tab w:leader="none" w:pos="980" w:val="left"/>
        </w:tabs>
        <w:numPr>
          <w:ilvl w:val="0"/>
          <w:numId w:val="15"/>
        </w:numPr>
        <w:rPr>
          <w:rFonts w:ascii="Arial" w:cs="Arial" w:eastAsia="Arial" w:hAnsi="Arial"/>
          <w:sz w:val="16"/>
          <w:szCs w:val="16"/>
          <w:color w:val="auto"/>
        </w:rPr>
      </w:pPr>
      <w:r>
        <w:rPr>
          <w:rFonts w:ascii="Arial" w:cs="Arial" w:eastAsia="Arial" w:hAnsi="Arial"/>
          <w:sz w:val="16"/>
          <w:szCs w:val="16"/>
          <w:color w:val="auto"/>
        </w:rPr>
        <w:t>the value of our interest rate hedges declines due interest rate fluctuations, lapse of time or other factors, reducing our stockholders' equity.</w:t>
      </w:r>
    </w:p>
    <w:p>
      <w:pPr>
        <w:spacing w:after="0" w:line="180" w:lineRule="exact"/>
        <w:rPr>
          <w:sz w:val="20"/>
          <w:szCs w:val="20"/>
          <w:color w:val="auto"/>
        </w:rPr>
      </w:pPr>
    </w:p>
    <w:p>
      <w:pPr>
        <w:jc w:val="both"/>
        <w:ind w:firstLine="405"/>
        <w:spacing w:after="0" w:line="302" w:lineRule="auto"/>
        <w:rPr>
          <w:sz w:val="20"/>
          <w:szCs w:val="20"/>
          <w:color w:val="auto"/>
        </w:rPr>
      </w:pPr>
      <w:r>
        <w:rPr>
          <w:rFonts w:ascii="Arial" w:cs="Arial" w:eastAsia="Arial" w:hAnsi="Arial"/>
          <w:sz w:val="16"/>
          <w:szCs w:val="16"/>
          <w:color w:val="auto"/>
        </w:rPr>
        <w:t>Furthermore, our hedging strategies may adversely affect us because hedging activities involve costs that we incur regardless of the effectiveness of the hedging activity. Those costs may be higher in periods of market volatility, both because the counterparties to our derivative agreements may demand a higher payment for taking risks, and because repeated adjustments of our hedges during periods of interest rate changes also may increase costs. Consequently, we could incur significant hedging-related costs without any corresponding economic benefits, especially if our hedging strategies are not effective.</w:t>
      </w:r>
    </w:p>
    <w:p>
      <w:pPr>
        <w:spacing w:after="0" w:line="10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hedging strategies are generally not designed to mitigate spread risk.</w:t>
      </w:r>
    </w:p>
    <w:p>
      <w:pPr>
        <w:spacing w:after="0" w:line="171" w:lineRule="exact"/>
        <w:rPr>
          <w:sz w:val="20"/>
          <w:szCs w:val="20"/>
          <w:color w:val="auto"/>
        </w:rPr>
      </w:pPr>
    </w:p>
    <w:p>
      <w:pPr>
        <w:jc w:val="both"/>
        <w:ind w:firstLine="405"/>
        <w:spacing w:after="0" w:line="291" w:lineRule="auto"/>
        <w:rPr>
          <w:sz w:val="20"/>
          <w:szCs w:val="20"/>
          <w:color w:val="auto"/>
        </w:rPr>
      </w:pPr>
      <w:r>
        <w:rPr>
          <w:rFonts w:ascii="Arial" w:cs="Arial" w:eastAsia="Arial" w:hAnsi="Arial"/>
          <w:sz w:val="16"/>
          <w:szCs w:val="16"/>
          <w:color w:val="auto"/>
        </w:rPr>
        <w:t>When the market spread widens between the yield on our mortgage assets and benchmark interest rates, our net book value could decline if the value of our mortgage assets falls by more than the offsetting fair value increases on our hedging instruments tied to the underlying benchmark interest rates. We refer to this as "spread risk" or "basis risk." The spread risk associated with our mortgage assets and the resulting fluctuations in fair value of these securities is an inherent risk to our business and can occur independent of changes in benchmark interest rates and may relate to other factors impacting the mortgage and fixed income markets, such as actual or anticipated monetary policy actions by the Federal Reserve, market liquidity, or changes in required rates of return on different assets. Consequently, while we use interest rate swaps and other supplemental hedges to attempt to protect against moves in interest rates, such instruments typically will not protect our net book value against spread risk, which could adversely affect our financial condition and results of operations.</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prepayment rates may adversely affect our profitability and are difficult to predict.</w:t>
      </w:r>
    </w:p>
    <w:p>
      <w:pPr>
        <w:spacing w:after="0" w:line="171"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Our investment portfolio includes securities backed by pools of mortgage loans. For securities backed by pools of mortgage loans, we receive payments, generally, from the payments that are made on these underlying mortgage loans. When borrowers prepay their mortgage loans at rates that are faster or slower than expected, it results in prepayments that are faster or slower than expected on our assets. These faster or slower than expected payments may adversely affect our profitability.</w:t>
      </w:r>
    </w:p>
    <w:p>
      <w:pPr>
        <w:spacing w:after="0" w:line="133" w:lineRule="exact"/>
        <w:rPr>
          <w:sz w:val="20"/>
          <w:szCs w:val="20"/>
          <w:color w:val="auto"/>
        </w:rPr>
      </w:pPr>
    </w:p>
    <w:p>
      <w:pPr>
        <w:jc w:val="both"/>
        <w:ind w:firstLine="405"/>
        <w:spacing w:after="0" w:line="279" w:lineRule="auto"/>
        <w:rPr>
          <w:sz w:val="20"/>
          <w:szCs w:val="20"/>
          <w:color w:val="auto"/>
        </w:rPr>
      </w:pPr>
      <w:r>
        <w:rPr>
          <w:rFonts w:ascii="Arial" w:cs="Arial" w:eastAsia="Arial" w:hAnsi="Arial"/>
          <w:sz w:val="17"/>
          <w:szCs w:val="17"/>
          <w:color w:val="auto"/>
        </w:rPr>
        <w:t>We may purchase securities that have a higher interest rate than the then prevailing market interest rate. In exchange for this higher interest rate, we may pay a premium to par value to acquire the security. In accordance with GAAP, we amortize this premium over the expected term of the security based on our prepayment assumptions. If a security is prepaid in whole or in part at a faster than expected rate, however, we must expense all or a part of the remaining unamortized portion of the premium that was paid at the time of the purchase, which would adversely affect our profitability.</w:t>
      </w:r>
    </w:p>
    <w:p>
      <w:pPr>
        <w:spacing w:after="0" w:line="117"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We also may purchase securities that have a lower interest rate than the then prevailing market interest rate. In exchange for this lower interest rate, we may receive a discount to par value to acquire the security. We accrete this discount over the expected term of the security based on our prepayment assumptions. If a security is prepaid at a slower than expected rate, however, we must accrete the remaining portion of the discount at a slower than expected rate, which would result in a lower than expected yield on securities purchased at a discount to par.</w:t>
      </w:r>
    </w:p>
    <w:p>
      <w:pPr>
        <w:spacing w:after="0" w:line="133" w:lineRule="exact"/>
        <w:rPr>
          <w:sz w:val="20"/>
          <w:szCs w:val="20"/>
          <w:color w:val="auto"/>
        </w:rPr>
      </w:pPr>
    </w:p>
    <w:p>
      <w:pPr>
        <w:jc w:val="both"/>
        <w:ind w:firstLine="405"/>
        <w:spacing w:after="0" w:line="273" w:lineRule="auto"/>
        <w:rPr>
          <w:sz w:val="20"/>
          <w:szCs w:val="20"/>
          <w:color w:val="auto"/>
        </w:rPr>
      </w:pPr>
      <w:r>
        <w:rPr>
          <w:rFonts w:ascii="Arial" w:cs="Arial" w:eastAsia="Arial" w:hAnsi="Arial"/>
          <w:sz w:val="17"/>
          <w:szCs w:val="17"/>
          <w:color w:val="auto"/>
        </w:rPr>
        <w:t>Moreover, if prepayment rates decrease due to a rising interest rate environment, the average life or duration of our fixed-rate assets or the fixed-rate portion of our hybrid ARMs and other assets will generally extend. This could have a negative impact on our results from operations, as our interest rate swap maturities are fixed and will, therefore, cover a smaller percentage of our funding exposure on our mortgage assets to the extent that their average lives increase due to slower prepayments. This situation may also cause the market value of our assets collateralized by fixed rate mortgages or hybrid ARMs to decline by more than otherwise would be the case while most of our hedging instruments would not receive any incremental offsetting gains. In extreme situations, we may be forced to sell assets to maintain adequate liquidity, which could cause us to incur realized losses.</w:t>
      </w:r>
    </w:p>
    <w:p>
      <w:pPr>
        <w:spacing w:after="0" w:line="124"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Although prepayment rates generally increase when interest rates fall and decrease when interest rates rise, changes in prepayment rates are difficult to predict. Prepayments can also occur when borrowers sell the property and use the sale proceeds to prepay the mortgage or when borrowers default on their mortgages and the mortgages are prepaid from the proceeds of a foreclosure sale of the property. Fannie Mae and Freddie Mac will generally, among other conditions, purchase mortgages that</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746" w:right="239" w:bottom="1440" w:gutter="0" w:footer="0" w:header="0"/>
        </w:sectPr>
      </w:pPr>
    </w:p>
    <w:bookmarkStart w:id="20" w:name="page21"/>
    <w:bookmarkEnd w:id="20"/>
    <w:p>
      <w:pPr>
        <w:jc w:val="both"/>
        <w:spacing w:after="0" w:line="255" w:lineRule="auto"/>
        <w:rPr>
          <w:sz w:val="20"/>
          <w:szCs w:val="20"/>
          <w:color w:val="auto"/>
        </w:rPr>
      </w:pPr>
      <w:r>
        <w:rPr>
          <w:rFonts w:ascii="Arial" w:cs="Arial" w:eastAsia="Arial" w:hAnsi="Arial"/>
          <w:sz w:val="18"/>
          <w:szCs w:val="18"/>
          <w:color w:val="auto"/>
        </w:rPr>
        <w:t>are 120 days or more delinquent from mortgage-backed securities trusts when the cost of guarantee payments to security holders, including advances of interest at the security coupon rate, exceeds the cost of holding the nonperforming loans in their portfolios. Consequently, prepayment rates also may be affected by conditions in the housing and financial markets, which may result in increased delinquencies on mortgage loans, the government-sponsored entities cost of capital, general economic conditions and the relative interest rates on fixed and adjustable rate loans, which could lead to an acceleration of the payment of the related principal. Additionally, changes in the government-sponsored entities' decisions as to when to repurchase delinquent loans can materially impact prepayment rates.</w:t>
      </w:r>
    </w:p>
    <w:p>
      <w:pPr>
        <w:spacing w:after="0" w:line="139" w:lineRule="exact"/>
        <w:rPr>
          <w:sz w:val="20"/>
          <w:szCs w:val="20"/>
          <w:color w:val="auto"/>
        </w:rPr>
      </w:pPr>
    </w:p>
    <w:p>
      <w:pPr>
        <w:jc w:val="both"/>
        <w:ind w:firstLine="405"/>
        <w:spacing w:after="0" w:line="279" w:lineRule="auto"/>
        <w:rPr>
          <w:sz w:val="20"/>
          <w:szCs w:val="20"/>
          <w:color w:val="auto"/>
        </w:rPr>
      </w:pPr>
      <w:r>
        <w:rPr>
          <w:rFonts w:ascii="Arial" w:cs="Arial" w:eastAsia="Arial" w:hAnsi="Arial"/>
          <w:sz w:val="17"/>
          <w:szCs w:val="17"/>
          <w:color w:val="auto"/>
        </w:rPr>
        <w:t>In addition, the introduction of new government programs could increase the availability of mortgage credit to a large number of homeowners in the United States, which could impact the prepayment rates for the entire mortgage securities market, and in particular for Fannie Mae and Freddie Mac agency securities. These new programs or changes to existing programs could cause substantial uncertainty around the magnitude of changes in prepayment speeds. To the extent that actual prepayment speeds differ from our expectations, it could adversely affect our operating results.</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Market conditions may disrupt the historical relationship between interest rate changes and prepayment trends, which may make it more difficult for our Manager to analyze our investment portfolio.</w:t>
      </w:r>
    </w:p>
    <w:p>
      <w:pPr>
        <w:spacing w:after="0" w:line="116" w:lineRule="exact"/>
        <w:rPr>
          <w:sz w:val="20"/>
          <w:szCs w:val="20"/>
          <w:color w:val="auto"/>
        </w:rPr>
      </w:pPr>
    </w:p>
    <w:p>
      <w:pPr>
        <w:jc w:val="both"/>
        <w:ind w:firstLine="405"/>
        <w:spacing w:after="0" w:line="253" w:lineRule="auto"/>
        <w:rPr>
          <w:sz w:val="20"/>
          <w:szCs w:val="20"/>
          <w:color w:val="auto"/>
        </w:rPr>
      </w:pPr>
      <w:r>
        <w:rPr>
          <w:rFonts w:ascii="Arial" w:cs="Arial" w:eastAsia="Arial" w:hAnsi="Arial"/>
          <w:sz w:val="18"/>
          <w:szCs w:val="18"/>
          <w:color w:val="auto"/>
        </w:rPr>
        <w:t>Our success depends, in part, on our Manager's ability to analyze the relationship of changing interest rates on prepayments of the mortgage loans that underlie securities we may own. Changes in interest rates and prepayments affect the market price of the assets that we purchase and any assets that we may hold at a given time. As part of our overall portfolio risk management, our Manager analyzes interest rate changes and prepayment trends separately and collectively to assess their effects on our investment portfolio. In conducting its analysis, our Manager depends on certain assumptions based upon historical trends with respect to the relationship between interest rates and prepayments under normal market conditions. Dislocations in the residential mortgage market and other developments may disrupt the relationship between the way that prepayment trends have historically responded to interest rate changes and, consequently, may negatively impact our Manager's ability to (i) assess the market value of our investment portfolio, (ii) implement our hedging strategies and (iii) implement techniques to reduce our prepayment rate volatility, which could materially adversely affect our financial condition and results of operations.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Investments in non-agency MBS are subject to delinquency, foreclosure and related losses on the underlying mortgage loans.</w:t>
      </w:r>
    </w:p>
    <w:p>
      <w:pPr>
        <w:spacing w:after="0" w:line="171" w:lineRule="exact"/>
        <w:rPr>
          <w:sz w:val="20"/>
          <w:szCs w:val="20"/>
          <w:color w:val="auto"/>
        </w:rPr>
      </w:pPr>
    </w:p>
    <w:p>
      <w:pPr>
        <w:jc w:val="both"/>
        <w:ind w:firstLine="405"/>
        <w:spacing w:after="0" w:line="273" w:lineRule="auto"/>
        <w:rPr>
          <w:sz w:val="20"/>
          <w:szCs w:val="20"/>
          <w:color w:val="auto"/>
        </w:rPr>
      </w:pPr>
      <w:r>
        <w:rPr>
          <w:rFonts w:ascii="Arial" w:cs="Arial" w:eastAsia="Arial" w:hAnsi="Arial"/>
          <w:sz w:val="17"/>
          <w:szCs w:val="17"/>
          <w:color w:val="auto"/>
        </w:rPr>
        <w:t>We may invest in non-agency mortgage securities for which the payment of principal and interest is not guaranteed by a GSE or government agency. Instead, a private institution such as a commercial bank will package residential or commercial mortgage loans and securitize them through the issuance of residential MBS ("RMBS") or commercial MBS ("CMBS") (collectively referred to as "non-agency MBS"). Accordingly, these securities may be subject to all of the risks of the respective underlying mortgage loans as described below. Non-agency MBS may benefit from credit enhancements derived from structural elements, such as subordination, overcollateralization or insurance, but they carry a higher level of credit exposure relative to the credit exposure of agency MBS, which could negatively impact our results from operations and financial condition.</w:t>
      </w:r>
    </w:p>
    <w:p>
      <w:pPr>
        <w:spacing w:after="0" w:line="192"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Residential mortgage loans are secured by residential property and are subject to risks of delinquency, foreclosure and loss. The ability of a borrower to repay a loan secured by residential property is dependent upon the income or assets of the borrower. A number of factors may impair a borrower's ability to repay its loan, including: loss of employment; divorce; illness; acts of God; acts of war or terrorism; adverse changes in national and local economic and market conditions; changes in governmental laws and regulations, fiscal policies and zoning ordinances and the related costs of complying with such laws and regulations, fiscal policies and ordinances; costs of remediation and liabilities associated with environmental conditions such as mold; and the potential for uninsured or under-insured property losses.</w:t>
      </w:r>
    </w:p>
    <w:p>
      <w:pPr>
        <w:spacing w:after="0" w:line="207" w:lineRule="exact"/>
        <w:rPr>
          <w:sz w:val="20"/>
          <w:szCs w:val="20"/>
          <w:color w:val="auto"/>
        </w:rPr>
      </w:pPr>
    </w:p>
    <w:p>
      <w:pPr>
        <w:jc w:val="both"/>
        <w:ind w:firstLine="432"/>
        <w:spacing w:after="0" w:line="288" w:lineRule="auto"/>
        <w:rPr>
          <w:sz w:val="20"/>
          <w:szCs w:val="20"/>
          <w:color w:val="auto"/>
        </w:rPr>
      </w:pPr>
      <w:r>
        <w:rPr>
          <w:rFonts w:ascii="Arial" w:cs="Arial" w:eastAsia="Arial" w:hAnsi="Arial"/>
          <w:sz w:val="16"/>
          <w:szCs w:val="16"/>
          <w:color w:val="auto"/>
        </w:rPr>
        <w:t>Commercial mortgage loans are generally secured by multifamily or commercial property and are subject to risks of delinquency and foreclosure, and risks of loss that are greater than similar risks associated with loans made on the security of residential property. The ability of a borrower to repay a loan secured by an income-producing property typically is dependent primarily upon the successful operation of such property rather than upon the existence of independent income or assets of the borrower. If the net operating income of the property is reduced, the borrower's ability to repay the loan may be impaired. Net operating income of an income producing property can be affected by, among other things: tenant mix; success of tenant businesses; property management decisions; property location and condition; competition from comparable types of properties; changes in laws that increase operating expense or limit rents that may be charged; any need to address environmental contamination at the property; the occurrence of any uninsured casualty at the property; changes in national, regional or local economic conditions or specific industry segments; declines in regional or local real estate values; declines in regional or local rental or occupancy rates; increases in interest rates; real estate tax rates and other operating expenses; changes in governmental rules, regulations and fiscal policies, including environmental legislation; acts of God, acts of war or terrorism, social unrest and civil disturbances.</w:t>
      </w:r>
    </w:p>
    <w:p>
      <w:pPr>
        <w:spacing w:after="0" w:line="1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746" w:right="239" w:bottom="1440" w:gutter="0" w:footer="0" w:header="0"/>
        </w:sectPr>
      </w:pPr>
    </w:p>
    <w:bookmarkStart w:id="21" w:name="page22"/>
    <w:bookmarkEnd w:id="21"/>
    <w:p>
      <w:pPr>
        <w:jc w:val="both"/>
        <w:spacing w:after="0" w:line="277" w:lineRule="auto"/>
        <w:rPr>
          <w:sz w:val="20"/>
          <w:szCs w:val="20"/>
          <w:color w:val="auto"/>
        </w:rPr>
      </w:pPr>
      <w:r>
        <w:rPr>
          <w:rFonts w:ascii="Arial" w:cs="Arial" w:eastAsia="Arial" w:hAnsi="Arial"/>
          <w:sz w:val="18"/>
          <w:szCs w:val="18"/>
          <w:b w:val="1"/>
          <w:bCs w:val="1"/>
          <w:i w:val="1"/>
          <w:iCs w:val="1"/>
          <w:color w:val="auto"/>
        </w:rPr>
        <w:t>Actions of the U.S. Government, including the U.S. Congress, U.S. Federal Reserve, U.S. Treasury and other governmental and regulatory bodies may adversely affect our business.</w:t>
      </w:r>
    </w:p>
    <w:p>
      <w:pPr>
        <w:spacing w:after="0" w:line="170"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U.S. Government actions may not have a beneficial impact on the financial markets. To the extent the markets do not respond favorably to any such actions or such actions do not function as intended they could have broad adverse market implications and could negatively impact our financial condition and results of operations. New regulatory requirements, when implemented, could adversely affect the availability or terms of financing from our lender counterparties, could impose more stringent capital rules on large financial institutions, could restrict the origination of residential mortgage loans and the formation of new issuances of mortgage-backed securities and could limit the trading activities of certain banking entities and other systemically significant organizations that are important to our business. Together or individually these new regulatory requirements could materially affect on our financial condition or the results of our operations in an adverse way.</w:t>
      </w:r>
    </w:p>
    <w:p>
      <w:pPr>
        <w:spacing w:after="0" w:line="13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Pursuant to the terms of borrowings under master repurchase agreements, we are subject to margin calls that could result in defaults or force us to sell assets under adverse market conditions or through foreclosure.</w:t>
      </w:r>
    </w:p>
    <w:p>
      <w:pPr>
        <w:spacing w:after="0" w:line="116" w:lineRule="exact"/>
        <w:rPr>
          <w:sz w:val="20"/>
          <w:szCs w:val="20"/>
          <w:color w:val="auto"/>
        </w:rPr>
      </w:pPr>
    </w:p>
    <w:p>
      <w:pPr>
        <w:jc w:val="both"/>
        <w:ind w:firstLine="405"/>
        <w:spacing w:after="0" w:line="269" w:lineRule="auto"/>
        <w:rPr>
          <w:sz w:val="20"/>
          <w:szCs w:val="20"/>
          <w:color w:val="auto"/>
        </w:rPr>
      </w:pPr>
      <w:r>
        <w:rPr>
          <w:rFonts w:ascii="Arial" w:cs="Arial" w:eastAsia="Arial" w:hAnsi="Arial"/>
          <w:sz w:val="17"/>
          <w:szCs w:val="17"/>
          <w:color w:val="auto"/>
        </w:rPr>
        <w:t>We enter into master repurchase agreements with a number of financial institutions. We borrow under these master repurchase agreements to finance the assets for our investment portfolio. Pursuant to the terms of borrowings under our master repurchase agreements, a decline in the value of the collateral may result in our lenders initiating margin calls. A margin call means that the lender requires us to pledge additional collateral to re-establish the ratio of the value of the collateral to the amount of the borrowing. The specific collateral value to borrowing ratio that would trigger a margin call is not set in the master repurchase agreements and is not determined until we engage in a repurchase transaction under these agreements. Our fixed-rate collateral generally may be more susceptible to margin calls as increases in interest rates tend to affect more negatively the market value of fixed-rate securities. In addition, some collateral may be more illiquid than other instruments in which we invest, which could cause them to be more susceptible to margin calls in a volatile market environment. Moreover, collateral that prepays more quickly increases the frequency and magnitude of potential margin calls as there is a significant time lag between when the prepayment is reported (which reduces the market value of the security) and when the principal payment is actually received. If we are unable to satisfy margin calls, our lenders may foreclose on our collateral. The threat of or occurrence of a margin call could force us to sell, either directly or through a foreclosure, our collateral under adverse market conditions. Because of the leverage we expect to have, we may incur substantial losses upon the threat or occurrence of a margin call.</w:t>
      </w:r>
    </w:p>
    <w:p>
      <w:pPr>
        <w:spacing w:after="0" w:line="12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derivative agreements expose us to margin calls that could result in defaults or force us to sell assets under adverse market conditions.</w:t>
      </w:r>
    </w:p>
    <w:p>
      <w:pPr>
        <w:spacing w:after="0" w:line="183"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Our derivative agreements typically require that we pledge collateral on such agreements to our counterparties in a similar manner as we are required to under our repurchase agreements. Our counterparties, or the clearing agency in the case of centrally cleared interest rate swaps, typically have the sole discretion to determine the value of the derivative instruments and the value of the collateral securing such instruments. In the event of a margin call, we must generally provide additional collateral on the same business day.</w:t>
      </w:r>
    </w:p>
    <w:p>
      <w:pPr>
        <w:spacing w:after="0" w:line="133"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Furthermore, our derivative agreements may also contain cross default provisions under which a default under certain of our other indebtedness in excess of a certain threshold amount causes an event of default under the agreement. Following an event of default, we could be required to settle our obligations under the agreements at their termination values.</w:t>
      </w:r>
    </w:p>
    <w:p>
      <w:pPr>
        <w:spacing w:after="0" w:line="127"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The threat of or occurrence of margin calls or the forced settlement of our obligations under our derivative agreements at their termination values could force us to sell, either directly or through a foreclosure, our investments under adverse market conditions. Because of the leverage we have, we may incur substantial losses upon the threat or occurrence of either of these events.</w:t>
      </w:r>
    </w:p>
    <w:p>
      <w:pPr>
        <w:spacing w:after="0" w:line="12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b w:val="1"/>
          <w:bCs w:val="1"/>
          <w:i w:val="1"/>
          <w:iCs w:val="1"/>
          <w:color w:val="auto"/>
        </w:rPr>
        <w:t>Increasingly restrictive rules and regulations adopted by the U.S. Commodity Futures Trading Commission and regulators of other countries impose increased margin requirements and require additional operational and compliance costs, which could negatively affect our financial condition and results of operations.</w:t>
      </w:r>
    </w:p>
    <w:p>
      <w:pPr>
        <w:spacing w:after="0" w:line="127"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Title VII of the Dodd-Frank Act and the rules and regulations adopted and to be adopted by the U.S. Commodity Futures Trading Commission (the "CFTC") introduce a comprehensive regulatory regime for swaps (as defined in the Commodity Exchange Act, as amended). The new laws and regulations subject certain swaps to clearing and exchange trading requirements, and subject us to new burdens, including but not limited to, margin requirements, reporting, record keeping and business conduct rules. The final rules under Title VII, including those rules that have already been adopted, for both cleared and non-cleared swap transactions impose increased margin requirements and require additional operational and compliance costs that will likely affect our business and results of operations.</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746" w:right="239" w:bottom="1440" w:gutter="0" w:footer="0" w:header="0"/>
        </w:sectPr>
      </w:pPr>
    </w:p>
    <w:bookmarkStart w:id="22" w:name="page23"/>
    <w:bookmarkEnd w:id="22"/>
    <w:p>
      <w:pPr>
        <w:jc w:val="both"/>
        <w:ind w:firstLine="432"/>
        <w:spacing w:after="0" w:line="297" w:lineRule="auto"/>
        <w:rPr>
          <w:sz w:val="20"/>
          <w:szCs w:val="20"/>
          <w:color w:val="auto"/>
        </w:rPr>
      </w:pPr>
      <w:r>
        <w:rPr>
          <w:rFonts w:ascii="Arial" w:cs="Arial" w:eastAsia="Arial" w:hAnsi="Arial"/>
          <w:sz w:val="16"/>
          <w:szCs w:val="16"/>
          <w:color w:val="auto"/>
        </w:rPr>
        <w:t>As the CFTC and regulators of other countries continue to promulgate new rules and regulations on derivatives, our derivative agreements and ability to engage in derivative transactions with certain counterparties may be adversely affected. Derivative agreements with non-U.S. counterparties are subject to increasingly restrictive local regulations similar to the Dodd-Frank Act. We are required to follow some of these local regulations or help the non-U.S. counterparties comply with these local regulations. It is possible that such regulatory requirements will result in increased costs for OTC derivative counterparties and also lead to an increase in the costs of collateral, which may have an adverse impact on our business and results of operations.</w:t>
      </w:r>
    </w:p>
    <w:p>
      <w:pPr>
        <w:spacing w:after="0" w:line="10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It may be uneconomical to "roll" our TBA dollar roll transactions or we may be unable to meet margin calls on our TBA contracts, which could negatively affect our financial condition and results of operations.</w:t>
      </w:r>
    </w:p>
    <w:p>
      <w:pPr>
        <w:spacing w:after="0" w:line="116" w:lineRule="exact"/>
        <w:rPr>
          <w:sz w:val="20"/>
          <w:szCs w:val="20"/>
          <w:color w:val="auto"/>
        </w:rPr>
      </w:pPr>
    </w:p>
    <w:p>
      <w:pPr>
        <w:jc w:val="both"/>
        <w:ind w:firstLine="405"/>
        <w:spacing w:after="0" w:line="289" w:lineRule="auto"/>
        <w:rPr>
          <w:sz w:val="20"/>
          <w:szCs w:val="20"/>
          <w:color w:val="auto"/>
        </w:rPr>
      </w:pPr>
      <w:r>
        <w:rPr>
          <w:rFonts w:ascii="Arial" w:cs="Arial" w:eastAsia="Arial" w:hAnsi="Arial"/>
          <w:sz w:val="16"/>
          <w:szCs w:val="16"/>
          <w:color w:val="auto"/>
        </w:rPr>
        <w:t>We may utilize TBA dollar roll transactions as a means of investing in and financing agency mortgage-backed securities. TBA contracts enable us to purchase or sell, for future delivery, agency securities with certain principal and interest terms and certain types of collateral, but the particular agency securities to be delivered are not identified until shortly before the TBA settlement date. Prior to settlement of the TBA contract we may choose to move the settlement of the securities out to a later date by entering into an offsetting position (referred to as a "pair off"), net settling the paired off positions for cash, and simultaneously purchasing a similar TBA contract for a later settlement date, collectively referred to as a "dollar roll." The agency securities purchased for a forward settlement date under the TBA contract are typically priced at a discount to agency securities for settlement in the current month. This difference (or discount) is referred to as the "price drop." The price drop is the economic equivalent of net interest carry income on the underlying agency securities over the roll period (interest income less implied financing cost) and is commonly referred to as "dollar roll income." Consequently, dollar roll transactions and such forward purchases of agency securities represent a form of off-balance sheet financing and increase our "at risk" leverage.</w:t>
      </w:r>
    </w:p>
    <w:p>
      <w:pPr>
        <w:spacing w:after="0" w:line="113" w:lineRule="exact"/>
        <w:rPr>
          <w:sz w:val="20"/>
          <w:szCs w:val="20"/>
          <w:color w:val="auto"/>
        </w:rPr>
      </w:pPr>
    </w:p>
    <w:p>
      <w:pPr>
        <w:jc w:val="both"/>
        <w:ind w:firstLine="405"/>
        <w:spacing w:after="0" w:line="270" w:lineRule="auto"/>
        <w:rPr>
          <w:sz w:val="20"/>
          <w:szCs w:val="20"/>
          <w:color w:val="auto"/>
        </w:rPr>
      </w:pPr>
      <w:r>
        <w:rPr>
          <w:rFonts w:ascii="Arial" w:cs="Arial" w:eastAsia="Arial" w:hAnsi="Arial"/>
          <w:sz w:val="17"/>
          <w:szCs w:val="17"/>
          <w:color w:val="auto"/>
        </w:rPr>
        <w:t>Under certain market conditions, TBA dollar roll transactions may result in negative carry income whereby the agency securities purchased for a forward settlement date under the TBA contract are priced at a premium to agency securities for settlement in the current month. Additionally, sales of some or all of the Fed's holdings of agency MBS or declines in purchases of agency MBS by the Fed could adversely impact the dollar roll market. Under such conditions, it may be uneconomical to roll our TBA positions prior to the settlement date and we could have to take physical delivery of the underlying securities and settle our obligations for cash. We may not have sufficient funds or alternative financing sources available to settle such obligations. In addition, pursuant to the margin provisions established by the Mortgage-Backed Securities Division ("MBSD") of the FICC we are subject to margin calls on our TBA contracts. Further, our prime brokerage agreements may require us to post additional margin above the levels established by the MBSD. Negative carry income on TBA dollar roll transactions or failure to procure adequate financing to settle our obligations or meet margin calls under our TBA contracts could result in defaults or force us to sell assets under adverse market conditions or through foreclosure and adversely affect our financial condition and results of operations.</w:t>
      </w:r>
    </w:p>
    <w:p>
      <w:pPr>
        <w:spacing w:after="0" w:line="124" w:lineRule="exact"/>
        <w:rPr>
          <w:sz w:val="20"/>
          <w:szCs w:val="20"/>
          <w:color w:val="auto"/>
        </w:rPr>
      </w:pPr>
    </w:p>
    <w:p>
      <w:pPr>
        <w:jc w:val="both"/>
        <w:spacing w:after="0" w:line="264" w:lineRule="auto"/>
        <w:rPr>
          <w:sz w:val="20"/>
          <w:szCs w:val="20"/>
          <w:color w:val="auto"/>
        </w:rPr>
      </w:pPr>
      <w:r>
        <w:rPr>
          <w:rFonts w:ascii="Arial" w:cs="Arial" w:eastAsia="Arial" w:hAnsi="Arial"/>
          <w:sz w:val="18"/>
          <w:szCs w:val="18"/>
          <w:b w:val="1"/>
          <w:bCs w:val="1"/>
          <w:i w:val="1"/>
          <w:iCs w:val="1"/>
          <w:color w:val="auto"/>
        </w:rPr>
        <w:t>Defaults by lenders to our repurchase transactions on their obligations to resell the underlying collateral back to us at the end of the transaction term, declines in the value of our collateral by the end of the term or defaults by us on our obligations under the transaction will cause us to lose money on repurchase transactions.</w:t>
      </w:r>
    </w:p>
    <w:p>
      <w:pPr>
        <w:spacing w:after="0" w:line="127" w:lineRule="exact"/>
        <w:rPr>
          <w:sz w:val="20"/>
          <w:szCs w:val="20"/>
          <w:color w:val="auto"/>
        </w:rPr>
      </w:pPr>
    </w:p>
    <w:p>
      <w:pPr>
        <w:jc w:val="both"/>
        <w:ind w:firstLine="405"/>
        <w:spacing w:after="0" w:line="290" w:lineRule="auto"/>
        <w:rPr>
          <w:sz w:val="20"/>
          <w:szCs w:val="20"/>
          <w:color w:val="auto"/>
        </w:rPr>
      </w:pPr>
      <w:r>
        <w:rPr>
          <w:rFonts w:ascii="Arial" w:cs="Arial" w:eastAsia="Arial" w:hAnsi="Arial"/>
          <w:sz w:val="16"/>
          <w:szCs w:val="16"/>
          <w:color w:val="auto"/>
        </w:rPr>
        <w:t>When we engage in a repurchase transaction, we initially transfer securities or loans to the financial institution under one of our master repurchase agreements in exchange for cash, and our counterparty is obligated to resell such assets to us at the end of the term of the transaction, which is typically from 30 days to one year, but which may have terms from one day to up to five years or more. The cash we receive when we initially sell the collateral is less than the value of that collateral, which is referred to as the "haircut." As a result, we are able to borrow against a smaller portion of the collateral that we initially sell in these transactions. Increased haircuts require us to post additional collateral. The haircut rates under our master repurchase agreements are not set until we engage in a specific repurchase transaction under these agreements. If our counterparty defaults on its obligation to resell collateral to us, we would incur a loss on the transaction equal to the amount of the haircut (assuming there was no change in the value of the securities). Any losses we incur on our repurchase transactions could adversely affect our earnings, and, thus, our cash available for distribution to our stockholders.</w:t>
      </w:r>
    </w:p>
    <w:p>
      <w:pPr>
        <w:spacing w:after="0" w:line="112"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If we default on one of our obligations under a repurchase transaction, the counterparty can terminate the transaction and cease entering into any other repurchase transactions with us. In that case, we would likely need to establish a replacement repurchase facility with another financial institution in order to continue to leverage our investment portfolio and carry out our investment strategy. We may not be able to secure a suitable replacement facility on acceptable terms or at all.</w:t>
      </w:r>
    </w:p>
    <w:p>
      <w:pPr>
        <w:spacing w:after="0" w:line="133" w:lineRule="exact"/>
        <w:rPr>
          <w:sz w:val="20"/>
          <w:szCs w:val="20"/>
          <w:color w:val="auto"/>
        </w:rPr>
      </w:pPr>
    </w:p>
    <w:p>
      <w:pPr>
        <w:jc w:val="both"/>
        <w:ind w:firstLine="405"/>
        <w:spacing w:after="0" w:line="302" w:lineRule="auto"/>
        <w:rPr>
          <w:sz w:val="20"/>
          <w:szCs w:val="20"/>
          <w:color w:val="auto"/>
        </w:rPr>
      </w:pPr>
      <w:r>
        <w:rPr>
          <w:rFonts w:ascii="Arial" w:cs="Arial" w:eastAsia="Arial" w:hAnsi="Arial"/>
          <w:sz w:val="16"/>
          <w:szCs w:val="16"/>
          <w:color w:val="auto"/>
        </w:rPr>
        <w:t>Further, financial institutions providing the repurchase agreements may require us to maintain a certain amount of cash uninvested or to set aside non-leveraged assets sufficient to maintain a specified liquidity position which would allow us to satisfy our collateral obligations. As a result, we may not be able to leverage our assets as fully as we would choose, which could reduce our return on equity. If we are unable to meet these collateral obligations, our financial condition could deteriorate rapidly. Additionally, our counterparties can unilaterally choose to cease entering into any further repurchase transactions with us.</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746" w:right="239" w:bottom="1440" w:gutter="0" w:footer="0" w:header="0"/>
        </w:sectPr>
      </w:pPr>
    </w:p>
    <w:bookmarkStart w:id="23" w:name="page24"/>
    <w:bookmarkEnd w:id="23"/>
    <w:p>
      <w:pPr>
        <w:jc w:val="both"/>
        <w:spacing w:after="0" w:line="277" w:lineRule="auto"/>
        <w:rPr>
          <w:sz w:val="20"/>
          <w:szCs w:val="20"/>
          <w:color w:val="auto"/>
        </w:rPr>
      </w:pPr>
      <w:r>
        <w:rPr>
          <w:rFonts w:ascii="Arial" w:cs="Arial" w:eastAsia="Arial" w:hAnsi="Arial"/>
          <w:sz w:val="18"/>
          <w:szCs w:val="18"/>
          <w:b w:val="1"/>
          <w:bCs w:val="1"/>
          <w:i w:val="1"/>
          <w:iCs w:val="1"/>
          <w:color w:val="auto"/>
        </w:rPr>
        <w:t>Our rights under our repurchase agreements are subject to the effects of the bankruptcy laws in the event of the bankruptcy or insolvency of us or our lenders under the repurchase agreements.</w:t>
      </w:r>
    </w:p>
    <w:p>
      <w:pPr>
        <w:spacing w:after="0" w:line="116" w:lineRule="exact"/>
        <w:rPr>
          <w:sz w:val="20"/>
          <w:szCs w:val="20"/>
          <w:color w:val="auto"/>
        </w:rPr>
      </w:pPr>
    </w:p>
    <w:p>
      <w:pPr>
        <w:jc w:val="both"/>
        <w:ind w:firstLine="405"/>
        <w:spacing w:after="0" w:line="271" w:lineRule="auto"/>
        <w:rPr>
          <w:sz w:val="20"/>
          <w:szCs w:val="20"/>
          <w:color w:val="auto"/>
        </w:rPr>
      </w:pPr>
      <w:r>
        <w:rPr>
          <w:rFonts w:ascii="Arial" w:cs="Arial" w:eastAsia="Arial" w:hAnsi="Arial"/>
          <w:sz w:val="17"/>
          <w:szCs w:val="17"/>
          <w:color w:val="auto"/>
        </w:rPr>
        <w:t>In the event of our insolvency or bankruptcy, certain repurchase agreements may qualify for special treatment under the U.S. Bankruptcy Code, the effect of which, among other things, would be to allow the lender under the applicable repurchase agreement to avoid the automatic stay provisions of the U.S. Bankruptcy Code and to foreclose on the collateral agreement without delay. In the event of the insolvency or bankruptcy of a lender during the term of a repurchase agreement, the lender may be permitted, under applicable insolvency laws, to repudiate the contract, and our claim against the lender for damages may be treated simply as an unsecured creditor. In addition, if the lender is a broker or dealer subject to the Securities Investor Protection Act of 1970, or an insured depository institution subject to the Federal Deposit Insurance Act, our ability to exercise our rights to recover our assets under a repurchase agreement or to be compensated for any damages resulting from the lender's insolvency may be further limited by those statutes. These claims would be subject to significant delay and, if and when received, may be substantially less than the damages we actually incur.</w:t>
      </w:r>
    </w:p>
    <w:p>
      <w:pPr>
        <w:spacing w:after="0" w:line="1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use of derivative agreements may expose us to counterparty risk.</w:t>
      </w:r>
    </w:p>
    <w:p>
      <w:pPr>
        <w:spacing w:after="0" w:line="171" w:lineRule="exact"/>
        <w:rPr>
          <w:sz w:val="20"/>
          <w:szCs w:val="20"/>
          <w:color w:val="auto"/>
        </w:rPr>
      </w:pPr>
    </w:p>
    <w:p>
      <w:pPr>
        <w:jc w:val="both"/>
        <w:ind w:firstLine="405"/>
        <w:spacing w:after="0" w:line="276" w:lineRule="auto"/>
        <w:rPr>
          <w:sz w:val="20"/>
          <w:szCs w:val="20"/>
          <w:color w:val="auto"/>
        </w:rPr>
      </w:pPr>
      <w:r>
        <w:rPr>
          <w:rFonts w:ascii="Arial" w:cs="Arial" w:eastAsia="Arial" w:hAnsi="Arial"/>
          <w:sz w:val="17"/>
          <w:szCs w:val="17"/>
          <w:color w:val="auto"/>
        </w:rPr>
        <w:t>Certain hedging instruments are not traded on regulated exchanges or guaranteed by an exchange or its clearinghouse and involves risks and costs that could result in material losses. Consequently, there may not be requirements with respect to record keeping, financial responsibility or segregation of customer funds and positions. Furthermore, the enforceability of agreements underlying hedging transactions may depend on compliance with applicable statutory and commodity and other regulatory requirements and, depending on the domicile of the counterparty, applicable international requirements. Consequently, if a counterparty fails to perform under a derivative agreement we could incur a significant loss.</w:t>
      </w:r>
    </w:p>
    <w:p>
      <w:pPr>
        <w:spacing w:after="0" w:line="119"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For example, if a swap counterparty under an interest rate swap agreement that we enter into as part of our hedging strategy cannot perform under the terms of the interest rate swap agreement, we may not receive payments due under that agreement, and, thus, we may lose any potential benefit associated with the interest rate swap. Additionally, we may also risk the loss of any collateral we have pledged to secure our obligations under these swap agreements if the counterparty becomes insolvent or files for bankruptcy. Similarly, if an interest rate swaption counterparty fails to perform under the terms of the interest rate swaption agreement, in addition to not being able to exercise or otherwise cash settle the agreement, we could also incur a loss for the premium paid for that swaption.</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Continued adverse developments in the broader residential mortgage market may adversely affect the value of our investments.</w:t>
      </w:r>
    </w:p>
    <w:p>
      <w:pPr>
        <w:spacing w:after="0" w:line="171"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Since 2008, the residential mortgage market in the United States has experienced a variety of unprecedented difficulties and changed economic conditions, including defaults, credit losses and liquidity concerns. Many of these conditions are expected to continue in 2016 and beyond. These factors have impacted investor perception of the risk associated with real estate related assets, including mortgage-related investments. As a result, values for these assets have experienced a certain amount of volatility. Further increased volatility and deterioration in the broader residential mortgage and MBS markets may adversely affect the performance and market value of the assets in which we invest.</w:t>
      </w:r>
    </w:p>
    <w:p>
      <w:pPr>
        <w:spacing w:after="0" w:line="134" w:lineRule="exact"/>
        <w:rPr>
          <w:sz w:val="20"/>
          <w:szCs w:val="20"/>
          <w:color w:val="auto"/>
        </w:rPr>
      </w:pPr>
    </w:p>
    <w:p>
      <w:pPr>
        <w:jc w:val="both"/>
        <w:ind w:firstLine="405"/>
        <w:spacing w:after="0" w:line="272" w:lineRule="auto"/>
        <w:rPr>
          <w:sz w:val="20"/>
          <w:szCs w:val="20"/>
          <w:color w:val="auto"/>
        </w:rPr>
      </w:pPr>
      <w:r>
        <w:rPr>
          <w:rFonts w:ascii="Arial" w:cs="Arial" w:eastAsia="Arial" w:hAnsi="Arial"/>
          <w:sz w:val="17"/>
          <w:szCs w:val="17"/>
          <w:color w:val="auto"/>
        </w:rPr>
        <w:t>The risks associated with our business may be more severe during economic recessions and are compounded by declining real estate values. Declining real estate values will likely reduce the level of new mortgage loan originations since borrowers often use appreciation in the value of their existing properties to support the purchase of additional properties. Borrowers will also be less able to pay principal and interest on loans underlying the securities in which we invest if the value of residential real estate weakens further. Any sustained period of increased payment delinquencies, foreclosures or losses could increase the rate that the GSEs buy out the delinquent loans from pools underlying the agency securities in which we invest, resulting in an increased rate of prepayments that could adversely affect our net interest income from our agency securities, which could have an adverse effect on our financial condition, results of operations and our ability to make distributions to our stockholders.</w:t>
      </w:r>
    </w:p>
    <w:p>
      <w:pPr>
        <w:spacing w:after="0" w:line="124" w:lineRule="exact"/>
        <w:rPr>
          <w:sz w:val="20"/>
          <w:szCs w:val="20"/>
          <w:color w:val="auto"/>
        </w:rPr>
      </w:pPr>
    </w:p>
    <w:p>
      <w:pPr>
        <w:jc w:val="both"/>
        <w:ind w:right="20"/>
        <w:spacing w:after="0" w:line="312" w:lineRule="auto"/>
        <w:rPr>
          <w:sz w:val="20"/>
          <w:szCs w:val="20"/>
          <w:color w:val="auto"/>
        </w:rPr>
      </w:pPr>
      <w:r>
        <w:rPr>
          <w:rFonts w:ascii="Arial" w:cs="Arial" w:eastAsia="Arial" w:hAnsi="Arial"/>
          <w:sz w:val="16"/>
          <w:szCs w:val="16"/>
          <w:b w:val="1"/>
          <w:bCs w:val="1"/>
          <w:i w:val="1"/>
          <w:iCs w:val="1"/>
          <w:color w:val="auto"/>
        </w:rPr>
        <w:t>A decrease in the volume of newly issued mortgages or an increase in investor demand for mortgages could adversely affect our ability to acquire assets that satisfy our investment objectives and generate income and pay dividends, whereas an increase in the volume of newly issued mortgages or a decrease in investor demand for mortgages could negatively affect the valuations for our investments and may adversely affect our liquidity.</w:t>
      </w:r>
    </w:p>
    <w:p>
      <w:pPr>
        <w:spacing w:after="0" w:line="93"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A reduction in the volume of mortgage loans originated may affect the volume of investments available to us, which could affect our ability to acquire assets that satisfy our investment objectives. An increase in the volume of mortgage loans originated may negatively impact the valuation for our investment portfolio. A negative impact on valuations of our assets could have an adverse impact on our liquidity profile in the event that we are required to post margin under our repurchase agreements, which could materially and adversely impact our business.</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746" w:right="239" w:bottom="1440" w:gutter="0" w:footer="0" w:header="0"/>
        </w:sectPr>
      </w:pPr>
    </w:p>
    <w:bookmarkStart w:id="24" w:name="page25"/>
    <w:bookmarkEnd w:id="24"/>
    <w:p>
      <w:pPr>
        <w:jc w:val="both"/>
        <w:spacing w:after="0" w:line="264" w:lineRule="auto"/>
        <w:rPr>
          <w:sz w:val="20"/>
          <w:szCs w:val="20"/>
          <w:color w:val="auto"/>
        </w:rPr>
      </w:pPr>
      <w:r>
        <w:rPr>
          <w:rFonts w:ascii="Arial" w:cs="Arial" w:eastAsia="Arial" w:hAnsi="Arial"/>
          <w:sz w:val="18"/>
          <w:szCs w:val="18"/>
          <w:b w:val="1"/>
          <w:bCs w:val="1"/>
          <w:i w:val="1"/>
          <w:iCs w:val="1"/>
          <w:color w:val="auto"/>
        </w:rPr>
        <w:t>We operate in a highly competitive market for investment opportunities and our competitors may be able to compete more effectively for investment opportunities than we can. This competition may limit our ability to acquire desirable investments in our target assets and could affect the pricing of these investments.</w:t>
      </w:r>
    </w:p>
    <w:p>
      <w:pPr>
        <w:spacing w:after="0" w:line="127" w:lineRule="exact"/>
        <w:rPr>
          <w:sz w:val="20"/>
          <w:szCs w:val="20"/>
          <w:color w:val="auto"/>
        </w:rPr>
      </w:pPr>
    </w:p>
    <w:p>
      <w:pPr>
        <w:jc w:val="both"/>
        <w:ind w:firstLine="405"/>
        <w:spacing w:after="0" w:line="288" w:lineRule="auto"/>
        <w:rPr>
          <w:sz w:val="20"/>
          <w:szCs w:val="20"/>
          <w:color w:val="auto"/>
        </w:rPr>
      </w:pPr>
      <w:r>
        <w:rPr>
          <w:rFonts w:ascii="Arial" w:cs="Arial" w:eastAsia="Arial" w:hAnsi="Arial"/>
          <w:sz w:val="16"/>
          <w:szCs w:val="16"/>
          <w:color w:val="auto"/>
        </w:rPr>
        <w:t>A number of entities compete with us to make investments. We compete with other REITs and public and private funds, including those that may be managed by affiliates of American Capital, such as American Capital Mortgage Investment Corp., commercial and investment banks, commercial finance and insurance companies and other financial institutions. Our competitors may have greater financial, technical and marketing resources than we do. Some competitors may have a lower cost of funds than we do or access to funding sources that may not be available to us. Many of our competitors are not subject to the operating constraints associated with REIT tax compliance and maintenance of an exemption from the Investment Company Act. In addition, some of our competitors may have higher risk tolerances or different risk assessments, which may allow them to consider a wider variety of investments and establish more relationships than we can. Furthermore, competition for investments in mortgage-related investments may lead to the price of such assets increasing, which may further limit our ability to generate desired returns. The competitive pressures we face could have a material adverse effect on our business, financial condition and results of operations. Also, as a result of this competition, we may not be able to take advantage of attractive investment opportunities from time to time, and we may not be able to identify and make investments that are consistent with our investment objectives.</w:t>
      </w:r>
    </w:p>
    <w:p>
      <w:pPr>
        <w:spacing w:after="0" w:line="11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may change our targeted investments, investment guidelines and other operational policies without stockholder approval, which may adversely affect the market price of our common stock and our ability to make distributions to stockholders.</w:t>
      </w:r>
    </w:p>
    <w:p>
      <w:pPr>
        <w:spacing w:after="0" w:line="116" w:lineRule="exact"/>
        <w:rPr>
          <w:sz w:val="20"/>
          <w:szCs w:val="20"/>
          <w:color w:val="auto"/>
        </w:rPr>
      </w:pPr>
    </w:p>
    <w:p>
      <w:pPr>
        <w:jc w:val="both"/>
        <w:ind w:firstLine="405"/>
        <w:spacing w:after="0" w:line="272" w:lineRule="auto"/>
        <w:rPr>
          <w:sz w:val="20"/>
          <w:szCs w:val="20"/>
          <w:color w:val="auto"/>
        </w:rPr>
      </w:pPr>
      <w:r>
        <w:rPr>
          <w:rFonts w:ascii="Arial" w:cs="Arial" w:eastAsia="Arial" w:hAnsi="Arial"/>
          <w:sz w:val="17"/>
          <w:szCs w:val="17"/>
          <w:color w:val="auto"/>
        </w:rPr>
        <w:t>We may change our targeted investments and investment guidelines at any time without the consent of our stockholders, which could result in our making investments that are different from, and possibly riskier than, the investments described herein. Our Board of Directors also determines our other operational policies and may amend or revise such policies, including our policies with respect to our REIT qualification, acquisitions, dispositions, operations, indebtedness and distributions, or approve transactions that deviate from these policies, without a vote of, or notice to, our stockholders. A change in our targeted investments, investment guidelines or other operational policies may increase our exposure to interest rate, spread, default, credit, prepayment, extension, liquidity and other risks as well as exposure to real estate market fluctuations, all of which could adversely affect our financial condition and our ability to make distributions to our common and preferred stockholders.</w:t>
      </w:r>
    </w:p>
    <w:p>
      <w:pPr>
        <w:spacing w:after="0" w:line="12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Investments in the common stock of other publicly traded mortgage REITs expose us to incremental risks and costs and may adversely affect our financial condition and results of operations.</w:t>
      </w:r>
    </w:p>
    <w:p>
      <w:pPr>
        <w:spacing w:after="0" w:line="116" w:lineRule="exact"/>
        <w:rPr>
          <w:sz w:val="20"/>
          <w:szCs w:val="20"/>
          <w:color w:val="auto"/>
        </w:rPr>
      </w:pPr>
    </w:p>
    <w:p>
      <w:pPr>
        <w:jc w:val="both"/>
        <w:ind w:firstLine="405"/>
        <w:spacing w:after="0" w:line="302" w:lineRule="auto"/>
        <w:rPr>
          <w:sz w:val="20"/>
          <w:szCs w:val="20"/>
          <w:color w:val="auto"/>
        </w:rPr>
      </w:pPr>
      <w:r>
        <w:rPr>
          <w:rFonts w:ascii="Arial" w:cs="Arial" w:eastAsia="Arial" w:hAnsi="Arial"/>
          <w:sz w:val="16"/>
          <w:szCs w:val="16"/>
          <w:color w:val="auto"/>
        </w:rPr>
        <w:t>We may invest in other mortgage REITs that primarily invest in agency MBS on a leveraged basis, utilizing short-term repurchase agreements as their primary source of funding, and such mortgage REITs are, therefore, exposed to similar risk factors as those described herein. In addition, our investments in other mortgage REITs expose us to incremental risks and costs due to our lack of control, lack of transparency into their underlying investment portfolios and business operations, stock market volatility and additional management fees, which could adversely affect our financial condition and results of operations.</w:t>
      </w:r>
    </w:p>
    <w:p>
      <w:pPr>
        <w:spacing w:after="0" w:line="10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b w:val="1"/>
          <w:bCs w:val="1"/>
          <w:i w:val="1"/>
          <w:iCs w:val="1"/>
          <w:color w:val="auto"/>
        </w:rPr>
        <w:t>Our investments are recorded at fair value and quoted prices or observable inputs may not be readily available to determine such value, resulting in the use of unobservable inputs to determine value, and the fair value of our investments may be materially different from the value that we ultimately realize upon their disposal.</w:t>
      </w:r>
    </w:p>
    <w:p>
      <w:pPr>
        <w:spacing w:after="0" w:line="127" w:lineRule="exact"/>
        <w:rPr>
          <w:sz w:val="20"/>
          <w:szCs w:val="20"/>
          <w:color w:val="auto"/>
        </w:rPr>
      </w:pPr>
    </w:p>
    <w:p>
      <w:pPr>
        <w:jc w:val="both"/>
        <w:ind w:firstLine="405"/>
        <w:spacing w:after="0" w:line="254" w:lineRule="auto"/>
        <w:rPr>
          <w:sz w:val="20"/>
          <w:szCs w:val="20"/>
          <w:color w:val="auto"/>
        </w:rPr>
      </w:pPr>
      <w:r>
        <w:rPr>
          <w:rFonts w:ascii="Arial" w:cs="Arial" w:eastAsia="Arial" w:hAnsi="Arial"/>
          <w:sz w:val="18"/>
          <w:szCs w:val="18"/>
          <w:color w:val="auto"/>
        </w:rPr>
        <w:t xml:space="preserve">The values of our investments may not be readily determinable or ultimately realizable. We measure the fair value of our investments quarterly, in accordance with guidance set forth in FASB Accounting Standards Codification ("ASC") Topic 820, </w:t>
      </w:r>
      <w:r>
        <w:rPr>
          <w:rFonts w:ascii="Arial" w:cs="Arial" w:eastAsia="Arial" w:hAnsi="Arial"/>
          <w:sz w:val="18"/>
          <w:szCs w:val="18"/>
          <w:i w:val="1"/>
          <w:iCs w:val="1"/>
          <w:color w:val="auto"/>
        </w:rPr>
        <w:t>Fair Value Measurements and Disclosures</w:t>
      </w:r>
      <w:r>
        <w:rPr>
          <w:rFonts w:ascii="Arial" w:cs="Arial" w:eastAsia="Arial" w:hAnsi="Arial"/>
          <w:sz w:val="18"/>
          <w:szCs w:val="18"/>
          <w:color w:val="auto"/>
        </w:rPr>
        <w:t>. Ultimate realization of the value of an asset depends to a great extent on economic and other conditions that are beyond the control of our Manager, our Company or our Board of Directors. Further, fair value is only an estimate based on good faith judgment of the price at which an investment can be sold since market prices of investments can only be determined by negotiation between a willing buyer and seller. If we were to liquidate a particular asset, the realized value may be more than or less than the amount at which such asset is valued. Accordingly, the value of our common stock could be adversely affected by our determinations regarding the fair value of our investments, whether in the applicable period or in the future. Additionally, such valuations may fluctuate over short periods of time.</w:t>
      </w:r>
    </w:p>
    <w:p>
      <w:pPr>
        <w:spacing w:after="0" w:line="138" w:lineRule="exact"/>
        <w:rPr>
          <w:sz w:val="20"/>
          <w:szCs w:val="20"/>
          <w:color w:val="auto"/>
        </w:rPr>
      </w:pPr>
    </w:p>
    <w:p>
      <w:pPr>
        <w:jc w:val="both"/>
        <w:ind w:firstLine="405"/>
        <w:spacing w:after="0" w:line="272" w:lineRule="auto"/>
        <w:rPr>
          <w:sz w:val="20"/>
          <w:szCs w:val="20"/>
          <w:color w:val="auto"/>
        </w:rPr>
      </w:pPr>
      <w:r>
        <w:rPr>
          <w:rFonts w:ascii="Arial" w:cs="Arial" w:eastAsia="Arial" w:hAnsi="Arial"/>
          <w:sz w:val="17"/>
          <w:szCs w:val="17"/>
          <w:color w:val="auto"/>
        </w:rPr>
        <w:t>Our Manager's determination of the fair value of our investments includes inputs provided by third-party dealers and pricing services. Valuations of certain investments in which we invest may be difficult to obtain or unreliable. In general, dealers and pricing services heavily disclaim their valuations. Dealers may claim to furnish valuations only as an accommodation and without special compensation, and so they may disclaim any and all liability for any direct, incidental, or consequential damages arising out of any inaccuracy or incompleteness in valuations, including any act of negligence or breach of any warranty. Depending on the complexity and illiquidity of a security, valuations of the same security can vary substantially from one dealer or pricing service to another. Therefore, our results of operations for a given period could be adversely affected if our determinations regarding the fair market value of these investments are materially different from the values that we ultimately realize upon their disposal.</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746" w:right="239" w:bottom="1440" w:gutter="0" w:footer="0" w:header="0"/>
        </w:sectPr>
      </w:pPr>
    </w:p>
    <w:bookmarkStart w:id="25" w:name="page26"/>
    <w:bookmarkEnd w:id="25"/>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The federal conservatorship of Fannie Mae and Freddie Mac and related efforts, along with any changes in laws and regulations affecting the relationship between these agencies and the U.S. Government, may adversely affect our business.</w:t>
      </w:r>
    </w:p>
    <w:p>
      <w:pPr>
        <w:spacing w:after="0" w:line="116"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The payments of principal and interest we receive on the agency securities in which we invest are guaranteed by Fannie Mae, Freddie Mac or Ginnie Mae, collectively referred to as Government Sponsored Enterprises or GSEs. The guarantees on agency securities created by Fannie Mae and Freddie Mac are not backed by the full faith and credit of the United States, whereas the guarantee on securities created by Ginnie Mae are backed by the full faith and credit of the United States.</w:t>
      </w:r>
    </w:p>
    <w:p>
      <w:pPr>
        <w:spacing w:after="0" w:line="133" w:lineRule="exact"/>
        <w:rPr>
          <w:sz w:val="20"/>
          <w:szCs w:val="20"/>
          <w:color w:val="auto"/>
        </w:rPr>
      </w:pPr>
    </w:p>
    <w:p>
      <w:pPr>
        <w:jc w:val="both"/>
        <w:ind w:firstLine="405"/>
        <w:spacing w:after="0" w:line="291" w:lineRule="auto"/>
        <w:rPr>
          <w:sz w:val="20"/>
          <w:szCs w:val="20"/>
          <w:color w:val="auto"/>
        </w:rPr>
      </w:pPr>
      <w:r>
        <w:rPr>
          <w:rFonts w:ascii="Arial" w:cs="Arial" w:eastAsia="Arial" w:hAnsi="Arial"/>
          <w:sz w:val="16"/>
          <w:szCs w:val="16"/>
          <w:color w:val="auto"/>
        </w:rPr>
        <w:t>In response to general market instability and, more specifically, the financial conditions of Fannie Mae and Freddie Mac, in July 2008, the Housing and Economic Recovery Act of 2008, or HERA, established FHFA as the new regulator for Fannie Mae and Freddie Mac. In September 2008, the U.S. Treasury, the FHFA and the U.S. Federal Reserve announced a comprehensive action plan to help stabilize the financial markets, support the availability of mortgage financing and protect taxpayers. Under this plan, among other things, the FHFA was appointed as conservator of both Fannie Mae and Freddie Mac, allowing the FHFA to control the actions of the two GSEs, without forcing them to liquidate, which would be the case under receivership. Importantly, the primary focus of the plan was to increase the availability of mortgage financing by allowing these GSEs to continue to grow their guarantee business without limit, while limiting the size of their retained mortgage and agency security portfolios and requiring that these portfolios be reduced over time.</w:t>
      </w:r>
    </w:p>
    <w:p>
      <w:pPr>
        <w:spacing w:after="0" w:line="113" w:lineRule="exact"/>
        <w:rPr>
          <w:sz w:val="20"/>
          <w:szCs w:val="20"/>
          <w:color w:val="auto"/>
        </w:rPr>
      </w:pPr>
    </w:p>
    <w:p>
      <w:pPr>
        <w:jc w:val="both"/>
        <w:ind w:firstLine="405"/>
        <w:spacing w:after="0" w:line="312" w:lineRule="auto"/>
        <w:rPr>
          <w:sz w:val="20"/>
          <w:szCs w:val="20"/>
          <w:color w:val="auto"/>
        </w:rPr>
      </w:pPr>
      <w:r>
        <w:rPr>
          <w:rFonts w:ascii="Arial" w:cs="Arial" w:eastAsia="Arial" w:hAnsi="Arial"/>
          <w:sz w:val="16"/>
          <w:szCs w:val="16"/>
          <w:color w:val="auto"/>
        </w:rPr>
        <w:t>Although the U.S. Government has committed to support the positive net worth of Fannie Mae and Freddie Mac, the two GSEs could default on their guarantee obligations, which would materially and adversely affect the value of our agency securities. Accordingly, if these government actions are inadequate and the GSEs suffer additional losses or cease to exist, our business, operations and financial condition could be materially and adversely affected.</w:t>
      </w:r>
    </w:p>
    <w:p>
      <w:pPr>
        <w:spacing w:after="0" w:line="93" w:lineRule="exact"/>
        <w:rPr>
          <w:sz w:val="20"/>
          <w:szCs w:val="20"/>
          <w:color w:val="auto"/>
        </w:rPr>
      </w:pPr>
    </w:p>
    <w:p>
      <w:pPr>
        <w:jc w:val="both"/>
        <w:ind w:firstLine="405"/>
        <w:spacing w:after="0" w:line="286" w:lineRule="auto"/>
        <w:rPr>
          <w:sz w:val="20"/>
          <w:szCs w:val="20"/>
          <w:color w:val="auto"/>
        </w:rPr>
      </w:pPr>
      <w:r>
        <w:rPr>
          <w:rFonts w:ascii="Arial" w:cs="Arial" w:eastAsia="Arial" w:hAnsi="Arial"/>
          <w:sz w:val="17"/>
          <w:szCs w:val="17"/>
          <w:color w:val="auto"/>
        </w:rPr>
        <w:t>In addition, the future roles of Fannie Mae and Freddie Mac could be significantly reduced and the nature of their guarantee obligations could be considerably limited relative to historical measurements. Any such changes to the nature of their guarantee obligations could re-define what constitutes an agency security and could have broad adverse implications for the market and our business, operations and financial condition.</w:t>
      </w:r>
    </w:p>
    <w:p>
      <w:pPr>
        <w:spacing w:after="0" w:line="111" w:lineRule="exact"/>
        <w:rPr>
          <w:sz w:val="20"/>
          <w:szCs w:val="20"/>
          <w:color w:val="auto"/>
        </w:rPr>
      </w:pPr>
    </w:p>
    <w:p>
      <w:pPr>
        <w:jc w:val="both"/>
        <w:ind w:firstLine="405"/>
        <w:spacing w:after="0" w:line="254" w:lineRule="auto"/>
        <w:rPr>
          <w:sz w:val="20"/>
          <w:szCs w:val="20"/>
          <w:color w:val="auto"/>
        </w:rPr>
      </w:pPr>
      <w:r>
        <w:rPr>
          <w:rFonts w:ascii="Arial" w:cs="Arial" w:eastAsia="Arial" w:hAnsi="Arial"/>
          <w:sz w:val="18"/>
          <w:szCs w:val="18"/>
          <w:color w:val="auto"/>
        </w:rPr>
        <w:t>Future legislation could change the relationship between Fannie Mae and Freddie Mac and the U.S. Government, and could also nationalize, privatize, or eliminate these entities entirely. Any law affecting these GSEs may create market uncertainty and have the effect of reducing the actual or perceived credit quality of securities issued or guaranteed by Fannie Mae or Freddie Mac. Moreover, if the guarantee obligations of Freddie Mac or Fannie Mae were repudiated by FHFA, payments of principal and/or interest to holders of agency securities issued by Freddie Mac or Fannie Mae would be reduced in the event of any borrower's late payments or failure to pay or a servicer's failure to remit borrower payments to the trust. In that case, trust administration and servicing fees could be paid from mortgage payments prior to distributions to holders of agency securities. Any actual direct compensatory damages owed due to the repudiation of Freddie Mac or Fannie Mae's guarantee obligations may not be sufficient to offset any shortfalls experienced by holders of agency securities.</w:t>
      </w:r>
    </w:p>
    <w:p>
      <w:pPr>
        <w:spacing w:after="0" w:line="138" w:lineRule="exact"/>
        <w:rPr>
          <w:sz w:val="20"/>
          <w:szCs w:val="20"/>
          <w:color w:val="auto"/>
        </w:rPr>
      </w:pPr>
    </w:p>
    <w:p>
      <w:pPr>
        <w:jc w:val="both"/>
        <w:ind w:right="200" w:firstLine="405"/>
        <w:spacing w:after="0" w:line="264" w:lineRule="auto"/>
        <w:rPr>
          <w:sz w:val="20"/>
          <w:szCs w:val="20"/>
          <w:color w:val="auto"/>
        </w:rPr>
      </w:pPr>
      <w:r>
        <w:rPr>
          <w:rFonts w:ascii="Arial" w:cs="Arial" w:eastAsia="Arial" w:hAnsi="Arial"/>
          <w:sz w:val="18"/>
          <w:szCs w:val="18"/>
          <w:color w:val="auto"/>
        </w:rPr>
        <w:t>As a result, such laws or changes could increase the risk of loss on our investments in agency mortgage investments guaranteed by Fannie Mae and/or Freddie Mac and could adversely impact the market for such securities and spreads at which they trade. All of the foregoing could materially and adversely affect our financial condition and results of operations.</w:t>
      </w:r>
    </w:p>
    <w:p>
      <w:pPr>
        <w:spacing w:after="0" w:line="12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Mortgage loan modification and refinancing programs and future legislative action may adversely affect the value of, and our returns on, agency mortgage-backed securities.</w:t>
      </w:r>
    </w:p>
    <w:p>
      <w:pPr>
        <w:spacing w:after="0" w:line="116" w:lineRule="exact"/>
        <w:rPr>
          <w:sz w:val="20"/>
          <w:szCs w:val="20"/>
          <w:color w:val="auto"/>
        </w:rPr>
      </w:pPr>
    </w:p>
    <w:p>
      <w:pPr>
        <w:jc w:val="both"/>
        <w:ind w:firstLine="405"/>
        <w:spacing w:after="0" w:line="269" w:lineRule="auto"/>
        <w:rPr>
          <w:sz w:val="20"/>
          <w:szCs w:val="20"/>
          <w:color w:val="auto"/>
        </w:rPr>
      </w:pPr>
      <w:r>
        <w:rPr>
          <w:rFonts w:ascii="Arial" w:cs="Arial" w:eastAsia="Arial" w:hAnsi="Arial"/>
          <w:sz w:val="17"/>
          <w:szCs w:val="17"/>
          <w:color w:val="auto"/>
        </w:rPr>
        <w:t>The U.S. Government has implemented a number of federal programs designed to assist homeowners, including the Home Affordable Modification Program, or HAMP, which provides homeowners with assistance in avoiding residential mortgage loan foreclosures, the Hope for Homeowners Program, or H4H Program, which allows certain distressed borrowers to refinance their mortgages into FHA-insured loans in order to avoid residential mortgage loan foreclosures, and the Home Affordable Refinance Program, or HARP, which for loans sold or guaranteed by the GSEs on or prior to May 31, 2009, allows borrowers who are current on their mortgage payments to refinance and reduce their monthly mortgage payments, with no current loan-to-value ratio upper limit and without requiring new mortgage insurance. HAMP, the H4H Program and other loss mitigation programs may involve, among other things, the modification of mortgage loans to reduce the principal amount of the loans (through forbearance and/or forgiveness) and/or the rate of interest payable on the loans, or the extension of payment terms of the loans. These loan modification programs, future legislative or regulatory actions, including possible amendments to the bankruptcy laws, which result in the modification of outstanding residential mortgage loans, as well as changes in the requirements necessary to qualify for refinancing mortgage loans with Fannie Mae, Freddie Mac or Ginnie Mae, may adversely affect the value of, and the returns on, agency mortgage-backed securities that we may purchase.</w:t>
      </w: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746" w:right="239" w:bottom="1440" w:gutter="0" w:footer="0" w:header="0"/>
        </w:sectPr>
      </w:pPr>
    </w:p>
    <w:bookmarkStart w:id="26" w:name="page27"/>
    <w:bookmarkEnd w:id="26"/>
    <w:p>
      <w:pPr>
        <w:spacing w:after="0"/>
        <w:rPr>
          <w:sz w:val="20"/>
          <w:szCs w:val="20"/>
          <w:color w:val="auto"/>
        </w:rPr>
      </w:pPr>
      <w:r>
        <w:rPr>
          <w:rFonts w:ascii="Arial" w:cs="Arial" w:eastAsia="Arial" w:hAnsi="Arial"/>
          <w:sz w:val="18"/>
          <w:szCs w:val="18"/>
          <w:b w:val="1"/>
          <w:bCs w:val="1"/>
          <w:color w:val="auto"/>
        </w:rPr>
        <w:t>Risks Related to Our Relationship with Our Manager and American Capital</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There are conflicts of interest in our relationship with our Manager and American Capital.</w:t>
      </w:r>
    </w:p>
    <w:p>
      <w:pPr>
        <w:spacing w:after="0" w:line="171" w:lineRule="exact"/>
        <w:rPr>
          <w:sz w:val="20"/>
          <w:szCs w:val="20"/>
          <w:color w:val="auto"/>
        </w:rPr>
      </w:pPr>
    </w:p>
    <w:p>
      <w:pPr>
        <w:jc w:val="both"/>
        <w:ind w:firstLine="405"/>
        <w:spacing w:after="0" w:line="253" w:lineRule="auto"/>
        <w:rPr>
          <w:sz w:val="20"/>
          <w:szCs w:val="20"/>
          <w:color w:val="auto"/>
        </w:rPr>
      </w:pPr>
      <w:r>
        <w:rPr>
          <w:rFonts w:ascii="Arial" w:cs="Arial" w:eastAsia="Arial" w:hAnsi="Arial"/>
          <w:sz w:val="18"/>
          <w:szCs w:val="18"/>
          <w:color w:val="auto"/>
        </w:rPr>
        <w:t>Because we have no employees, except for employees of our wholly-owned subsidiary Bethesda Securities, LLC, or BES, our Manager is responsible for making all of our investment decisions. Certain of our and our Manager's officers are employees of American Capital or its affiliates and these persons do not devote their time exclusively to us. Our Manager's Investment Committee consists of Messrs. Wilkus, Erickson, Flax, Kain and McHale, each of whom is an officer of American Capital or the parent company of our Manager and has significant responsibilities to American Capital and certain of its portfolio companies, affiliated entities or managed funds. Mr. Kain is our President and Chief Investment Officer and also serves as the President of our Manager and its parent company. Mr. Kain is also the President and Chief Investment Officer of American Capital Mortgage Investment Corp. and the President of its manager. Thus, he has, and may in the future have, significant responsibilities for other funds that are managed by the parent company of our Manager or entities affiliated therewith. In addition, because certain of our and our Manager's officers are also responsible for providing services to American Capital and/or certain of its portfolio companies, affiliated entities or managed funds, they may not devote sufficient time to the management of our business operations.</w:t>
      </w:r>
    </w:p>
    <w:p>
      <w:pPr>
        <w:spacing w:after="0" w:line="141" w:lineRule="exact"/>
        <w:rPr>
          <w:sz w:val="20"/>
          <w:szCs w:val="20"/>
          <w:color w:val="auto"/>
        </w:rPr>
      </w:pPr>
    </w:p>
    <w:p>
      <w:pPr>
        <w:jc w:val="both"/>
        <w:ind w:firstLine="405"/>
        <w:spacing w:after="0" w:line="271" w:lineRule="auto"/>
        <w:rPr>
          <w:sz w:val="20"/>
          <w:szCs w:val="20"/>
          <w:color w:val="auto"/>
        </w:rPr>
      </w:pPr>
      <w:r>
        <w:rPr>
          <w:rFonts w:ascii="Arial" w:cs="Arial" w:eastAsia="Arial" w:hAnsi="Arial"/>
          <w:sz w:val="17"/>
          <w:szCs w:val="17"/>
          <w:color w:val="auto"/>
        </w:rPr>
        <w:t>Additionally, our Manager is a wholly-owned subsidiary of American Capital Mortgage Management, LLC, which is also the parent company of the external manager of American Capital Mortgage Investment Corp., a publicly-traded REIT that invests in agency mortgage investments, non-agency mortgage investments and mortgage related investments and may compete with us for purchases of agency mortgage-related investments. American Capital Mortgage Management, LLC is a subsidiary of American Capital Asset Management, LLC, which is a wholly-owned portfolio company of American Capital. There are no restrictions on American Capital that prevent American Capital from sponsoring another investment vehicle that competes with us. Accordingly, American Capital or one or more of its affiliates may also compete with us for investments, except that American Capital has agreed that so long as our Manager or affiliate of American Capital continues to manage our company, it will not sponsor another investment vehicle that invests predominantly in whole pool agency mortgage-backed securities.</w:t>
      </w:r>
    </w:p>
    <w:p>
      <w:pPr>
        <w:spacing w:after="0" w:line="125"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Although our Manager and its affiliates have policies in place that seek to mitigate the effects of conflicts of interest, including any potential conflict relating to the allocation of certain types of securities that meet our investment objectives and those of other managed funds or affiliates of our Manager, these policies do not eliminate the conflicts of interest that our officers and the officers and employees of our Manager and its affiliates face in making investment decisions on behalf of American Capital, any other American Capital-sponsored investment vehicles and us. Further, we do not have any agreement or understanding with American Capital that would give us any priority over American Capital, any of its affiliates, or any such American Capital-sponsored investment vehicle in opportunities to invest in mortgage-related investments. Accordingly, we may compete for access to the benefits that we expect from our relationship with our Manager and American Capital.</w:t>
      </w:r>
    </w:p>
    <w:p>
      <w:pPr>
        <w:spacing w:after="0" w:line="1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American Capital has announced that it is soliciting offers to purchase American Capital or its various business lines.</w:t>
      </w:r>
    </w:p>
    <w:p>
      <w:pPr>
        <w:spacing w:after="0" w:line="171"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On January 7, 2016, American Capital announced that its Board of Directors authorized American Capital to solicit offers to purchase American Capital or its various business lines, in whole or in part. American Capital has issued no information on the status of the solicitation or the nature of any possible transaction that may result from it. Thus, while it is possible that a transaction could have an impact on us or our Manager, it is impractical to provide information on the nature of any impacts. Moreover, there is no assurance that the solicitation will result in a transaction that will have an impact on us or our Manager.</w:t>
      </w:r>
    </w:p>
    <w:p>
      <w:pPr>
        <w:spacing w:after="0" w:line="134" w:lineRule="exact"/>
        <w:rPr>
          <w:sz w:val="20"/>
          <w:szCs w:val="20"/>
          <w:color w:val="auto"/>
        </w:rPr>
      </w:pPr>
    </w:p>
    <w:p>
      <w:pPr>
        <w:jc w:val="both"/>
        <w:spacing w:after="0" w:line="340" w:lineRule="auto"/>
        <w:rPr>
          <w:sz w:val="20"/>
          <w:szCs w:val="20"/>
          <w:color w:val="auto"/>
        </w:rPr>
      </w:pPr>
      <w:r>
        <w:rPr>
          <w:rFonts w:ascii="Arial" w:cs="Arial" w:eastAsia="Arial" w:hAnsi="Arial"/>
          <w:sz w:val="15"/>
          <w:szCs w:val="15"/>
          <w:b w:val="1"/>
          <w:bCs w:val="1"/>
          <w:i w:val="1"/>
          <w:iCs w:val="1"/>
          <w:color w:val="auto"/>
        </w:rPr>
        <w:t>We are completely dependent upon our Manager and certain personnel of American Capital or the parent company of our Manager who provide services to us through the management agreement and the administrative services agreement and we may not find suitable replacements for our Manager and these personnel if the management agreement and the administrative services agreement are terminated or such personnel are no longer available to us.</w:t>
      </w:r>
    </w:p>
    <w:p>
      <w:pPr>
        <w:spacing w:after="0" w:line="77" w:lineRule="exact"/>
        <w:rPr>
          <w:sz w:val="20"/>
          <w:szCs w:val="20"/>
          <w:color w:val="auto"/>
        </w:rPr>
      </w:pPr>
    </w:p>
    <w:p>
      <w:pPr>
        <w:jc w:val="both"/>
        <w:ind w:firstLine="405"/>
        <w:spacing w:after="0" w:line="288" w:lineRule="auto"/>
        <w:rPr>
          <w:sz w:val="20"/>
          <w:szCs w:val="20"/>
          <w:color w:val="auto"/>
        </w:rPr>
      </w:pPr>
      <w:r>
        <w:rPr>
          <w:rFonts w:ascii="Arial" w:cs="Arial" w:eastAsia="Arial" w:hAnsi="Arial"/>
          <w:sz w:val="16"/>
          <w:szCs w:val="16"/>
          <w:color w:val="auto"/>
        </w:rPr>
        <w:t>Because we have no employees or separate facilities, except for employees and facilities of BES, we are completely dependent on our Manager and its affiliates to conduct our operations pursuant to the management agreement. Our Manager does not have any employees and relies upon certain employees of its parent company and American Capital to conduct our day-to-day operations pursuant to an administrative services agreement. Under the administrative services agreement, our Manager is provided services and resources necessary for our Manager to perform its obligations and responsibilities under the management agreement in exchange for certain fees payable by our Manager. Neither the administrative services agreement nor the management agreement requires our Manager or its parent company or American Capital to dedicate specific personnel to our operations. It also does not require any specific personnel of our Manager or its parent company or American Capital to dedicate a specific amount of time to our business. Additionally, because our Manager is relying upon American Capital, we may be negatively impacted by events or factors that negatively impact American Capital's business, financial condition or results of operations. American Capital or the parent company of our Manager has entered into employment agreements with certain of their employees who are officers of our Manager and AGNC. However, none of these individuals' continued service is guaranteed. Furthermore, if the management</w:t>
      </w:r>
    </w:p>
    <w:p>
      <w:pPr>
        <w:spacing w:after="0" w:line="1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742" w:right="239" w:bottom="1440" w:gutter="0" w:footer="0" w:header="0"/>
        </w:sectPr>
      </w:pPr>
    </w:p>
    <w:bookmarkStart w:id="27" w:name="page28"/>
    <w:bookmarkEnd w:id="27"/>
    <w:p>
      <w:pPr>
        <w:spacing w:after="0"/>
        <w:rPr>
          <w:sz w:val="20"/>
          <w:szCs w:val="20"/>
          <w:color w:val="auto"/>
        </w:rPr>
      </w:pPr>
      <w:r>
        <w:rPr>
          <w:rFonts w:ascii="Arial" w:cs="Arial" w:eastAsia="Arial" w:hAnsi="Arial"/>
          <w:sz w:val="16"/>
          <w:szCs w:val="16"/>
          <w:color w:val="auto"/>
        </w:rPr>
        <w:t>agreement is terminated or these individuals leave the parent company of our Manager or American Capital, we may be unable to execute our business plan.</w:t>
      </w:r>
    </w:p>
    <w:p>
      <w:pPr>
        <w:spacing w:after="0" w:line="194" w:lineRule="exact"/>
        <w:rPr>
          <w:sz w:val="20"/>
          <w:szCs w:val="20"/>
          <w:color w:val="auto"/>
        </w:rPr>
      </w:pPr>
    </w:p>
    <w:p>
      <w:pPr>
        <w:jc w:val="both"/>
        <w:spacing w:after="0" w:line="286" w:lineRule="auto"/>
        <w:rPr>
          <w:sz w:val="20"/>
          <w:szCs w:val="20"/>
          <w:color w:val="auto"/>
        </w:rPr>
      </w:pPr>
      <w:r>
        <w:rPr>
          <w:rFonts w:ascii="Arial" w:cs="Arial" w:eastAsia="Arial" w:hAnsi="Arial"/>
          <w:sz w:val="17"/>
          <w:szCs w:val="17"/>
          <w:b w:val="1"/>
          <w:bCs w:val="1"/>
          <w:i w:val="1"/>
          <w:iCs w:val="1"/>
          <w:color w:val="auto"/>
        </w:rPr>
        <w:t>If we elect not to renew our management agreement without cause, we would be required to pay our Manager a substantial termination fee. We would also be restricted from employing employees of our Manager and any of its affiliates, including American Capital. These and other provisions in our management agreement make non-renewal of our management agreement difficult and costly.</w:t>
      </w:r>
    </w:p>
    <w:p>
      <w:pPr>
        <w:spacing w:after="0" w:line="111" w:lineRule="exact"/>
        <w:rPr>
          <w:sz w:val="20"/>
          <w:szCs w:val="20"/>
          <w:color w:val="auto"/>
        </w:rPr>
      </w:pPr>
    </w:p>
    <w:p>
      <w:pPr>
        <w:jc w:val="both"/>
        <w:ind w:firstLine="405"/>
        <w:spacing w:after="0" w:line="272" w:lineRule="auto"/>
        <w:rPr>
          <w:sz w:val="20"/>
          <w:szCs w:val="20"/>
          <w:color w:val="auto"/>
        </w:rPr>
      </w:pPr>
      <w:r>
        <w:rPr>
          <w:rFonts w:ascii="Arial" w:cs="Arial" w:eastAsia="Arial" w:hAnsi="Arial"/>
          <w:sz w:val="17"/>
          <w:szCs w:val="17"/>
          <w:color w:val="auto"/>
        </w:rPr>
        <w:t>Electing not to renew the management agreement without cause would be difficult and costly for us. With the consent of the majority of the independent members of our Board of Directors, we may elect not to renew our management agreement upon the expiration of any automatic annual renewal term, upon 180-days prior written notice. If we elect not to renew the management agreement because of a decision by our Board of Directors that the management fee is unfair, our Manager has the right to renegotiate a mutually agreeable management fee. If we elect to not renew the management agreement without cause, we are required to pay our Manager a termination fee equal to three times the average annual management fee earned by our Manager during the prior 24-month period immediately preceding the most recently completed month prior to the effective date of termination. These provisions may increase the effective cost to us of electing to not renew the management agreement.</w:t>
      </w:r>
    </w:p>
    <w:p>
      <w:pPr>
        <w:spacing w:after="0" w:line="124"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Furthermore, if we terminate the management agreement without cause, we may not, without the consent of our Manager, employ any employee of the Manager or any of its affiliates, including American Capital, or any person who has been employed by our Manager or any of its affiliates at any time within the two-year period immediately preceding the date on which the person commences employment with us for two years after such termination of the management agreement. We believe that the successful implementation of our investment, financing and hedging strategies depends upon the experience of certain of American Capital and our Manager's officers; therefore, if the management agreement is terminated without cause we may be unable to execute our business plan.</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no recourse to American Capital if it does not fulfill its obligations under the administrative services agreement.</w:t>
      </w:r>
    </w:p>
    <w:p>
      <w:pPr>
        <w:spacing w:after="0" w:line="171" w:lineRule="exact"/>
        <w:rPr>
          <w:sz w:val="20"/>
          <w:szCs w:val="20"/>
          <w:color w:val="auto"/>
        </w:rPr>
      </w:pPr>
    </w:p>
    <w:p>
      <w:pPr>
        <w:jc w:val="both"/>
        <w:ind w:firstLine="405"/>
        <w:spacing w:after="0" w:line="288" w:lineRule="auto"/>
        <w:rPr>
          <w:sz w:val="20"/>
          <w:szCs w:val="20"/>
          <w:color w:val="auto"/>
        </w:rPr>
      </w:pPr>
      <w:r>
        <w:rPr>
          <w:rFonts w:ascii="Arial" w:cs="Arial" w:eastAsia="Arial" w:hAnsi="Arial"/>
          <w:sz w:val="16"/>
          <w:szCs w:val="16"/>
          <w:color w:val="auto"/>
        </w:rPr>
        <w:t>Neither we nor our Manager have any employees or separate facilities, except for employees and facilities of BES. Our day-to-day operations are conducted by employees of American Capital or the parent company of our Manager pursuant to an administrative services agreement among our Manager, its parent company and American Capital. Under the administrative services agreement, our Manager is also provided with the services and other resources necessary for our Manager to perform its obligations and responsibilities under the management agreement in exchange for certain fees payable by our Manager. Although the administrative services agreement may not be terminated unless the management agreement has been terminated pursuant to its terms, American Capital and the parent company of our Manager may assign their rights and obligations thereunder to any of their affiliates, including American Capital Asset Management, LLC, which owns the parent company of our Manager. In addition, because we are not a party to the administrative services agreement, we do not have any recourse to American Capital or the parent company of our Manager if they do not fulfill their obligations under the administrative services agreement or if they elect to assign the agreement to one of their affiliates. Also, our Manager only has nominal assets and we will have limited recourse against our Manager under the Management Agreement to remedy any liability to us from a breach of contract or fiduciary duties.</w:t>
      </w:r>
    </w:p>
    <w:p>
      <w:pPr>
        <w:spacing w:after="0" w:line="11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Our management agreement was not negotiated on an arm's-length basis and the terms, including fees payable, may not be as favorable to us as if they were negotiated with an unaffiliated third party.</w:t>
      </w:r>
    </w:p>
    <w:p>
      <w:pPr>
        <w:spacing w:after="0" w:line="116" w:lineRule="exact"/>
        <w:rPr>
          <w:sz w:val="20"/>
          <w:szCs w:val="20"/>
          <w:color w:val="auto"/>
        </w:rPr>
      </w:pPr>
    </w:p>
    <w:p>
      <w:pPr>
        <w:jc w:val="both"/>
        <w:ind w:firstLine="405"/>
        <w:spacing w:after="0" w:line="279" w:lineRule="auto"/>
        <w:rPr>
          <w:sz w:val="20"/>
          <w:szCs w:val="20"/>
          <w:color w:val="auto"/>
        </w:rPr>
      </w:pPr>
      <w:r>
        <w:rPr>
          <w:rFonts w:ascii="Arial" w:cs="Arial" w:eastAsia="Arial" w:hAnsi="Arial"/>
          <w:sz w:val="17"/>
          <w:szCs w:val="17"/>
          <w:color w:val="auto"/>
        </w:rPr>
        <w:t>The management agreement was originally negotiated between related parties, and we did not have the benefit of arm's-length negotiations of the type normally conducted with an unaffiliated third party. The terms of the management agreement, including fees payable, may not reflect the terms that we may have received if it were negotiated with an unrelated third party. In addition, we may choose not to enforce, or to enforce less vigorously, our rights under the management agreement because of our desire to maintain our ongoing relationship with our Manager.</w:t>
      </w:r>
    </w:p>
    <w:p>
      <w:pPr>
        <w:spacing w:after="0" w:line="11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b w:val="1"/>
          <w:bCs w:val="1"/>
          <w:i w:val="1"/>
          <w:iCs w:val="1"/>
          <w:color w:val="auto"/>
        </w:rPr>
        <w:t>Our Manager's management fee is based on the amount of our Equity and is payable regardless of our performance, which could result in a conflict of interest between our Manager and our stockholders with respect to the timing and terms of our equity issuances, share repurchases and the realization of gains and losses on our investment portfolio.</w:t>
      </w:r>
    </w:p>
    <w:p>
      <w:pPr>
        <w:spacing w:after="0" w:line="127" w:lineRule="exact"/>
        <w:rPr>
          <w:sz w:val="20"/>
          <w:szCs w:val="20"/>
          <w:color w:val="auto"/>
        </w:rPr>
      </w:pPr>
    </w:p>
    <w:p>
      <w:pPr>
        <w:jc w:val="both"/>
        <w:ind w:firstLine="405"/>
        <w:spacing w:after="0" w:line="272" w:lineRule="auto"/>
        <w:rPr>
          <w:sz w:val="20"/>
          <w:szCs w:val="20"/>
          <w:color w:val="auto"/>
        </w:rPr>
      </w:pPr>
      <w:r>
        <w:rPr>
          <w:rFonts w:ascii="Arial" w:cs="Arial" w:eastAsia="Arial" w:hAnsi="Arial"/>
          <w:sz w:val="17"/>
          <w:szCs w:val="17"/>
          <w:color w:val="auto"/>
        </w:rPr>
        <w:t>Our Manager is entitled to receive a monthly management fee from us that is based on the amount of our "Equity" (as defined in our management agreement), regardless of the performance of our investment portfolio. For example, we would pay our Manager a management fee for a specific period even if we experienced a net unrealized loss during the same period. The amount of the monthly management fee is equal to one-twelfth of 1.25% of our Equity and, therefore, is only increased or decreased by changes in our Equity. Increases to our Equity, and a corresponding increase to our management fee, will primarily result from equity issuances and realization of gains from our investment portfolio, whereas decreases to our Equity, and a corresponding decrease to our management fee, will primarily result from repurchases of our common stock and realization of losses on our investment portfolio, each of which could result in a conflict of interest between our Manager and our stockholders with respect to the timing</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746" w:right="239" w:bottom="1440" w:gutter="0" w:footer="0" w:header="0"/>
        </w:sectPr>
      </w:pPr>
    </w:p>
    <w:bookmarkStart w:id="28" w:name="page29"/>
    <w:bookmarkEnd w:id="28"/>
    <w:p>
      <w:pPr>
        <w:jc w:val="both"/>
        <w:spacing w:after="0" w:line="276" w:lineRule="auto"/>
        <w:rPr>
          <w:sz w:val="20"/>
          <w:szCs w:val="20"/>
          <w:color w:val="auto"/>
        </w:rPr>
      </w:pPr>
      <w:r>
        <w:rPr>
          <w:rFonts w:ascii="Arial" w:cs="Arial" w:eastAsia="Arial" w:hAnsi="Arial"/>
          <w:sz w:val="17"/>
          <w:szCs w:val="17"/>
          <w:color w:val="auto"/>
        </w:rPr>
        <w:t>and terms of our equity issuances, share repurchases and realization of gains and losses on our investment portfolio. Thus, while our stockholders bear the risk of our future equity issuances reducing the price of our common stock and diluting the value of their stock holdings in us, the compensation payable to our Manager will increase as a result of future issuances of our equity securities. Similarly, even though the value of our common stock could potentially increase if we repurchase shares at a discount to our net book value per common share, the compensation payable to our Manager would be reduced if we execute share repurchases, creating a conflict of interest. This conflict of interest could harm the market price of our common stock.</w:t>
      </w:r>
    </w:p>
    <w:p>
      <w:pPr>
        <w:spacing w:after="0" w:line="11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Manager's liability is limited under the management agreement, and we have agreed to indemnify our Manager against certain liabilities.</w:t>
      </w:r>
    </w:p>
    <w:p>
      <w:pPr>
        <w:spacing w:after="0" w:line="183"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The management agreement provides that our Manager will not assume any responsibility other than to provide the services specified in the management agreement. The agreement further provides that our Manager is not responsible for any action of our Board of Directors in following or declining to follow its advice or recommendations. In addition, our Manager and its respective affiliates, managers, officers, directors, employees and members will be held harmless from, and indemnified by us against, certain liabilities on customary terms.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results are dependent upon the efforts of our Manager.</w:t>
      </w:r>
    </w:p>
    <w:p>
      <w:pPr>
        <w:spacing w:after="0" w:line="171" w:lineRule="exact"/>
        <w:rPr>
          <w:sz w:val="20"/>
          <w:szCs w:val="20"/>
          <w:color w:val="auto"/>
        </w:rPr>
      </w:pPr>
    </w:p>
    <w:p>
      <w:pPr>
        <w:jc w:val="both"/>
        <w:ind w:firstLine="405"/>
        <w:spacing w:after="0" w:line="297" w:lineRule="auto"/>
        <w:rPr>
          <w:sz w:val="20"/>
          <w:szCs w:val="20"/>
          <w:color w:val="auto"/>
        </w:rPr>
      </w:pPr>
      <w:r>
        <w:rPr>
          <w:rFonts w:ascii="Arial" w:cs="Arial" w:eastAsia="Arial" w:hAnsi="Arial"/>
          <w:sz w:val="16"/>
          <w:szCs w:val="16"/>
          <w:color w:val="auto"/>
        </w:rPr>
        <w:t>Our Manager's success, which is largely determinative of our own success, depends on many factors, including the availability of attractive risk-adjusted investment opportunities that satisfy our targeted investment strategies and then identifying and consummating them on favorable terms, the level and volatility of interest rates, its ability to access on our behalf short-term and long-term financing on favorable terms and conditions in the financial markets, real estate market and the economy, as to which no assurances can be given. In addition, our Manager may face substantial competition for attractive investment opportunities. Our Manager may not be able to successfully cause us to make investments with attractive risk-adjusted returns.</w:t>
      </w:r>
    </w:p>
    <w:p>
      <w:pPr>
        <w:spacing w:after="0" w:line="3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Taxation as a REIT</w:t>
      </w:r>
    </w:p>
    <w:p>
      <w:pPr>
        <w:spacing w:after="0" w:line="17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If we fail to remain qualified as a REIT, we will be subject to tax as a regular corporation and could face a substantial tax liability, which would reduce the amount of cash available for distribution to our stockholders.</w:t>
      </w:r>
    </w:p>
    <w:p>
      <w:pPr>
        <w:spacing w:after="0" w:line="116" w:lineRule="exact"/>
        <w:rPr>
          <w:sz w:val="20"/>
          <w:szCs w:val="20"/>
          <w:color w:val="auto"/>
        </w:rPr>
      </w:pPr>
    </w:p>
    <w:p>
      <w:pPr>
        <w:jc w:val="both"/>
        <w:ind w:firstLine="405"/>
        <w:spacing w:after="0" w:line="286" w:lineRule="auto"/>
        <w:rPr>
          <w:sz w:val="20"/>
          <w:szCs w:val="20"/>
          <w:color w:val="auto"/>
        </w:rPr>
      </w:pPr>
      <w:r>
        <w:rPr>
          <w:rFonts w:ascii="Arial" w:cs="Arial" w:eastAsia="Arial" w:hAnsi="Arial"/>
          <w:sz w:val="16"/>
          <w:szCs w:val="16"/>
          <w:color w:val="auto"/>
        </w:rPr>
        <w:t>We operate in a manner that allows us to qualify as a REIT for federal income tax purposes. Although we do not intend to request a ruling from the IRS as to our REIT qualification, we have received an opinion of Skadden, Arps, Slate, Meagher &amp; Flom LLP with respect to our qualification as a REIT. Investors should be aware, however, that opinions of counsel are not binding on the IRS or any court. The opinion of Skadden, Arps, Slate, Meagher &amp; Flom LLP represents only the view of our counsel based on our counsel's review and analysis of existing law and on certain representations as to factual matters and covenants made by us and our Manager, including representations relating to the values of our assets and the sources of our income. The opinion is expressed as of the date issued and does not cover subsequent periods. Skadden, Arps, Slate, Meagher &amp; Flom LLP has no obligation to advise us or the holders of our common stock of any subsequent change in the matters stated, represented or assumed, or of any subsequent change in applicable law. Furthermore, both the validity of the opinion of Skadden, Arps, Slate, Meagher &amp; Flom LLP, and our qualification as a REIT depend on our satisfaction of certain asset, income, organizational, distribution, stockholder ownership and other requirements on a continuing basis, the results of which are not monitored by Skadden, Arps, Slate, Meagher &amp; Flom LLP. Our ability to satisfy the asset tests depends upon our analysis of the characterization and fair market values of our assets, some of which are not susceptible to a precise determination, and for which we will not obtain independent appraisals. Our compliance with the annual REIT income and quarterly asset requirements also depends upon our ability to successfully manage the composition of our income and assets on an ongoing basis. Moreover, the proper classification of an instrument as debt or equity for federal income tax purposes may be uncertain in some circumstances, which could affect the application of the REIT qualification requirements as described below. Accordingly, there can be no assurance that the IRS will not contend that our interests in subsidiaries or in securities of other issuers will not cause a violation of the REIT requirements.</w:t>
      </w:r>
    </w:p>
    <w:p>
      <w:pPr>
        <w:spacing w:after="0" w:line="115" w:lineRule="exact"/>
        <w:rPr>
          <w:sz w:val="20"/>
          <w:szCs w:val="20"/>
          <w:color w:val="auto"/>
        </w:rPr>
      </w:pPr>
    </w:p>
    <w:p>
      <w:pPr>
        <w:jc w:val="both"/>
        <w:ind w:firstLine="405"/>
        <w:spacing w:after="0" w:line="276" w:lineRule="auto"/>
        <w:rPr>
          <w:sz w:val="20"/>
          <w:szCs w:val="20"/>
          <w:color w:val="auto"/>
        </w:rPr>
      </w:pPr>
      <w:r>
        <w:rPr>
          <w:rFonts w:ascii="Arial" w:cs="Arial" w:eastAsia="Arial" w:hAnsi="Arial"/>
          <w:sz w:val="17"/>
          <w:szCs w:val="17"/>
          <w:color w:val="auto"/>
        </w:rPr>
        <w:t>If we were to fail to qualify as a REIT in any taxable year, we would be subject to federal income tax, including any applicable alternative minimum tax, on our taxable income at regular corporate rates, and dividends paid to our stockholders would not be deductible by us in computing our taxable income. Any resulting corporate tax liability could be substantial and would reduce the amount of cash available for distribution to our stockholders, which in turn could have an adverse impact on the value of our common stock. Unless we were entitled to relief under certain Internal Revenue Code provisions, we also would be disqualified from taxation as a REIT for the four taxable years following the year in which we failed to qualify as a REIT.</w:t>
      </w:r>
    </w:p>
    <w:p>
      <w:pPr>
        <w:spacing w:after="0" w:line="11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Distributions payable by REITs do not qualify for the reduced tax rates available for some dividends.</w:t>
      </w:r>
    </w:p>
    <w:p>
      <w:pPr>
        <w:spacing w:after="0" w:line="171"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The maximum tax rate applicable to income from "qualified dividends" payable to domestic stockholders that are individuals, trusts and estates is currently 20%. Distributions of ordinary income payable by REITs, however, generally are not eligible for the</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746" w:right="239" w:bottom="1440" w:gutter="0" w:footer="0" w:header="0"/>
        </w:sectPr>
      </w:pPr>
    </w:p>
    <w:bookmarkStart w:id="29" w:name="page30"/>
    <w:bookmarkEnd w:id="29"/>
    <w:p>
      <w:pPr>
        <w:jc w:val="both"/>
        <w:spacing w:after="0" w:line="259" w:lineRule="auto"/>
        <w:rPr>
          <w:sz w:val="20"/>
          <w:szCs w:val="20"/>
          <w:color w:val="auto"/>
        </w:rPr>
      </w:pPr>
      <w:r>
        <w:rPr>
          <w:rFonts w:ascii="Arial" w:cs="Arial" w:eastAsia="Arial" w:hAnsi="Arial"/>
          <w:sz w:val="18"/>
          <w:szCs w:val="18"/>
          <w:color w:val="auto"/>
        </w:rPr>
        <w:t>reduced rates. Although this legislation does not adversely affect the taxation of REITs or distributions payable by REITs, the more favorable rates applicable to regular corporate qualified dividends could cause investors who are individuals, trusts and estates to perceive investments in REITs to be relatively less attractive than investments in the stocks of non-REIT corporations that pay dividends, which could adversely affect the value of the stock of REITs, including our common stock.</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REIT distribution requirements could adversely affect our ability to execute our business plan.</w:t>
      </w:r>
    </w:p>
    <w:p>
      <w:pPr>
        <w:spacing w:after="0" w:line="171" w:lineRule="exact"/>
        <w:rPr>
          <w:sz w:val="20"/>
          <w:szCs w:val="20"/>
          <w:color w:val="auto"/>
        </w:rPr>
      </w:pPr>
    </w:p>
    <w:p>
      <w:pPr>
        <w:jc w:val="both"/>
        <w:ind w:firstLine="405"/>
        <w:spacing w:after="0" w:line="297" w:lineRule="auto"/>
        <w:rPr>
          <w:sz w:val="20"/>
          <w:szCs w:val="20"/>
          <w:color w:val="auto"/>
        </w:rPr>
      </w:pPr>
      <w:r>
        <w:rPr>
          <w:rFonts w:ascii="Arial" w:cs="Arial" w:eastAsia="Arial" w:hAnsi="Arial"/>
          <w:sz w:val="16"/>
          <w:szCs w:val="16"/>
          <w:color w:val="auto"/>
        </w:rPr>
        <w:t>We generally must distribute annually at least 90% of our taxable income, subject to certain adjustments and excluding any net capital gain, in order for federal corporate income tax not to apply to earnings that we distribute. To the extent that we satisfy this distribution requirement, but distribute less than 100% of our taxable income, we will be subject to federal corporate income tax on our undistributed taxable income. In addition, we will be subject to a non-deductible 4% excise tax if the actual amount distributed to our stockholders in a calendar year is less than a minimum amount specified under federal tax laws. We intend to make distributions to our stockholders to comply with the REIT qualification requirements of the Internal Revenue Code.</w:t>
      </w:r>
    </w:p>
    <w:p>
      <w:pPr>
        <w:spacing w:after="0" w:line="104" w:lineRule="exact"/>
        <w:rPr>
          <w:sz w:val="20"/>
          <w:szCs w:val="20"/>
          <w:color w:val="auto"/>
        </w:rPr>
      </w:pPr>
    </w:p>
    <w:p>
      <w:pPr>
        <w:jc w:val="both"/>
        <w:ind w:firstLine="405"/>
        <w:spacing w:after="0" w:line="270" w:lineRule="auto"/>
        <w:rPr>
          <w:sz w:val="20"/>
          <w:szCs w:val="20"/>
          <w:color w:val="auto"/>
        </w:rPr>
      </w:pPr>
      <w:r>
        <w:rPr>
          <w:rFonts w:ascii="Arial" w:cs="Arial" w:eastAsia="Arial" w:hAnsi="Arial"/>
          <w:sz w:val="17"/>
          <w:szCs w:val="17"/>
          <w:color w:val="auto"/>
        </w:rPr>
        <w:t>From time to time, we may generate taxable income greater than our income for financial reporting purposes prepared in accordance with GAAP, or differences in timing between the recognition of taxable income and the actual receipt of cash may occur. For example, if we purchase mortgage securities at a discount, we are generally required to accrete the discount into taxable income prior to receiving the cash proceeds of the accreted discount at maturity. Additionally, if we incur capital losses in excess of capital gains, such net capital losses are not allowed to reduce our taxable income for purposes of determining our distribution requirement. Such net capital losses may be carried forward for a period of up to five years and applied against future capital gains subject to the limitation of our ability to generate sufficient capital gains, which cannot be assured. If we do not have other funds available in these situations we could be required to borrow funds on unfavorable terms, sell investments at disadvantageous prices or distribute amounts that would otherwise be invested in future acquisitions to make distributions sufficient to maintain our qualification as a REIT, or avoid corporate income tax and the 4% excise tax in a particular year. These alternatives could increase our costs or reduce our stockholders' equity. Thus, compliance with the REIT requirements may hinder our ability to grow, which could adversely affect the value of our common stock.</w:t>
      </w:r>
    </w:p>
    <w:p>
      <w:pPr>
        <w:spacing w:after="0" w:line="12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may in the future choose to pay dividends in our own stock, in which case you may be required to pay income taxes in excess of the cash dividends you receive.</w:t>
      </w:r>
    </w:p>
    <w:p>
      <w:pPr>
        <w:spacing w:after="0" w:line="116" w:lineRule="exact"/>
        <w:rPr>
          <w:sz w:val="20"/>
          <w:szCs w:val="20"/>
          <w:color w:val="auto"/>
        </w:rPr>
      </w:pPr>
    </w:p>
    <w:p>
      <w:pPr>
        <w:jc w:val="both"/>
        <w:ind w:firstLine="405"/>
        <w:spacing w:after="0" w:line="271" w:lineRule="auto"/>
        <w:rPr>
          <w:sz w:val="20"/>
          <w:szCs w:val="20"/>
          <w:color w:val="auto"/>
        </w:rPr>
      </w:pPr>
      <w:r>
        <w:rPr>
          <w:rFonts w:ascii="Arial" w:cs="Arial" w:eastAsia="Arial" w:hAnsi="Arial"/>
          <w:sz w:val="17"/>
          <w:szCs w:val="17"/>
          <w:color w:val="auto"/>
        </w:rPr>
        <w:t>We may in the future distribute taxable dividends that are payable in cash and shares of our common stock at the election of each stockholder. Taxable stockholders receiving such dividends will be required to include the full amount of the dividend as ordinary income to the extent of our current and accumulated earnings and profits for U.S. federal income tax purposes. As a result, stockholders may be required to pay income taxes with respect to such dividends in excess of the cash dividends received. If a U.S. stockholder sells the stock that it receives as a dividend in order to pay this tax, the sales proceeds may be less than the amount included in income with respect to the dividend, depending on the market price of our stock at the time of the sale. Furthermore, with respect to certain non-U.S. stockholders, we may be required to withhold U.S. tax with respect to such dividends, including in respect of all or a portion of such dividend that is payable in stock. In addition, if a significant number of our stockholders determine to sell shares of our common stock in order to pay taxes owed on dividends, it may put downward pressure on the trading price of our common stock.</w:t>
      </w:r>
    </w:p>
    <w:p>
      <w:pPr>
        <w:spacing w:after="0" w:line="1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Even if we remain qualified as a REIT, we may face other tax liabilities that reduce our cash flow.</w:t>
      </w:r>
    </w:p>
    <w:p>
      <w:pPr>
        <w:spacing w:after="0" w:line="171" w:lineRule="exact"/>
        <w:rPr>
          <w:sz w:val="20"/>
          <w:szCs w:val="20"/>
          <w:color w:val="auto"/>
        </w:rPr>
      </w:pPr>
    </w:p>
    <w:p>
      <w:pPr>
        <w:jc w:val="both"/>
        <w:ind w:firstLine="405"/>
        <w:spacing w:after="0" w:line="272" w:lineRule="auto"/>
        <w:rPr>
          <w:sz w:val="20"/>
          <w:szCs w:val="20"/>
          <w:color w:val="auto"/>
        </w:rPr>
      </w:pPr>
      <w:r>
        <w:rPr>
          <w:rFonts w:ascii="Arial" w:cs="Arial" w:eastAsia="Arial" w:hAnsi="Arial"/>
          <w:sz w:val="17"/>
          <w:szCs w:val="17"/>
          <w:color w:val="auto"/>
        </w:rPr>
        <w:t>Even if we remain qualified for taxation as a REIT, we may be subject to certain federal, state and local taxes on our income and assets, including taxes on any undistributed income, tax on income from some activities conducted as a result of a foreclosure, excise taxes, state or local income, property and transfer taxes, such as mortgage recording taxes, and other taxes. In addition, in order to meet the REIT qualification requirements, prevent the recognition of certain types of non-cash income, or to avert the imposition of a 100% tax that applies to certain gains derived by a REIT from dealer property or inventory, we may hold some of our assets through our TRS or other subsidiary corporations that will be subject to corporate level income tax at regular rates. In addition, if we lend money to a TRS, the TRS may be unable to deduct all or a portion of the interest paid to us, which could result in an even higher corporate level tax liability. Any of these taxes would decrease cash available for distribution to our stockholders.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Complying with REIT requirements may cause us to forgo otherwise attractive opportunities.</w:t>
      </w:r>
    </w:p>
    <w:p>
      <w:pPr>
        <w:spacing w:after="0" w:line="171"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To remain qualified as a REIT for federal income tax purposes, we must continually satisfy tests concerning, among other things, the sources of our income, the nature and diversification of our assets, the amounts that we distribute to our stockholders and the ownership of our stock. We may be required to make distributions to stockholders at disadvantageous times or when we do not have funds readily available for distribution, and may be unable to pursue investments that would be otherwise advantageous to us in order to satisfy the source-of-income or asset-diversification requirements for qualifying as a REIT. Thus, compliance with the REIT requirements may hinder our ability to make and, in certain cases, to maintain ownership of, certain attractive investments.</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746" w:right="239" w:bottom="1440" w:gutter="0" w:footer="0" w:header="0"/>
        </w:sectPr>
      </w:pPr>
    </w:p>
    <w:bookmarkStart w:id="30" w:name="page31"/>
    <w:bookmarkEnd w:id="30"/>
    <w:p>
      <w:pPr>
        <w:spacing w:after="0"/>
        <w:rPr>
          <w:sz w:val="20"/>
          <w:szCs w:val="20"/>
          <w:color w:val="auto"/>
        </w:rPr>
      </w:pPr>
      <w:r>
        <w:rPr>
          <w:rFonts w:ascii="Arial" w:cs="Arial" w:eastAsia="Arial" w:hAnsi="Arial"/>
          <w:sz w:val="18"/>
          <w:szCs w:val="18"/>
          <w:b w:val="1"/>
          <w:bCs w:val="1"/>
          <w:i w:val="1"/>
          <w:iCs w:val="1"/>
          <w:color w:val="auto"/>
        </w:rPr>
        <w:t>Complying with REIT requirements may force us to liquidate otherwise attractive investments.</w:t>
      </w:r>
    </w:p>
    <w:p>
      <w:pPr>
        <w:spacing w:after="0" w:line="171" w:lineRule="exact"/>
        <w:rPr>
          <w:sz w:val="20"/>
          <w:szCs w:val="20"/>
          <w:color w:val="auto"/>
        </w:rPr>
      </w:pPr>
    </w:p>
    <w:p>
      <w:pPr>
        <w:jc w:val="both"/>
        <w:ind w:firstLine="405"/>
        <w:spacing w:after="0" w:line="288" w:lineRule="auto"/>
        <w:rPr>
          <w:sz w:val="20"/>
          <w:szCs w:val="20"/>
          <w:color w:val="auto"/>
        </w:rPr>
      </w:pPr>
      <w:r>
        <w:rPr>
          <w:rFonts w:ascii="Arial" w:cs="Arial" w:eastAsia="Arial" w:hAnsi="Arial"/>
          <w:sz w:val="16"/>
          <w:szCs w:val="16"/>
          <w:color w:val="auto"/>
        </w:rPr>
        <w:t>To remain qualified as a REIT, we must ensure that at the end of each calendar quarter, at least 75% of the value of our assets consists of cash, cash items, government securities and qualified real estate assets. The remainder of our investment in securities (other than government securities and qualified real estate assets) generally cannot include more than 10% of the outstanding voting securities of any one issuer or more than 10% of the total value of the outstanding securities of any one issuer. In addition, in general, no more than 5% of the value of our assets (other than government securities and qualified real estate assets) can consist of the securities of any one issuer, and, for tax years beginning on or before December 31, 2017, no more than 25% of the value of our total assets can be represented by securities of one or more TRSs. For tax years beginning after December 31, 2017, no more than 20% of the value of our total assets can be represented by securities of one or more TRSs. If we fail to comply with these requirements at the end of any calendar quarter, we must correct the failure within 30 days after the end of the calendar quarter or qualify for certain statutory relief provisions to avoid losing our REIT qualification and suffering adverse tax consequences. As a result, we may be required to liquidate from our investment portfolio otherwise attractive investments. These actions could have the effect of reducing our income and amounts available for distribution to our stockholders.</w:t>
      </w:r>
    </w:p>
    <w:p>
      <w:pPr>
        <w:spacing w:after="0" w:line="11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The failure of assets subject to repurchase agreements to qualify as real estate assets could adversely affect our ability to remain qualified as a REIT.</w:t>
      </w:r>
    </w:p>
    <w:p>
      <w:pPr>
        <w:spacing w:after="0" w:line="194" w:lineRule="exact"/>
        <w:rPr>
          <w:sz w:val="20"/>
          <w:szCs w:val="20"/>
          <w:color w:val="auto"/>
        </w:rPr>
      </w:pPr>
    </w:p>
    <w:p>
      <w:pPr>
        <w:jc w:val="both"/>
        <w:ind w:firstLine="405"/>
        <w:spacing w:after="0" w:line="273" w:lineRule="auto"/>
        <w:rPr>
          <w:sz w:val="20"/>
          <w:szCs w:val="20"/>
          <w:color w:val="auto"/>
        </w:rPr>
      </w:pPr>
      <w:r>
        <w:rPr>
          <w:rFonts w:ascii="Arial" w:cs="Arial" w:eastAsia="Arial" w:hAnsi="Arial"/>
          <w:sz w:val="17"/>
          <w:szCs w:val="17"/>
          <w:color w:val="auto"/>
        </w:rPr>
        <w:t>We enter into certain financing arrangements that are structured as sale and repurchase agreements pursuant to which we nominally sell certain of our assets to a counterparty and simultaneously enter into an agreement to repurchase these assets at a later date in exchange for a purchase price. Economically, these agreements are financings that are secured by the assets sold pursuant thereto. We believe that we would be treated for REIT asset and income test purposes as the owner of the assets that are the subject of any such sale and repurchase agreement notwithstanding that such agreement may transfer record ownership of the assets to the counterparty during the term of the agreement. It is possible, however, that the IRS could assert that we did not own the assets during the term of the sale and repurchase agreement, in which case we could fail to remain qualified as a REIT.</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Distributions to tax-exempt investors may be classified as unrelated business taxable income.</w:t>
      </w:r>
    </w:p>
    <w:p>
      <w:pPr>
        <w:spacing w:after="0" w:line="171" w:lineRule="exact"/>
        <w:rPr>
          <w:sz w:val="20"/>
          <w:szCs w:val="20"/>
          <w:color w:val="auto"/>
        </w:rPr>
      </w:pPr>
    </w:p>
    <w:p>
      <w:pPr>
        <w:jc w:val="both"/>
        <w:ind w:right="20" w:firstLine="405"/>
        <w:spacing w:after="0" w:line="277" w:lineRule="auto"/>
        <w:rPr>
          <w:sz w:val="20"/>
          <w:szCs w:val="20"/>
          <w:color w:val="auto"/>
        </w:rPr>
      </w:pPr>
      <w:r>
        <w:rPr>
          <w:rFonts w:ascii="Arial" w:cs="Arial" w:eastAsia="Arial" w:hAnsi="Arial"/>
          <w:sz w:val="18"/>
          <w:szCs w:val="18"/>
          <w:color w:val="auto"/>
        </w:rPr>
        <w:t>Neither ordinary nor capital gain distributions with respect to our common stock nor gain from the sale of common stock should generally constitute unrelated business taxable income to a tax-exempt investor. However, there are certain exceptions to this rule. In particular:</w:t>
      </w:r>
    </w:p>
    <w:p>
      <w:pPr>
        <w:spacing w:after="0" w:line="116" w:lineRule="exact"/>
        <w:rPr>
          <w:sz w:val="20"/>
          <w:szCs w:val="20"/>
          <w:color w:val="auto"/>
        </w:rPr>
      </w:pPr>
    </w:p>
    <w:p>
      <w:pPr>
        <w:jc w:val="both"/>
        <w:ind w:left="980" w:hanging="324"/>
        <w:spacing w:after="0" w:line="254" w:lineRule="auto"/>
        <w:tabs>
          <w:tab w:leader="none" w:pos="9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part of the income and gain recognized by certain qualified employee pension trusts with respect to our common stock may be treated as unrelated business taxable income if shares of our common stock are predominantly held by qualified employee pension trusts, and we are required to rely on a special look-through rule for purposes of meeting one of the REIT ownership tests, and we are not operated in a manner to avoid treatment of such income or gain as unrelated business taxable income;</w:t>
      </w:r>
    </w:p>
    <w:p>
      <w:pPr>
        <w:spacing w:after="0" w:line="2" w:lineRule="exact"/>
        <w:rPr>
          <w:rFonts w:ascii="Arial" w:cs="Arial" w:eastAsia="Arial" w:hAnsi="Arial"/>
          <w:sz w:val="18"/>
          <w:szCs w:val="18"/>
          <w:color w:val="auto"/>
        </w:rPr>
      </w:pPr>
    </w:p>
    <w:p>
      <w:pPr>
        <w:ind w:left="980" w:hanging="324"/>
        <w:spacing w:after="0" w:line="250" w:lineRule="auto"/>
        <w:tabs>
          <w:tab w:leader="none" w:pos="9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part of the income and gain recognized by a tax-exempt investor with respect to our common stock would constitute unrelated business taxable income if the investor incurs debt in order to acquire the common stock;</w:t>
      </w:r>
    </w:p>
    <w:p>
      <w:pPr>
        <w:jc w:val="both"/>
        <w:ind w:left="980" w:hanging="324"/>
        <w:spacing w:after="0" w:line="250" w:lineRule="auto"/>
        <w:tabs>
          <w:tab w:leader="none" w:pos="9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part or all of the income or gain recognized with respect to our common stock by social clubs, voluntary employee benefit associations, supplemental unemployment benefit trusts and qualified group legal services plans which are exempt from federal income taxation under the Internal Revenue Code may be treated as unrelated business taxable income; and</w:t>
      </w:r>
    </w:p>
    <w:p>
      <w:pPr>
        <w:spacing w:after="0" w:line="1" w:lineRule="exact"/>
        <w:rPr>
          <w:rFonts w:ascii="Arial" w:cs="Arial" w:eastAsia="Arial" w:hAnsi="Arial"/>
          <w:sz w:val="18"/>
          <w:szCs w:val="18"/>
          <w:color w:val="auto"/>
        </w:rPr>
      </w:pPr>
    </w:p>
    <w:p>
      <w:pPr>
        <w:jc w:val="both"/>
        <w:ind w:left="980" w:hanging="324"/>
        <w:spacing w:after="0" w:line="255" w:lineRule="auto"/>
        <w:tabs>
          <w:tab w:leader="none" w:pos="9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to the extent that we are (or a part of us, or a disregarded subsidiary of ours, is) a "taxable mortgage pool," or if we hold residual interests in a REMIC, a portion of the distributions paid to a tax-exempt stockholder that is allocable to excess inclusion income may be treated as unrelated business taxable income.</w:t>
      </w:r>
    </w:p>
    <w:p>
      <w:pPr>
        <w:spacing w:after="0" w:line="13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Liquidation of assets may jeopardize our REIT qualification or create additional tax liability for us.</w:t>
      </w:r>
    </w:p>
    <w:p>
      <w:pPr>
        <w:spacing w:after="0" w:line="171" w:lineRule="exact"/>
        <w:rPr>
          <w:sz w:val="20"/>
          <w:szCs w:val="20"/>
          <w:color w:val="auto"/>
        </w:rPr>
      </w:pPr>
    </w:p>
    <w:p>
      <w:pPr>
        <w:jc w:val="both"/>
        <w:ind w:firstLine="405"/>
        <w:spacing w:after="0" w:line="286" w:lineRule="auto"/>
        <w:rPr>
          <w:sz w:val="20"/>
          <w:szCs w:val="20"/>
          <w:color w:val="auto"/>
        </w:rPr>
      </w:pPr>
      <w:r>
        <w:rPr>
          <w:rFonts w:ascii="Arial" w:cs="Arial" w:eastAsia="Arial" w:hAnsi="Arial"/>
          <w:sz w:val="17"/>
          <w:szCs w:val="17"/>
          <w:color w:val="auto"/>
        </w:rPr>
        <w:t>To remain qualified as a REIT, we must comply with requirements regarding the composition of our assets and our sources of income. If we are compelled to liquidate our investments to repay obligations to our lenders, we may be unable to comply with these requirements, ultimately jeopardizing our qualification as a REIT, or we may be subject to a 100% tax on any resultant gain if we sell assets that are treated as dealer property or inventory.</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Complying with REIT requirements may limit our ability to hedge effectively and may cause us to incur tax liabilities.</w:t>
      </w:r>
    </w:p>
    <w:p>
      <w:pPr>
        <w:spacing w:after="0" w:line="171"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The REIT provisions of the Internal Revenue Code could substantially limit our ability to hedge our liabilities. Any income from a properly designated hedging transaction we enter into to manage risk of interest rate changes with respect to borrowings made or to be made, or ordinary obligations incurred or to be incurred, to acquire or carry real estate assets generally does not constitute "gross income" for purposes of the 75% or 95% gross income tests. To the extent that we enter into other types of hedging transactions, the income from those transactions is likely to be treated as non-qualifying income for purposes of both of</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746" w:right="239" w:bottom="1440" w:gutter="0" w:footer="0" w:header="0"/>
        </w:sectPr>
      </w:pPr>
    </w:p>
    <w:bookmarkStart w:id="31" w:name="page32"/>
    <w:bookmarkEnd w:id="31"/>
    <w:p>
      <w:pPr>
        <w:jc w:val="both"/>
        <w:spacing w:after="0" w:line="259" w:lineRule="auto"/>
        <w:rPr>
          <w:sz w:val="20"/>
          <w:szCs w:val="20"/>
          <w:color w:val="auto"/>
        </w:rPr>
      </w:pPr>
      <w:r>
        <w:rPr>
          <w:rFonts w:ascii="Arial" w:cs="Arial" w:eastAsia="Arial" w:hAnsi="Arial"/>
          <w:sz w:val="18"/>
          <w:szCs w:val="18"/>
          <w:color w:val="auto"/>
        </w:rPr>
        <w:t>the gross income tests. As a result of these rules, we may have to limit our use of advantageous hedging techniques or implement those hedges through our TRS. This could increase the cost of our hedging activities because our TRS would be subject to tax on gains or expose us to greater risks associated with changes in interest rates than we would otherwise want to bear. In addition, losses in our TRS will generally not provide any tax benefit, except for being carried forward against future taxable income in the TRS.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Uncertainty exists with respect to the treatment of our TBAs for purposes of the REIT asset and income tests.</w:t>
      </w:r>
    </w:p>
    <w:p>
      <w:pPr>
        <w:spacing w:after="0" w:line="171" w:lineRule="exact"/>
        <w:rPr>
          <w:sz w:val="20"/>
          <w:szCs w:val="20"/>
          <w:color w:val="auto"/>
        </w:rPr>
      </w:pPr>
    </w:p>
    <w:p>
      <w:pPr>
        <w:jc w:val="both"/>
        <w:ind w:firstLine="405"/>
        <w:spacing w:after="0" w:line="286" w:lineRule="auto"/>
        <w:rPr>
          <w:sz w:val="20"/>
          <w:szCs w:val="20"/>
          <w:color w:val="auto"/>
        </w:rPr>
      </w:pPr>
      <w:r>
        <w:rPr>
          <w:rFonts w:ascii="Arial" w:cs="Arial" w:eastAsia="Arial" w:hAnsi="Arial"/>
          <w:sz w:val="16"/>
          <w:szCs w:val="16"/>
          <w:color w:val="auto"/>
        </w:rPr>
        <w:t>We purchase and sell agency mortgage-backed securities through TBAs and recognize income or gains from the disposition of those TBAs, through dollar roll transactions or otherwise, and may continue to do so in the future. While there is no direct authority with respect to the qualification of TBAs as real estate assets or U.S. Government securities for purposes of the 75% asset test or the qualification of income or gains from dispositions of TBAs as gains from the sale of real property (including interests in real property and interests in mortgages on real property) or other qualifying income for purposes of the 75% gross income test, we treat our TBAs as qualifying assets for purposes of the REIT 75% asset test, and we treat income and gains from our TBAs as qualifying income for purposes of the 75% gross income test, based on an opinion of Skadden, Arps, Slate, Meagher &amp; Flom LLP substantially to the effect that (i) for purposes of the REIT asset tests, our ownership of a TBA should be treated as ownership of the underlying agency securities, and (ii) for purposes of the 75% REIT gross income test, any gain recognized by us in connection with the settlement of our TBAs should be treated as gain from the sale or disposition of the underlying agency securities. Opinions of counsel are not binding on the IRS, and no assurance can be given that the IRS will not successfully challenge the conclusions set forth in such opinions. In addition, it must be emphasized that the opinion of Skadden, Arps, Slate, Meagher &amp; Flom LLP is based on various assumptions relating to our TBAs and is conditioned upon fact-based representations and covenants made by our management regarding our TBAs. No assurance can be given that the IRS would not assert that such assets or income are not qualifying assets or income. If the IRS were to successfully challenge the opinion of Skadden, Arps, Slate, Meagher &amp; Flom LLP, we could be subject to a penalty tax or we could fail to remain qualified as a REIT if a sufficient portion of our assets consists of TBAs or a sufficient portion of our income consists of income or gains from the disposition of TBAs.</w:t>
      </w:r>
    </w:p>
    <w:p>
      <w:pPr>
        <w:spacing w:after="0" w:line="11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Qualifying as a REIT involves highly technical and complex provisions of the Internal Revenue Code.</w:t>
      </w:r>
    </w:p>
    <w:p>
      <w:pPr>
        <w:spacing w:after="0" w:line="171" w:lineRule="exact"/>
        <w:rPr>
          <w:sz w:val="20"/>
          <w:szCs w:val="20"/>
          <w:color w:val="auto"/>
        </w:rPr>
      </w:pPr>
    </w:p>
    <w:p>
      <w:pPr>
        <w:jc w:val="both"/>
        <w:ind w:firstLine="405"/>
        <w:spacing w:after="0" w:line="297" w:lineRule="auto"/>
        <w:rPr>
          <w:sz w:val="20"/>
          <w:szCs w:val="20"/>
          <w:color w:val="auto"/>
        </w:rPr>
      </w:pPr>
      <w:r>
        <w:rPr>
          <w:rFonts w:ascii="Arial" w:cs="Arial" w:eastAsia="Arial" w:hAnsi="Arial"/>
          <w:sz w:val="16"/>
          <w:szCs w:val="16"/>
          <w:color w:val="auto"/>
        </w:rPr>
        <w:t>Qualification as a REIT involves the application of highly technical and complex Internal Revenue Code provisions for which only limited judicial and administrative authorities exist. Even a technical or inadvertent violation could jeopardize our REIT qualification. Our qualification as a REIT depends on our satisfaction of certain asset, income, organizational, distribution, stockholder ownership and other requirements on a continuing basis. In addition, our ability to satisfy the requirements to remain qualified as a REIT depends in part on the actions of third parties over which we have no control or only limited influence, including in cases where we own an equity interest in an entity that is classified as a partnership for federal income tax purposes.</w:t>
      </w:r>
    </w:p>
    <w:p>
      <w:pPr>
        <w:spacing w:after="0" w:line="10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The tax on prohibited transactions will limit our ability to engage in transactions, including certain methods of structuring CMOs, which would be treated as prohibited transactions for federal income tax purposes.</w:t>
      </w:r>
    </w:p>
    <w:p>
      <w:pPr>
        <w:spacing w:after="0" w:line="116" w:lineRule="exact"/>
        <w:rPr>
          <w:sz w:val="20"/>
          <w:szCs w:val="20"/>
          <w:color w:val="auto"/>
        </w:rPr>
      </w:pPr>
    </w:p>
    <w:p>
      <w:pPr>
        <w:jc w:val="both"/>
        <w:ind w:firstLine="405"/>
        <w:spacing w:after="0" w:line="302" w:lineRule="auto"/>
        <w:rPr>
          <w:sz w:val="20"/>
          <w:szCs w:val="20"/>
          <w:color w:val="auto"/>
        </w:rPr>
      </w:pPr>
      <w:r>
        <w:rPr>
          <w:rFonts w:ascii="Arial" w:cs="Arial" w:eastAsia="Arial" w:hAnsi="Arial"/>
          <w:sz w:val="16"/>
          <w:szCs w:val="16"/>
          <w:color w:val="auto"/>
        </w:rPr>
        <w:t>Net income that we derive from a prohibited transaction is subject to a 100% tax. The term "prohibited transaction" generally includes a sale or other disposition of property (including agency securities, but other than foreclosure property, as discussed below) that is held primarily for sale to customers in the ordinary course of a trade or business by us or by a borrower that has issued a shared appreciation mortgage or similar debt instrument to us. We could be subject to this tax if we were to dispose of or structure CMOs in a manner that was treated as a prohibited transaction for federal income tax purposes.</w:t>
      </w:r>
    </w:p>
    <w:p>
      <w:pPr>
        <w:spacing w:after="0" w:line="100" w:lineRule="exact"/>
        <w:rPr>
          <w:sz w:val="20"/>
          <w:szCs w:val="20"/>
          <w:color w:val="auto"/>
        </w:rPr>
      </w:pPr>
    </w:p>
    <w:p>
      <w:pPr>
        <w:jc w:val="both"/>
        <w:ind w:firstLine="405"/>
        <w:spacing w:after="0" w:line="290" w:lineRule="auto"/>
        <w:rPr>
          <w:sz w:val="20"/>
          <w:szCs w:val="20"/>
          <w:color w:val="auto"/>
        </w:rPr>
      </w:pPr>
      <w:r>
        <w:rPr>
          <w:rFonts w:ascii="Arial" w:cs="Arial" w:eastAsia="Arial" w:hAnsi="Arial"/>
          <w:sz w:val="16"/>
          <w:szCs w:val="16"/>
          <w:color w:val="auto"/>
        </w:rPr>
        <w:t>We intend to conduct our operations at the REIT level so that no asset that we own (or are treated as owning) will be treated as, or as having been, held for sale to customers, and that a sale of any such asset will not be treated as having been in the ordinary course of our business. As a result, we may choose not to engage in certain transactions at the REIT level, and may limit the structures we utilize for our CMO transactions, even though the sales or structures might otherwise be beneficial to us. In addition, whether property is held "primarily for sale to customers in the ordinary course of a trade or business" depends on the particular facts and circumstances. No assurance can be given that any property that we sell will not be treated as property held for sale to customers, or that we can comply with certain safe-harbor provisions of the Internal Revenue Code that would prevent such treatment. The 100% tax does not apply to gains from the sale of property that is held through a TRS or other taxable corporation, although such income will be subject to tax in the hands of the corporation at regular corporate rates. We intend to structure our activities to avoid prohibited transaction characterization.</w:t>
      </w:r>
    </w:p>
    <w:p>
      <w:pPr>
        <w:spacing w:after="0" w:line="11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New legislation or administrative or judicial action, in each instance potentially with retroactive effect, could make it more difficult or impossible for us to remain qualified as a REIT.</w:t>
      </w:r>
    </w:p>
    <w:p>
      <w:pPr>
        <w:spacing w:after="0" w:line="116"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The present federal income tax treatment of REITs may be modified, possibly with retroactive effect, by legislative, judicial or administrative action at any time, which could affect the federal income tax treatment of an investment in us. The federal income tax rules dealing with REITs constantly are under review by persons involved in the legislative process, the IRS and the U.S.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746" w:right="239" w:bottom="1440" w:gutter="0" w:footer="0" w:header="0"/>
        </w:sectPr>
      </w:pPr>
    </w:p>
    <w:bookmarkStart w:id="32" w:name="page33"/>
    <w:bookmarkEnd w:id="32"/>
    <w:p>
      <w:pPr>
        <w:jc w:val="both"/>
        <w:ind w:right="20"/>
        <w:spacing w:after="0" w:line="342" w:lineRule="auto"/>
        <w:rPr>
          <w:sz w:val="20"/>
          <w:szCs w:val="20"/>
          <w:color w:val="auto"/>
        </w:rPr>
      </w:pPr>
      <w:r>
        <w:rPr>
          <w:rFonts w:ascii="Arial" w:cs="Arial" w:eastAsia="Arial" w:hAnsi="Arial"/>
          <w:sz w:val="16"/>
          <w:szCs w:val="16"/>
          <w:color w:val="auto"/>
        </w:rPr>
        <w:t>Treasury Department, which results in statutory changes as well as frequent revisions to regulations and interpretations. Revisions in federal tax laws and interpretations thereof could affect or cause us to change our investments and commitments and affect the tax considerations of an investment in us.</w:t>
      </w:r>
    </w:p>
    <w:p>
      <w:pPr>
        <w:spacing w:after="0" w:line="3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 Structure</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Loss of our exemption from regulation pursuant to the Investment Company Act would adversely affect us.</w:t>
      </w:r>
    </w:p>
    <w:p>
      <w:pPr>
        <w:spacing w:after="0" w:line="171"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We conduct our business so as not to become regulated as an investment company under the Investment Company Act in reliance on the exemption provided by Section 3(c)(5)(C) of the Investment Company Act. Section 3(c)(5)(C), as interpreted by the staff of the SEC, requires that: (i) at least 55% of our investment portfolio consist of "mortgages and other liens on and interest in real estate," or "qualifying real estate interests," and (ii) at least 80% of our investment portfolio consist of qualifying real estate interests plus "real estate-related assets."</w:t>
      </w:r>
    </w:p>
    <w:p>
      <w:pPr>
        <w:spacing w:after="0" w:line="133" w:lineRule="exact"/>
        <w:rPr>
          <w:sz w:val="20"/>
          <w:szCs w:val="20"/>
          <w:color w:val="auto"/>
        </w:rPr>
      </w:pPr>
    </w:p>
    <w:p>
      <w:pPr>
        <w:jc w:val="both"/>
        <w:ind w:firstLine="405"/>
        <w:spacing w:after="0" w:line="270" w:lineRule="auto"/>
        <w:rPr>
          <w:sz w:val="20"/>
          <w:szCs w:val="20"/>
          <w:color w:val="auto"/>
        </w:rPr>
      </w:pPr>
      <w:r>
        <w:rPr>
          <w:rFonts w:ascii="Arial" w:cs="Arial" w:eastAsia="Arial" w:hAnsi="Arial"/>
          <w:sz w:val="17"/>
          <w:szCs w:val="17"/>
          <w:color w:val="auto"/>
        </w:rPr>
        <w:t>In satisfying this 55% requirement, based on pronouncements of the SEC staff, we treat agency mortgage-backed securities issued with respect to an underlying pool of mortgage loans in which we hold all of the certificates issued by a pool, or a "whole pool," as qualifying real estate interests. However, the real estate related assets that we acquire are limited by the provisions of the Investment Company Act and the rules and regulations promulgated thereunder. If the SEC determines that any of these securities are not qualifying interests in real estate or real estate-related assets, adopts a contrary interpretation with respect to these securities or otherwise believes we do not satisfy the above exceptions or changes its interpretation of the above exceptions, we could be required to restructure our activities or sell certain of our assets. We may be required at times to adopt less efficient methods of financing certain of our mortgage related investments and we may be precluded from acquiring certain types of higher yielding securities. The net effect of these factors would be to lower our net interest income. If we fail to qualify for an exemption from registration as an investment company or an exclusion from the definition of an investment company, our ability to use leverage would be substantially reduced. Our business will be materially and adversely affected if we fail to qualify for this exemption from regulation pursuant to the Investment Company Act.</w:t>
      </w:r>
    </w:p>
    <w:p>
      <w:pPr>
        <w:spacing w:after="0" w:line="3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Common Stock</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market price and trading volume of our common stock may be volatile.</w:t>
      </w:r>
    </w:p>
    <w:p>
      <w:pPr>
        <w:spacing w:after="0" w:line="171"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The market price of our common stock may be highly volatile and be subject to wide fluctuations. In addition, the trading volume in our common stock may fluctuate and cause significant price variations to occur. The stock market has experienced extreme price and volume fluctuations that have affected the market price of many companies in industries similar or related to ours and that have been unrelated to these companies' operating performances. If the market price of our common stock declines significantly, you may be unable to resell your shares at a gain. Further, fluctuations in the trading price of our common stock may adversely affect the liquidity of the trading market for our common stock and, in the event that we seek to raise capital through future equity financings, our ability to raise such equity capital.</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Some of the factors that could negatively affect our share price or result in fluctuations in the price or trading volume of our common stock include:</w:t>
      </w:r>
    </w:p>
    <w:p>
      <w:pPr>
        <w:spacing w:after="0" w:line="183" w:lineRule="exact"/>
        <w:rPr>
          <w:sz w:val="20"/>
          <w:szCs w:val="20"/>
          <w:color w:val="auto"/>
        </w:rPr>
      </w:pPr>
    </w:p>
    <w:p>
      <w:pPr>
        <w:ind w:left="980" w:hanging="324"/>
        <w:spacing w:after="0"/>
        <w:tabs>
          <w:tab w:leader="none" w:pos="9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actual or anticipated variations in our quarterly operating results or distributions;</w:t>
      </w:r>
    </w:p>
    <w:p>
      <w:pPr>
        <w:spacing w:after="0" w:line="23" w:lineRule="exact"/>
        <w:rPr>
          <w:rFonts w:ascii="Arial" w:cs="Arial" w:eastAsia="Arial" w:hAnsi="Arial"/>
          <w:sz w:val="18"/>
          <w:szCs w:val="18"/>
          <w:color w:val="auto"/>
        </w:rPr>
      </w:pPr>
    </w:p>
    <w:p>
      <w:pPr>
        <w:ind w:left="980" w:hanging="324"/>
        <w:spacing w:after="0"/>
        <w:tabs>
          <w:tab w:leader="none" w:pos="9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changes in our earnings estimates or publication of research reports about us or the real estate or specialty finance industry;</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increases in market interest rates that lead purchasers of our shares of common stock to demand a higher yield;</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changes in market valuations of similar companies;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adverse market reaction to any increased indebtedness we incur in the future;</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issuance of additional equity securities;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our repurchases of shares of our common stock;</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actions by institutional stockholders;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additions or departures of key management personnel, or changes in our relationship with our Manager or American Capital;</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speculation in the press or investment community;</w:t>
      </w:r>
    </w:p>
    <w:p>
      <w:pPr>
        <w:spacing w:after="0" w:line="9" w:lineRule="exact"/>
        <w:rPr>
          <w:rFonts w:ascii="Arial" w:cs="Arial" w:eastAsia="Arial" w:hAnsi="Arial"/>
          <w:sz w:val="18"/>
          <w:szCs w:val="18"/>
          <w:color w:val="auto"/>
        </w:rPr>
      </w:pPr>
    </w:p>
    <w:p>
      <w:pPr>
        <w:ind w:left="980" w:hanging="324"/>
        <w:spacing w:after="0" w:line="250" w:lineRule="auto"/>
        <w:tabs>
          <w:tab w:leader="none" w:pos="9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price and volume fluctuations in the stock market from time to time, which are often unrelated to the operating performance of particular companies;</w:t>
      </w:r>
    </w:p>
    <w:p>
      <w:pPr>
        <w:ind w:left="980" w:hanging="324"/>
        <w:spacing w:after="0" w:line="261" w:lineRule="auto"/>
        <w:tabs>
          <w:tab w:leader="none" w:pos="9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changes in regulatory policies, tax laws and financial accounting and reporting standards, particularly with respect to REITs, or applicable exemptions from the Investment Company Act of 1940, as amended;</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746" w:right="239" w:bottom="1440" w:gutter="0" w:footer="0" w:header="0"/>
        </w:sectPr>
      </w:pPr>
    </w:p>
    <w:bookmarkStart w:id="33" w:name="page34"/>
    <w:bookmarkEnd w:id="33"/>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actual or anticipated changes in our dividend policy and earnings or variations in operating results;</w:t>
      </w:r>
    </w:p>
    <w:p>
      <w:pPr>
        <w:spacing w:after="0" w:line="23" w:lineRule="exact"/>
        <w:rPr>
          <w:rFonts w:ascii="Arial" w:cs="Arial" w:eastAsia="Arial" w:hAnsi="Arial"/>
          <w:sz w:val="18"/>
          <w:szCs w:val="18"/>
          <w:color w:val="auto"/>
        </w:rPr>
      </w:pPr>
    </w:p>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any shortfall in revenue or net income or any increase in losses from levels expected by securities analysts;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decreases in our net asset value per share;</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loss of major repurchase agreement providers; and</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general market and economic conditions.</w:t>
      </w:r>
    </w:p>
    <w:p>
      <w:pPr>
        <w:spacing w:after="0" w:line="211" w:lineRule="exact"/>
        <w:rPr>
          <w:sz w:val="20"/>
          <w:szCs w:val="20"/>
          <w:color w:val="auto"/>
        </w:rPr>
      </w:pPr>
    </w:p>
    <w:p>
      <w:pPr>
        <w:jc w:val="both"/>
        <w:ind w:right="20" w:firstLine="405"/>
        <w:spacing w:after="0" w:line="277" w:lineRule="auto"/>
        <w:rPr>
          <w:sz w:val="20"/>
          <w:szCs w:val="20"/>
          <w:color w:val="auto"/>
        </w:rPr>
      </w:pPr>
      <w:r>
        <w:rPr>
          <w:rFonts w:ascii="Arial" w:cs="Arial" w:eastAsia="Arial" w:hAnsi="Arial"/>
          <w:sz w:val="18"/>
          <w:szCs w:val="18"/>
          <w:color w:val="auto"/>
        </w:rPr>
        <w:t>In addition, the price of our common stock may be below our reported net book value per common share. We cannot assure you that the market price of our common stock will not fluctuate or decline significantly in the future.</w:t>
      </w:r>
    </w:p>
    <w:p>
      <w:pPr>
        <w:spacing w:after="0" w:line="116" w:lineRule="exact"/>
        <w:rPr>
          <w:sz w:val="20"/>
          <w:szCs w:val="20"/>
          <w:color w:val="auto"/>
        </w:rPr>
      </w:pPr>
    </w:p>
    <w:p>
      <w:pPr>
        <w:jc w:val="both"/>
        <w:spacing w:after="0" w:line="264" w:lineRule="auto"/>
        <w:rPr>
          <w:sz w:val="20"/>
          <w:szCs w:val="20"/>
          <w:color w:val="auto"/>
        </w:rPr>
      </w:pPr>
      <w:r>
        <w:rPr>
          <w:rFonts w:ascii="Arial" w:cs="Arial" w:eastAsia="Arial" w:hAnsi="Arial"/>
          <w:sz w:val="18"/>
          <w:szCs w:val="18"/>
          <w:b w:val="1"/>
          <w:bCs w:val="1"/>
          <w:i w:val="1"/>
          <w:iCs w:val="1"/>
          <w:color w:val="auto"/>
        </w:rPr>
        <w:t>Future offerings of debt securities, which would rank senior to our preferred and common stock upon our liquidation, and future offerings of equity securities, which would dilute our existing stockholders and may be senior to our common stock for the purposes of dividend and liquidating distributions, may adversely affect the market price of our common stock.</w:t>
      </w:r>
    </w:p>
    <w:p>
      <w:pPr>
        <w:spacing w:after="0" w:line="127" w:lineRule="exact"/>
        <w:rPr>
          <w:sz w:val="20"/>
          <w:szCs w:val="20"/>
          <w:color w:val="auto"/>
        </w:rPr>
      </w:pPr>
    </w:p>
    <w:p>
      <w:pPr>
        <w:jc w:val="both"/>
        <w:ind w:firstLine="405"/>
        <w:spacing w:after="0" w:line="271" w:lineRule="auto"/>
        <w:rPr>
          <w:sz w:val="20"/>
          <w:szCs w:val="20"/>
          <w:color w:val="auto"/>
        </w:rPr>
      </w:pPr>
      <w:r>
        <w:rPr>
          <w:rFonts w:ascii="Arial" w:cs="Arial" w:eastAsia="Arial" w:hAnsi="Arial"/>
          <w:sz w:val="17"/>
          <w:szCs w:val="17"/>
          <w:color w:val="auto"/>
        </w:rPr>
        <w:t>In the future, we may raise capital through the issuance of debt or equity securities. Upon liquidation, holders of our debt securities, if any, preferred stock and lenders with respect to other borrowings will be entitled to our available assets prior to the holders of our common stock. Additional equity offerings may dilute the holdings of our existing stockholders or reduce the market price of our common stock, or both. Our preferred stock has a preference on liquidating distributions and a preference on dividend payments that could limit our ability to pay dividends to the holders of our common stock. Sales of substantial amounts of our common stock, or the perception that these sales could occur, could have a material adverse effect on the price of our common stock. Because our decision to issue debt or equity securities in any future offering will depend on market conditions and other factors beyond our control, we cannot predict or estimate the amount, timing or nature of our future offerings. Thus holders of our common stock bear the risk of our future offerings reducing the market price of our common stock and diluting the value of their stock holdings in us.</w:t>
      </w:r>
    </w:p>
    <w:p>
      <w:pPr>
        <w:spacing w:after="0" w:line="1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Future sales of shares of our common stock may depress the price of our shares.</w:t>
      </w:r>
    </w:p>
    <w:p>
      <w:pPr>
        <w:spacing w:after="0" w:line="171"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We cannot predict the effect, if any, of future sales of our common stock or the availability of shares for future sales on the market price of our common stock. Any sales of a substantial number of our shares in the public market, or the perception that sales might occur, may cause the market price of our shares to decline.</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not established a minimum dividend payment level and we cannot assure you of our ability to pay dividends in the future.</w:t>
      </w:r>
    </w:p>
    <w:p>
      <w:pPr>
        <w:spacing w:after="0" w:line="171" w:lineRule="exact"/>
        <w:rPr>
          <w:sz w:val="20"/>
          <w:szCs w:val="20"/>
          <w:color w:val="auto"/>
        </w:rPr>
      </w:pPr>
    </w:p>
    <w:p>
      <w:pPr>
        <w:jc w:val="both"/>
        <w:ind w:firstLine="405"/>
        <w:spacing w:after="0" w:line="290" w:lineRule="auto"/>
        <w:rPr>
          <w:sz w:val="20"/>
          <w:szCs w:val="20"/>
          <w:color w:val="auto"/>
        </w:rPr>
      </w:pPr>
      <w:r>
        <w:rPr>
          <w:rFonts w:ascii="Arial" w:cs="Arial" w:eastAsia="Arial" w:hAnsi="Arial"/>
          <w:sz w:val="16"/>
          <w:szCs w:val="16"/>
          <w:color w:val="auto"/>
        </w:rPr>
        <w:t>We intend to pay monthly dividends to our common stockholders and to distribute all or substantially all of our taxable income within the limits prescribed by the Internal Revenue Code. However, we have not established a minimum dividend payment level and the amount of our dividend will fluctuate. Our ability to pay dividends may be adversely affected by the risk factors described herein. All distributions will be made at the discretion of our Board of Directors and will depend on our earnings, our financial condition, the requirements for REIT qualification and such other factors as our Board of Directors may deem relevant from time to time. We may not be able to make distributions in the future or our Board of Directors may change our dividend policy in the future. In addition, some of our distributions may include a return of capital. To the extent that we decide to pay dividends in excess of our current and accumulated tax earnings and profits, such distributions would generally be considered a return of capital for federal income tax purposes. A return of capital reduces the basis of a stockholder's investment in our common stock to the extent of such basis and is treated as capital gain thereafter.</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 increase in market interest rates may cause a material decrease in the market price of our common stock.</w:t>
      </w:r>
    </w:p>
    <w:p>
      <w:pPr>
        <w:spacing w:after="0" w:line="171" w:lineRule="exact"/>
        <w:rPr>
          <w:sz w:val="20"/>
          <w:szCs w:val="20"/>
          <w:color w:val="auto"/>
        </w:rPr>
      </w:pPr>
    </w:p>
    <w:p>
      <w:pPr>
        <w:jc w:val="both"/>
        <w:ind w:firstLine="405"/>
        <w:spacing w:after="0" w:line="291" w:lineRule="auto"/>
        <w:rPr>
          <w:sz w:val="20"/>
          <w:szCs w:val="20"/>
          <w:color w:val="auto"/>
        </w:rPr>
      </w:pPr>
      <w:r>
        <w:rPr>
          <w:rFonts w:ascii="Arial" w:cs="Arial" w:eastAsia="Arial" w:hAnsi="Arial"/>
          <w:sz w:val="16"/>
          <w:szCs w:val="16"/>
          <w:color w:val="auto"/>
        </w:rPr>
        <w:t>One of the factors that investors may consider in deciding whether to buy or sell shares of our common stock is our distribution rate as a percentage of our share price relative to market interest rates. If the market price of our common stock is based primarily on the earnings and return that we derive from our investments and income with respect to our investments and our related distributions to stockholders, and not from the market value of the investments themselves, then interest rate fluctuations and capital market conditions are likely to affect adversely the market price of our common stock. For instance, if market rates rise without an increase in our distribution rate, the market price of our common stock could decrease as potential investors may require a higher distribution yield on our common stock or seek other securities paying higher distributions or interest. In addition, rising interest rates would result in increased interest expense on our variable rate debt, thereby reducing cash flow and our ability to service our indebtedness and pay distributions.</w:t>
      </w:r>
    </w:p>
    <w:p>
      <w:pPr>
        <w:spacing w:after="0" w:line="11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The stock ownership limit imposed by the Internal Revenue Code for REITs and our amended and restated certificate of incorporation may restrict our business combination opportunities.</w:t>
      </w:r>
    </w:p>
    <w:p>
      <w:pPr>
        <w:spacing w:after="0" w:line="116"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To qualify as a REIT under the Internal Revenue Code, not more than 50% in value of our outstanding stock may be owned, directly or indirectly, by five or fewer individuals (as defined in the Internal Revenue Code to include certain entities) at any time</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584" w:right="239" w:bottom="1440" w:gutter="0" w:footer="0" w:header="0"/>
        </w:sectPr>
      </w:pPr>
    </w:p>
    <w:bookmarkStart w:id="34" w:name="page35"/>
    <w:bookmarkEnd w:id="34"/>
    <w:p>
      <w:pPr>
        <w:jc w:val="both"/>
        <w:spacing w:after="0" w:line="259" w:lineRule="auto"/>
        <w:rPr>
          <w:sz w:val="20"/>
          <w:szCs w:val="20"/>
          <w:color w:val="auto"/>
        </w:rPr>
      </w:pPr>
      <w:r>
        <w:rPr>
          <w:rFonts w:ascii="Arial" w:cs="Arial" w:eastAsia="Arial" w:hAnsi="Arial"/>
          <w:sz w:val="18"/>
          <w:szCs w:val="18"/>
          <w:color w:val="auto"/>
        </w:rPr>
        <w:t>during the last half of each taxable year in which we qualify as a REIT. Our amended and restated certificate of incorporation, with certain exceptions, authorizes our Board of Directors to take the actions that are necessary and desirable to qualify as a REIT. Pursuant to our amended and restated certificate of incorporation, no person may beneficially or constructively own more than 9.8% in value or in number of shares, whichever is more restrictive, of our common or capital stock.</w:t>
      </w:r>
    </w:p>
    <w:p>
      <w:pPr>
        <w:spacing w:after="0" w:line="133" w:lineRule="exact"/>
        <w:rPr>
          <w:sz w:val="20"/>
          <w:szCs w:val="20"/>
          <w:color w:val="auto"/>
        </w:rPr>
      </w:pPr>
    </w:p>
    <w:p>
      <w:pPr>
        <w:jc w:val="both"/>
        <w:ind w:firstLine="405"/>
        <w:spacing w:after="0" w:line="291" w:lineRule="auto"/>
        <w:rPr>
          <w:sz w:val="20"/>
          <w:szCs w:val="20"/>
          <w:color w:val="auto"/>
        </w:rPr>
      </w:pPr>
      <w:r>
        <w:rPr>
          <w:rFonts w:ascii="Arial" w:cs="Arial" w:eastAsia="Arial" w:hAnsi="Arial"/>
          <w:sz w:val="16"/>
          <w:szCs w:val="16"/>
          <w:color w:val="auto"/>
        </w:rPr>
        <w:t>Our Board of Directors may grant an exemption from this 9.8% stock ownership limitation, in its sole discretion, subject to such conditions, representations and undertakings as it may determine are reasonably necessary. Pursuant to our amended and restated certificate of incorporation, our Board of Directors has the power to increase or decrease the percentage of common or capital stock that a person may beneficially or constructively own. However, any decreased stock ownership limit will not apply to any person whose percentage ownership of our common or capital stock, as the case may be, is in excess of such decreased stock ownership limit until that person's percentage ownership of our common or capital stock, as the case may be, equals or falls below the decreased stock ownership limit. Until such a person's percentage ownership of our common or capital stock, as the case may be, falls below such decreased stock ownership limit, any further acquisition of our common or capital stock will be in violation of the decreased stock ownership limit.</w:t>
      </w:r>
    </w:p>
    <w:p>
      <w:pPr>
        <w:spacing w:after="0" w:line="113" w:lineRule="exact"/>
        <w:rPr>
          <w:sz w:val="20"/>
          <w:szCs w:val="20"/>
          <w:color w:val="auto"/>
        </w:rPr>
      </w:pPr>
    </w:p>
    <w:p>
      <w:pPr>
        <w:jc w:val="both"/>
        <w:ind w:firstLine="405"/>
        <w:spacing w:after="0" w:line="273" w:lineRule="auto"/>
        <w:rPr>
          <w:sz w:val="20"/>
          <w:szCs w:val="20"/>
          <w:color w:val="auto"/>
        </w:rPr>
      </w:pPr>
      <w:r>
        <w:rPr>
          <w:rFonts w:ascii="Arial" w:cs="Arial" w:eastAsia="Arial" w:hAnsi="Arial"/>
          <w:sz w:val="17"/>
          <w:szCs w:val="17"/>
          <w:color w:val="auto"/>
        </w:rPr>
        <w:t>The ownership limits imposed by the tax law are based upon direct or indirect ownership by "individuals," but only during the last half of a tax year. The ownership limits contained in our amended and restated certificate of incorporation apply to the ownership at any time by any "person," which term includes entities. Any attempt to own or transfer shares of our common stock or capital stock in violations of these restrictions may result in the shares being transferred to a charitable trust or may be void. These ownership limitations are intended to assist us in complying with the tax law requirements, and to minimize administrative burdens. However, these ownership limits might also delay or prevent a transaction or a change in our control that might involve a premium price for our common stock or otherwise be in the best interest of our stockholders.</w:t>
      </w:r>
    </w:p>
    <w:p>
      <w:pPr>
        <w:spacing w:after="0" w:line="19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b w:val="1"/>
          <w:bCs w:val="1"/>
          <w:i w:val="1"/>
          <w:iCs w:val="1"/>
          <w:color w:val="auto"/>
        </w:rPr>
        <w:t>The stock ownership limitation contained in our amended and restated certificate of incorporation generally does not permit ownership in excess of 9.8% of our common or capital stock, and attempts to acquire our common or capital stock in excess of these limits will be ineffective unless an exemption is granted by our Board of Directors.</w:t>
      </w:r>
    </w:p>
    <w:p>
      <w:pPr>
        <w:spacing w:after="0" w:line="114" w:lineRule="exact"/>
        <w:rPr>
          <w:sz w:val="20"/>
          <w:szCs w:val="20"/>
          <w:color w:val="auto"/>
        </w:rPr>
      </w:pPr>
    </w:p>
    <w:p>
      <w:pPr>
        <w:jc w:val="both"/>
        <w:ind w:firstLine="405"/>
        <w:spacing w:after="0" w:line="290" w:lineRule="auto"/>
        <w:rPr>
          <w:sz w:val="20"/>
          <w:szCs w:val="20"/>
          <w:color w:val="auto"/>
        </w:rPr>
      </w:pPr>
      <w:r>
        <w:rPr>
          <w:rFonts w:ascii="Arial" w:cs="Arial" w:eastAsia="Arial" w:hAnsi="Arial"/>
          <w:sz w:val="16"/>
          <w:szCs w:val="16"/>
          <w:color w:val="auto"/>
        </w:rPr>
        <w:t>As described above, our amended and restated certificate of incorporation generally prohibits beneficial or constructive ownership by any person of more than 9.8% (by value or by number of shares, whichever is more restrictive) of our common or capital stock, unless exempted by our Board of Directors. Our amended and restated certificate of incorporation's constructive ownership rules are complex and may cause the outstanding stock owned by a group of related individuals or entities to be deemed to be constructively owned by one individual or entity. As a result, the acquisition of less than these percentages of the outstanding stock by an individual or entity could cause that individual or entity to own constructively in excess of these percentages of the outstanding stock and thus be subject to our amended and restated certificate of incorporation's ownership limit. Any attempt to own or transfer shares of our common or preferred stock in excess of the ownership limit without the consent of the Board of Directors will result in the shares being automatically transferred to a charitable trust or, if the transfer to a charitable trust would not be effective, such transfer being treated as invalid from the outset.</w:t>
      </w:r>
    </w:p>
    <w:p>
      <w:pPr>
        <w:spacing w:after="0" w:line="9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Anti-takeover provisions in our amended and restated certificate of incorporation and bylaws could discourage a change of control that our stockholders may favor, which could also adversely affect the market price of our common stock.</w:t>
      </w:r>
    </w:p>
    <w:p>
      <w:pPr>
        <w:spacing w:after="0" w:line="103" w:lineRule="exact"/>
        <w:rPr>
          <w:sz w:val="20"/>
          <w:szCs w:val="20"/>
          <w:color w:val="auto"/>
        </w:rPr>
      </w:pPr>
    </w:p>
    <w:p>
      <w:pPr>
        <w:jc w:val="both"/>
        <w:ind w:firstLine="486"/>
        <w:spacing w:after="0" w:line="273" w:lineRule="auto"/>
        <w:rPr>
          <w:sz w:val="20"/>
          <w:szCs w:val="20"/>
          <w:color w:val="auto"/>
        </w:rPr>
      </w:pPr>
      <w:r>
        <w:rPr>
          <w:rFonts w:ascii="Arial" w:cs="Arial" w:eastAsia="Arial" w:hAnsi="Arial"/>
          <w:sz w:val="17"/>
          <w:szCs w:val="17"/>
          <w:color w:val="auto"/>
        </w:rPr>
        <w:t>Provisions in our amended and restated certificate of incorporation and bylaws may make it more difficult and expensive for a third party to acquire control of us, even if a change of control would be beneficial to our stockholders. We could issue a series of preferred stock to impede the completion of a merger, tender offer or other takeover attempt. The anti-takeover provisions in our amended and restated certificate of incorporation and bylaws may impede takeover attempts, or other transactions, that may be in the best interests of our stockholders and, in particular, our common stockholders. In addition, the market price of our common stock could be adversely affected to the extent that provisions of our amended and restated certificate of incorporation and bylaws discourage potential takeover attempts, or other transactions, that our stockholders may favor.</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1B. </w:t>
      </w:r>
      <w:r>
        <w:rPr>
          <w:rFonts w:ascii="Arial" w:cs="Arial" w:eastAsia="Arial" w:hAnsi="Arial"/>
          <w:sz w:val="18"/>
          <w:szCs w:val="18"/>
          <w:b w:val="1"/>
          <w:bCs w:val="1"/>
          <w:i w:val="1"/>
          <w:iCs w:val="1"/>
          <w:color w:val="auto"/>
        </w:rPr>
        <w:t>Unresolved Staff Comments</w:t>
      </w:r>
    </w:p>
    <w:p>
      <w:pPr>
        <w:spacing w:after="0" w:line="9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2. </w:t>
      </w:r>
      <w:r>
        <w:rPr>
          <w:rFonts w:ascii="Arial" w:cs="Arial" w:eastAsia="Arial" w:hAnsi="Arial"/>
          <w:sz w:val="18"/>
          <w:szCs w:val="18"/>
          <w:b w:val="1"/>
          <w:bCs w:val="1"/>
          <w:i w:val="1"/>
          <w:iCs w:val="1"/>
          <w:color w:val="auto"/>
        </w:rPr>
        <w:t>Properties</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do not own any property. Our executive offices are located in Bethesda, Maryland in office space shared with American Capital.</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746" w:right="239" w:bottom="1440" w:gutter="0" w:footer="0" w:header="0"/>
        </w:sectPr>
      </w:pPr>
    </w:p>
    <w:bookmarkStart w:id="35" w:name="page36"/>
    <w:bookmarkEnd w:id="35"/>
    <w:p>
      <w:pPr>
        <w:spacing w:after="0"/>
        <w:rPr>
          <w:sz w:val="20"/>
          <w:szCs w:val="20"/>
          <w:color w:val="auto"/>
        </w:rPr>
      </w:pPr>
      <w:r>
        <w:rPr>
          <w:rFonts w:ascii="Arial" w:cs="Arial" w:eastAsia="Arial" w:hAnsi="Arial"/>
          <w:sz w:val="18"/>
          <w:szCs w:val="18"/>
          <w:b w:val="1"/>
          <w:bCs w:val="1"/>
          <w:color w:val="auto"/>
        </w:rPr>
        <w:t xml:space="preserve">Item 3. </w:t>
      </w:r>
      <w:r>
        <w:rPr>
          <w:rFonts w:ascii="Arial" w:cs="Arial" w:eastAsia="Arial" w:hAnsi="Arial"/>
          <w:sz w:val="18"/>
          <w:szCs w:val="18"/>
          <w:b w:val="1"/>
          <w:bCs w:val="1"/>
          <w:i w:val="1"/>
          <w:iCs w:val="1"/>
          <w:color w:val="auto"/>
        </w:rPr>
        <w:t>Legal Proceedings</w:t>
      </w:r>
    </w:p>
    <w:p>
      <w:pPr>
        <w:spacing w:after="0" w:line="108"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Neither we, nor any of our consolidated subsidiaries, are currently subject to any material litigation nor, to our knowledge, is any material litigation threatened against us or any consolidated subsidiary, other than routine litigation and administrative proceedings arising in the ordinary course of business. Such proceedings are not expected to have a material adverse effect on the business, financial conditions, or results of our operations.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4. </w:t>
      </w:r>
      <w:r>
        <w:rPr>
          <w:rFonts w:ascii="Arial" w:cs="Arial" w:eastAsia="Arial" w:hAnsi="Arial"/>
          <w:sz w:val="18"/>
          <w:szCs w:val="18"/>
          <w:b w:val="1"/>
          <w:bCs w:val="1"/>
          <w:i w:val="1"/>
          <w:iCs w:val="1"/>
          <w:color w:val="auto"/>
        </w:rPr>
        <w:t>Mine Safety Disclosures</w:t>
      </w:r>
    </w:p>
    <w:p>
      <w:pPr>
        <w:spacing w:after="0" w:line="9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20"/>
          </w:cols>
          <w:pgMar w:left="240" w:top="580" w:right="239" w:bottom="1440" w:gutter="0" w:footer="0" w:header="0"/>
        </w:sectPr>
      </w:pPr>
    </w:p>
    <w:bookmarkStart w:id="36" w:name="page37"/>
    <w:bookmarkEnd w:id="36"/>
    <w:p>
      <w:pPr>
        <w:jc w:val="center"/>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ind w:right="2480"/>
        <w:spacing w:after="0" w:line="425" w:lineRule="auto"/>
        <w:rPr>
          <w:sz w:val="20"/>
          <w:szCs w:val="20"/>
          <w:color w:val="auto"/>
        </w:rPr>
      </w:pPr>
      <w:r>
        <w:rPr>
          <w:rFonts w:ascii="Arial" w:cs="Arial" w:eastAsia="Arial" w:hAnsi="Arial"/>
          <w:sz w:val="18"/>
          <w:szCs w:val="18"/>
          <w:b w:val="1"/>
          <w:bCs w:val="1"/>
          <w:color w:val="auto"/>
        </w:rPr>
        <w:t xml:space="preserve">Item 5. </w:t>
      </w:r>
      <w:r>
        <w:rPr>
          <w:rFonts w:ascii="Arial" w:cs="Arial" w:eastAsia="Arial" w:hAnsi="Arial"/>
          <w:sz w:val="18"/>
          <w:szCs w:val="18"/>
          <w:b w:val="1"/>
          <w:bCs w:val="1"/>
          <w:i w:val="1"/>
          <w:iCs w:val="1"/>
          <w:color w:val="auto"/>
        </w:rPr>
        <w:t>Market for Registrant's Common Equity, Related Stockholder Matters and Issuer Purchases of Equity Securities</w:t>
      </w:r>
      <w:r>
        <w:rPr>
          <w:rFonts w:ascii="Arial" w:cs="Arial" w:eastAsia="Arial" w:hAnsi="Arial"/>
          <w:sz w:val="18"/>
          <w:szCs w:val="18"/>
          <w:b w:val="1"/>
          <w:bCs w:val="1"/>
          <w:color w:val="auto"/>
        </w:rPr>
        <w:t xml:space="preserve"> Quarterly Stock Prices and Dividend Declarations</w:t>
      </w:r>
    </w:p>
    <w:p>
      <w:pPr>
        <w:jc w:val="both"/>
        <w:ind w:firstLine="432"/>
        <w:spacing w:after="0" w:line="277" w:lineRule="auto"/>
        <w:rPr>
          <w:sz w:val="20"/>
          <w:szCs w:val="20"/>
          <w:color w:val="auto"/>
        </w:rPr>
      </w:pPr>
      <w:r>
        <w:rPr>
          <w:rFonts w:ascii="Arial" w:cs="Arial" w:eastAsia="Arial" w:hAnsi="Arial"/>
          <w:sz w:val="18"/>
          <w:szCs w:val="18"/>
          <w:color w:val="auto"/>
        </w:rPr>
        <w:t>Our common stock is listed on the NASDAQ Global Select Market under the symbol "AGNC." As of January 31, 2016, we had 1,063 stockholders of record. Most of the shares of our common stock are held by brokers and other institutions on behalf of stockholders.</w:t>
      </w:r>
    </w:p>
    <w:p>
      <w:pPr>
        <w:spacing w:after="0" w:line="103" w:lineRule="exact"/>
        <w:rPr>
          <w:sz w:val="20"/>
          <w:szCs w:val="20"/>
          <w:color w:val="auto"/>
        </w:rPr>
      </w:pPr>
    </w:p>
    <w:p>
      <w:pPr>
        <w:jc w:val="both"/>
        <w:ind w:right="20" w:firstLine="432"/>
        <w:spacing w:after="0" w:line="277" w:lineRule="auto"/>
        <w:rPr>
          <w:sz w:val="20"/>
          <w:szCs w:val="20"/>
          <w:color w:val="auto"/>
        </w:rPr>
      </w:pPr>
      <w:r>
        <w:rPr>
          <w:rFonts w:ascii="Arial" w:cs="Arial" w:eastAsia="Arial" w:hAnsi="Arial"/>
          <w:sz w:val="18"/>
          <w:szCs w:val="18"/>
          <w:color w:val="auto"/>
        </w:rPr>
        <w:t>The following table sets forth the range of high and low sales prices of our common stock as reported on the NASDAQ Global Select Market and dividends declared on our common stock for fiscal years 2015 and 2014:</w:t>
      </w:r>
    </w:p>
    <w:p>
      <w:pPr>
        <w:spacing w:after="0" w:line="279" w:lineRule="exact"/>
        <w:rPr>
          <w:sz w:val="20"/>
          <w:szCs w:val="20"/>
          <w:color w:val="auto"/>
        </w:rPr>
      </w:pPr>
    </w:p>
    <w:tbl>
      <w:tblPr>
        <w:tblLayout w:type="fixed"/>
        <w:tblInd w:w="2500" w:type="dxa"/>
        <w:tblCellMar>
          <w:top w:w="0" w:type="dxa"/>
          <w:left w:w="0" w:type="dxa"/>
          <w:bottom w:w="0" w:type="dxa"/>
          <w:right w:w="0" w:type="dxa"/>
        </w:tblCellMar>
      </w:tblPr>
      <w:tr>
        <w:trPr>
          <w:trHeight w:val="210"/>
        </w:trPr>
        <w:tc>
          <w:tcPr>
            <w:tcW w:w="2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gridSpan w:val="2"/>
          </w:tcPr>
          <w:p>
            <w:pPr>
              <w:ind w:left="60"/>
              <w:spacing w:after="0"/>
              <w:rPr>
                <w:sz w:val="20"/>
                <w:szCs w:val="20"/>
                <w:color w:val="auto"/>
              </w:rPr>
            </w:pPr>
            <w:r>
              <w:rPr>
                <w:rFonts w:ascii="Arial" w:cs="Arial" w:eastAsia="Arial" w:hAnsi="Arial"/>
                <w:sz w:val="16"/>
                <w:szCs w:val="16"/>
                <w:b w:val="1"/>
                <w:bCs w:val="1"/>
                <w:color w:val="auto"/>
                <w:w w:val="93"/>
              </w:rPr>
              <w:t>Common Stock</w:t>
            </w:r>
          </w:p>
        </w:tc>
        <w:tc>
          <w:tcPr>
            <w:tcW w:w="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274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220" w:type="dxa"/>
            <w:vAlign w:val="bottom"/>
            <w:tcBorders>
              <w:bottom w:val="single" w:sz="8" w:color="auto"/>
            </w:tcBorders>
            <w:gridSpan w:val="4"/>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27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20" w:type="dxa"/>
            <w:vAlign w:val="bottom"/>
            <w:gridSpan w:val="4"/>
          </w:tcPr>
          <w:p>
            <w:pPr>
              <w:jc w:val="center"/>
              <w:ind w:right="320"/>
              <w:spacing w:after="0"/>
              <w:rPr>
                <w:sz w:val="20"/>
                <w:szCs w:val="20"/>
                <w:color w:val="auto"/>
              </w:rPr>
            </w:pPr>
            <w:r>
              <w:rPr>
                <w:rFonts w:ascii="Arial" w:cs="Arial" w:eastAsia="Arial" w:hAnsi="Arial"/>
                <w:sz w:val="16"/>
                <w:szCs w:val="16"/>
                <w:b w:val="1"/>
                <w:bCs w:val="1"/>
                <w:color w:val="auto"/>
                <w:w w:val="86"/>
              </w:rPr>
              <w:t>Sales Prices</w:t>
            </w:r>
          </w:p>
        </w:tc>
        <w:tc>
          <w:tcPr>
            <w:tcW w:w="200" w:type="dxa"/>
            <w:vAlign w:val="bottom"/>
          </w:tcPr>
          <w:p>
            <w:pPr>
              <w:spacing w:after="0"/>
              <w:rPr>
                <w:sz w:val="20"/>
                <w:szCs w:val="20"/>
                <w:color w:val="auto"/>
              </w:rPr>
            </w:pPr>
          </w:p>
        </w:tc>
        <w:tc>
          <w:tcPr>
            <w:tcW w:w="1040" w:type="dxa"/>
            <w:vAlign w:val="bottom"/>
            <w:vMerge w:val="restart"/>
          </w:tcPr>
          <w:p>
            <w:pPr>
              <w:jc w:val="right"/>
              <w:ind w:right="199"/>
              <w:spacing w:after="0"/>
              <w:rPr>
                <w:sz w:val="20"/>
                <w:szCs w:val="20"/>
                <w:color w:val="auto"/>
              </w:rPr>
            </w:pPr>
            <w:r>
              <w:rPr>
                <w:rFonts w:ascii="Arial" w:cs="Arial" w:eastAsia="Arial" w:hAnsi="Arial"/>
                <w:sz w:val="16"/>
                <w:szCs w:val="16"/>
                <w:b w:val="1"/>
                <w:bCs w:val="1"/>
                <w:color w:val="auto"/>
                <w:w w:val="96"/>
              </w:rPr>
              <w:t>Dividends</w:t>
            </w:r>
          </w:p>
        </w:tc>
        <w:tc>
          <w:tcPr>
            <w:tcW w:w="0" w:type="dxa"/>
            <w:vAlign w:val="bottom"/>
          </w:tcPr>
          <w:p>
            <w:pPr>
              <w:spacing w:after="0"/>
              <w:rPr>
                <w:sz w:val="1"/>
                <w:szCs w:val="1"/>
                <w:color w:val="auto"/>
              </w:rPr>
            </w:pPr>
          </w:p>
        </w:tc>
      </w:tr>
      <w:tr>
        <w:trPr>
          <w:trHeight w:val="33"/>
        </w:trPr>
        <w:tc>
          <w:tcPr>
            <w:tcW w:w="274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vMerge w:val="continue"/>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jc w:val="right"/>
              <w:ind w:right="299"/>
              <w:spacing w:after="0"/>
              <w:rPr>
                <w:sz w:val="20"/>
                <w:szCs w:val="20"/>
                <w:color w:val="auto"/>
              </w:rPr>
            </w:pPr>
            <w:r>
              <w:rPr>
                <w:rFonts w:ascii="Arial" w:cs="Arial" w:eastAsia="Arial" w:hAnsi="Arial"/>
                <w:sz w:val="16"/>
                <w:szCs w:val="16"/>
                <w:b w:val="1"/>
                <w:bCs w:val="1"/>
                <w:color w:val="auto"/>
              </w:rPr>
              <w:t>High</w:t>
            </w:r>
          </w:p>
        </w:tc>
        <w:tc>
          <w:tcPr>
            <w:tcW w:w="180" w:type="dxa"/>
            <w:vAlign w:val="bottom"/>
          </w:tcPr>
          <w:p>
            <w:pPr>
              <w:spacing w:after="0"/>
              <w:rPr>
                <w:sz w:val="18"/>
                <w:szCs w:val="18"/>
                <w:color w:val="auto"/>
              </w:rPr>
            </w:pPr>
          </w:p>
        </w:tc>
        <w:tc>
          <w:tcPr>
            <w:tcW w:w="1180" w:type="dxa"/>
            <w:vAlign w:val="bottom"/>
            <w:gridSpan w:val="2"/>
          </w:tcPr>
          <w:p>
            <w:pPr>
              <w:ind w:left="300"/>
              <w:spacing w:after="0"/>
              <w:rPr>
                <w:sz w:val="20"/>
                <w:szCs w:val="20"/>
                <w:color w:val="auto"/>
              </w:rPr>
            </w:pPr>
            <w:r>
              <w:rPr>
                <w:rFonts w:ascii="Arial" w:cs="Arial" w:eastAsia="Arial" w:hAnsi="Arial"/>
                <w:sz w:val="16"/>
                <w:szCs w:val="16"/>
                <w:b w:val="1"/>
                <w:bCs w:val="1"/>
                <w:color w:val="auto"/>
              </w:rPr>
              <w:t>Low</w:t>
            </w:r>
          </w:p>
        </w:tc>
        <w:tc>
          <w:tcPr>
            <w:tcW w:w="200" w:type="dxa"/>
            <w:vAlign w:val="bottom"/>
          </w:tcPr>
          <w:p>
            <w:pPr>
              <w:spacing w:after="0"/>
              <w:rPr>
                <w:sz w:val="18"/>
                <w:szCs w:val="18"/>
                <w:color w:val="auto"/>
              </w:rPr>
            </w:pPr>
          </w:p>
        </w:tc>
        <w:tc>
          <w:tcPr>
            <w:tcW w:w="1040" w:type="dxa"/>
            <w:vAlign w:val="bottom"/>
          </w:tcPr>
          <w:p>
            <w:pPr>
              <w:jc w:val="right"/>
              <w:ind w:right="239"/>
              <w:spacing w:after="0"/>
              <w:rPr>
                <w:sz w:val="20"/>
                <w:szCs w:val="20"/>
                <w:color w:val="auto"/>
              </w:rPr>
            </w:pPr>
            <w:r>
              <w:rPr>
                <w:rFonts w:ascii="Arial" w:cs="Arial" w:eastAsia="Arial" w:hAnsi="Arial"/>
                <w:sz w:val="16"/>
                <w:szCs w:val="16"/>
                <w:b w:val="1"/>
                <w:bCs w:val="1"/>
                <w:color w:val="auto"/>
              </w:rPr>
              <w:t>Declared</w:t>
            </w:r>
          </w:p>
        </w:tc>
        <w:tc>
          <w:tcPr>
            <w:tcW w:w="0" w:type="dxa"/>
            <w:vAlign w:val="bottom"/>
          </w:tcPr>
          <w:p>
            <w:pPr>
              <w:spacing w:after="0"/>
              <w:rPr>
                <w:sz w:val="1"/>
                <w:szCs w:val="1"/>
                <w:color w:val="auto"/>
              </w:rPr>
            </w:pPr>
          </w:p>
        </w:tc>
      </w:tr>
      <w:tr>
        <w:trPr>
          <w:trHeight w:val="33"/>
        </w:trPr>
        <w:tc>
          <w:tcPr>
            <w:tcW w:w="27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Fiscal Year 2015</w:t>
            </w:r>
          </w:p>
        </w:tc>
        <w:tc>
          <w:tcPr>
            <w:tcW w:w="22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2740" w:type="dxa"/>
            <w:vAlign w:val="bottom"/>
          </w:tcPr>
          <w:p>
            <w:pPr>
              <w:ind w:left="40"/>
              <w:spacing w:after="0"/>
              <w:rPr>
                <w:sz w:val="20"/>
                <w:szCs w:val="20"/>
                <w:color w:val="auto"/>
              </w:rPr>
            </w:pPr>
            <w:r>
              <w:rPr>
                <w:rFonts w:ascii="Arial" w:cs="Arial" w:eastAsia="Arial" w:hAnsi="Arial"/>
                <w:sz w:val="16"/>
                <w:szCs w:val="16"/>
                <w:color w:val="auto"/>
              </w:rPr>
              <w:t>Fourth Quarter</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860" w:type="dxa"/>
            <w:vAlign w:val="bottom"/>
          </w:tcPr>
          <w:p>
            <w:pPr>
              <w:jc w:val="right"/>
              <w:spacing w:after="0"/>
              <w:rPr>
                <w:sz w:val="20"/>
                <w:szCs w:val="20"/>
                <w:color w:val="auto"/>
              </w:rPr>
            </w:pPr>
            <w:r>
              <w:rPr>
                <w:rFonts w:ascii="Arial" w:cs="Arial" w:eastAsia="Arial" w:hAnsi="Arial"/>
                <w:sz w:val="16"/>
                <w:szCs w:val="16"/>
                <w:color w:val="auto"/>
              </w:rPr>
              <w:t>19.54</w:t>
            </w:r>
          </w:p>
        </w:tc>
        <w:tc>
          <w:tcPr>
            <w:tcW w:w="180" w:type="dxa"/>
            <w:vAlign w:val="bottom"/>
          </w:tcPr>
          <w:p>
            <w:pPr>
              <w:jc w:val="center"/>
              <w:spacing w:after="0"/>
              <w:rPr>
                <w:sz w:val="20"/>
                <w:szCs w:val="20"/>
                <w:color w:val="auto"/>
              </w:rPr>
            </w:pPr>
            <w:r>
              <w:rPr>
                <w:rFonts w:ascii="Arial" w:cs="Arial" w:eastAsia="Arial" w:hAnsi="Arial"/>
                <w:sz w:val="16"/>
                <w:szCs w:val="16"/>
                <w:color w:val="auto"/>
              </w:rPr>
              <w:t>$</w:t>
            </w:r>
          </w:p>
        </w:tc>
        <w:tc>
          <w:tcPr>
            <w:tcW w:w="1080" w:type="dxa"/>
            <w:vAlign w:val="bottom"/>
          </w:tcPr>
          <w:p>
            <w:pPr>
              <w:jc w:val="right"/>
              <w:spacing w:after="0"/>
              <w:rPr>
                <w:sz w:val="20"/>
                <w:szCs w:val="20"/>
                <w:color w:val="auto"/>
              </w:rPr>
            </w:pPr>
            <w:r>
              <w:rPr>
                <w:rFonts w:ascii="Arial" w:cs="Arial" w:eastAsia="Arial" w:hAnsi="Arial"/>
                <w:sz w:val="16"/>
                <w:szCs w:val="16"/>
                <w:color w:val="auto"/>
              </w:rPr>
              <w:t>16.89</w:t>
            </w:r>
          </w:p>
        </w:tc>
        <w:tc>
          <w:tcPr>
            <w:tcW w:w="100" w:type="dxa"/>
            <w:vAlign w:val="bottom"/>
          </w:tcPr>
          <w:p>
            <w:pPr>
              <w:spacing w:after="0"/>
              <w:rPr>
                <w:sz w:val="20"/>
                <w:szCs w:val="20"/>
                <w:color w:val="auto"/>
              </w:rPr>
            </w:pP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0.60</w:t>
            </w:r>
          </w:p>
        </w:tc>
        <w:tc>
          <w:tcPr>
            <w:tcW w:w="0" w:type="dxa"/>
            <w:vAlign w:val="bottom"/>
          </w:tcPr>
          <w:p>
            <w:pPr>
              <w:spacing w:after="0"/>
              <w:rPr>
                <w:sz w:val="1"/>
                <w:szCs w:val="1"/>
                <w:color w:val="auto"/>
              </w:rPr>
            </w:pPr>
          </w:p>
        </w:tc>
      </w:tr>
      <w:tr>
        <w:trPr>
          <w:trHeight w:val="33"/>
        </w:trPr>
        <w:tc>
          <w:tcPr>
            <w:tcW w:w="27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Third Quarter</w:t>
            </w:r>
          </w:p>
        </w:tc>
        <w:tc>
          <w:tcPr>
            <w:tcW w:w="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20.08</w:t>
            </w:r>
          </w:p>
        </w:tc>
        <w:tc>
          <w:tcPr>
            <w:tcW w:w="1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18.21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0.60</w:t>
            </w:r>
          </w:p>
        </w:tc>
        <w:tc>
          <w:tcPr>
            <w:tcW w:w="0" w:type="dxa"/>
            <w:vAlign w:val="bottom"/>
          </w:tcPr>
          <w:p>
            <w:pPr>
              <w:spacing w:after="0"/>
              <w:rPr>
                <w:sz w:val="1"/>
                <w:szCs w:val="1"/>
                <w:color w:val="auto"/>
              </w:rPr>
            </w:pPr>
          </w:p>
        </w:tc>
      </w:tr>
      <w:tr>
        <w:trPr>
          <w:trHeight w:val="237"/>
        </w:trPr>
        <w:tc>
          <w:tcPr>
            <w:tcW w:w="2740" w:type="dxa"/>
            <w:vAlign w:val="bottom"/>
          </w:tcPr>
          <w:p>
            <w:pPr>
              <w:ind w:left="40"/>
              <w:spacing w:after="0"/>
              <w:rPr>
                <w:sz w:val="20"/>
                <w:szCs w:val="20"/>
                <w:color w:val="auto"/>
              </w:rPr>
            </w:pPr>
            <w:r>
              <w:rPr>
                <w:rFonts w:ascii="Arial" w:cs="Arial" w:eastAsia="Arial" w:hAnsi="Arial"/>
                <w:sz w:val="16"/>
                <w:szCs w:val="16"/>
                <w:color w:val="auto"/>
              </w:rPr>
              <w:t>Second Quarter</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860" w:type="dxa"/>
            <w:vAlign w:val="bottom"/>
          </w:tcPr>
          <w:p>
            <w:pPr>
              <w:jc w:val="right"/>
              <w:spacing w:after="0"/>
              <w:rPr>
                <w:sz w:val="20"/>
                <w:szCs w:val="20"/>
                <w:color w:val="auto"/>
              </w:rPr>
            </w:pPr>
            <w:r>
              <w:rPr>
                <w:rFonts w:ascii="Arial" w:cs="Arial" w:eastAsia="Arial" w:hAnsi="Arial"/>
                <w:sz w:val="16"/>
                <w:szCs w:val="16"/>
                <w:color w:val="auto"/>
              </w:rPr>
              <w:t>21.83</w:t>
            </w:r>
          </w:p>
        </w:tc>
        <w:tc>
          <w:tcPr>
            <w:tcW w:w="180" w:type="dxa"/>
            <w:vAlign w:val="bottom"/>
          </w:tcPr>
          <w:p>
            <w:pPr>
              <w:jc w:val="center"/>
              <w:spacing w:after="0"/>
              <w:rPr>
                <w:sz w:val="20"/>
                <w:szCs w:val="20"/>
                <w:color w:val="auto"/>
              </w:rPr>
            </w:pPr>
            <w:r>
              <w:rPr>
                <w:rFonts w:ascii="Arial" w:cs="Arial" w:eastAsia="Arial" w:hAnsi="Arial"/>
                <w:sz w:val="16"/>
                <w:szCs w:val="16"/>
                <w:color w:val="auto"/>
              </w:rPr>
              <w:t>$</w:t>
            </w:r>
          </w:p>
        </w:tc>
        <w:tc>
          <w:tcPr>
            <w:tcW w:w="1080" w:type="dxa"/>
            <w:vAlign w:val="bottom"/>
          </w:tcPr>
          <w:p>
            <w:pPr>
              <w:jc w:val="right"/>
              <w:spacing w:after="0"/>
              <w:rPr>
                <w:sz w:val="20"/>
                <w:szCs w:val="20"/>
                <w:color w:val="auto"/>
              </w:rPr>
            </w:pPr>
            <w:r>
              <w:rPr>
                <w:rFonts w:ascii="Arial" w:cs="Arial" w:eastAsia="Arial" w:hAnsi="Arial"/>
                <w:sz w:val="16"/>
                <w:szCs w:val="16"/>
                <w:color w:val="auto"/>
              </w:rPr>
              <w:t>18.31</w:t>
            </w:r>
          </w:p>
        </w:tc>
        <w:tc>
          <w:tcPr>
            <w:tcW w:w="100" w:type="dxa"/>
            <w:vAlign w:val="bottom"/>
          </w:tcPr>
          <w:p>
            <w:pPr>
              <w:spacing w:after="0"/>
              <w:rPr>
                <w:sz w:val="20"/>
                <w:szCs w:val="20"/>
                <w:color w:val="auto"/>
              </w:rPr>
            </w:pP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0.62</w:t>
            </w:r>
          </w:p>
        </w:tc>
        <w:tc>
          <w:tcPr>
            <w:tcW w:w="0" w:type="dxa"/>
            <w:vAlign w:val="bottom"/>
          </w:tcPr>
          <w:p>
            <w:pPr>
              <w:spacing w:after="0"/>
              <w:rPr>
                <w:sz w:val="1"/>
                <w:szCs w:val="1"/>
                <w:color w:val="auto"/>
              </w:rPr>
            </w:pPr>
          </w:p>
        </w:tc>
      </w:tr>
      <w:tr>
        <w:trPr>
          <w:trHeight w:val="33"/>
        </w:trPr>
        <w:tc>
          <w:tcPr>
            <w:tcW w:w="27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First Quarter</w:t>
            </w:r>
          </w:p>
        </w:tc>
        <w:tc>
          <w:tcPr>
            <w:tcW w:w="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22.36</w:t>
            </w:r>
          </w:p>
        </w:tc>
        <w:tc>
          <w:tcPr>
            <w:tcW w:w="1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20.74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0.66</w:t>
            </w:r>
          </w:p>
        </w:tc>
        <w:tc>
          <w:tcPr>
            <w:tcW w:w="0" w:type="dxa"/>
            <w:vAlign w:val="bottom"/>
          </w:tcPr>
          <w:p>
            <w:pPr>
              <w:spacing w:after="0"/>
              <w:rPr>
                <w:sz w:val="1"/>
                <w:szCs w:val="1"/>
                <w:color w:val="auto"/>
              </w:rPr>
            </w:pPr>
          </w:p>
        </w:tc>
      </w:tr>
      <w:tr>
        <w:trPr>
          <w:trHeight w:val="237"/>
        </w:trPr>
        <w:tc>
          <w:tcPr>
            <w:tcW w:w="2740" w:type="dxa"/>
            <w:vAlign w:val="bottom"/>
          </w:tcPr>
          <w:p>
            <w:pPr>
              <w:ind w:left="40"/>
              <w:spacing w:after="0"/>
              <w:rPr>
                <w:sz w:val="20"/>
                <w:szCs w:val="20"/>
                <w:color w:val="auto"/>
              </w:rPr>
            </w:pPr>
            <w:r>
              <w:rPr>
                <w:rFonts w:ascii="Arial" w:cs="Arial" w:eastAsia="Arial" w:hAnsi="Arial"/>
                <w:sz w:val="16"/>
                <w:szCs w:val="16"/>
                <w:b w:val="1"/>
                <w:bCs w:val="1"/>
                <w:color w:val="auto"/>
              </w:rPr>
              <w:t>Fiscal Year 2014</w:t>
            </w:r>
          </w:p>
        </w:tc>
        <w:tc>
          <w:tcPr>
            <w:tcW w:w="2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27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Fourth Quarter</w:t>
            </w:r>
          </w:p>
        </w:tc>
        <w:tc>
          <w:tcPr>
            <w:tcW w:w="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23.44</w:t>
            </w:r>
          </w:p>
        </w:tc>
        <w:tc>
          <w:tcPr>
            <w:tcW w:w="1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21.25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0.66</w:t>
            </w:r>
          </w:p>
        </w:tc>
        <w:tc>
          <w:tcPr>
            <w:tcW w:w="0" w:type="dxa"/>
            <w:vAlign w:val="bottom"/>
          </w:tcPr>
          <w:p>
            <w:pPr>
              <w:spacing w:after="0"/>
              <w:rPr>
                <w:sz w:val="1"/>
                <w:szCs w:val="1"/>
                <w:color w:val="auto"/>
              </w:rPr>
            </w:pPr>
          </w:p>
        </w:tc>
      </w:tr>
      <w:tr>
        <w:trPr>
          <w:trHeight w:val="237"/>
        </w:trPr>
        <w:tc>
          <w:tcPr>
            <w:tcW w:w="2740" w:type="dxa"/>
            <w:vAlign w:val="bottom"/>
          </w:tcPr>
          <w:p>
            <w:pPr>
              <w:ind w:left="40"/>
              <w:spacing w:after="0"/>
              <w:rPr>
                <w:sz w:val="20"/>
                <w:szCs w:val="20"/>
                <w:color w:val="auto"/>
              </w:rPr>
            </w:pPr>
            <w:r>
              <w:rPr>
                <w:rFonts w:ascii="Arial" w:cs="Arial" w:eastAsia="Arial" w:hAnsi="Arial"/>
                <w:sz w:val="16"/>
                <w:szCs w:val="16"/>
                <w:color w:val="auto"/>
              </w:rPr>
              <w:t>Third Quarter</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860" w:type="dxa"/>
            <w:vAlign w:val="bottom"/>
          </w:tcPr>
          <w:p>
            <w:pPr>
              <w:jc w:val="right"/>
              <w:spacing w:after="0"/>
              <w:rPr>
                <w:sz w:val="20"/>
                <w:szCs w:val="20"/>
                <w:color w:val="auto"/>
              </w:rPr>
            </w:pPr>
            <w:r>
              <w:rPr>
                <w:rFonts w:ascii="Arial" w:cs="Arial" w:eastAsia="Arial" w:hAnsi="Arial"/>
                <w:sz w:val="16"/>
                <w:szCs w:val="16"/>
                <w:color w:val="auto"/>
              </w:rPr>
              <w:t>23.97</w:t>
            </w:r>
          </w:p>
        </w:tc>
        <w:tc>
          <w:tcPr>
            <w:tcW w:w="180" w:type="dxa"/>
            <w:vAlign w:val="bottom"/>
          </w:tcPr>
          <w:p>
            <w:pPr>
              <w:jc w:val="center"/>
              <w:spacing w:after="0"/>
              <w:rPr>
                <w:sz w:val="20"/>
                <w:szCs w:val="20"/>
                <w:color w:val="auto"/>
              </w:rPr>
            </w:pPr>
            <w:r>
              <w:rPr>
                <w:rFonts w:ascii="Arial" w:cs="Arial" w:eastAsia="Arial" w:hAnsi="Arial"/>
                <w:sz w:val="16"/>
                <w:szCs w:val="16"/>
                <w:color w:val="auto"/>
              </w:rPr>
              <w:t>$</w:t>
            </w:r>
          </w:p>
        </w:tc>
        <w:tc>
          <w:tcPr>
            <w:tcW w:w="1080" w:type="dxa"/>
            <w:vAlign w:val="bottom"/>
          </w:tcPr>
          <w:p>
            <w:pPr>
              <w:jc w:val="right"/>
              <w:spacing w:after="0"/>
              <w:rPr>
                <w:sz w:val="20"/>
                <w:szCs w:val="20"/>
                <w:color w:val="auto"/>
              </w:rPr>
            </w:pPr>
            <w:r>
              <w:rPr>
                <w:rFonts w:ascii="Arial" w:cs="Arial" w:eastAsia="Arial" w:hAnsi="Arial"/>
                <w:sz w:val="16"/>
                <w:szCs w:val="16"/>
                <w:color w:val="auto"/>
              </w:rPr>
              <w:t>21.08</w:t>
            </w:r>
          </w:p>
        </w:tc>
        <w:tc>
          <w:tcPr>
            <w:tcW w:w="100" w:type="dxa"/>
            <w:vAlign w:val="bottom"/>
          </w:tcPr>
          <w:p>
            <w:pPr>
              <w:spacing w:after="0"/>
              <w:rPr>
                <w:sz w:val="20"/>
                <w:szCs w:val="20"/>
                <w:color w:val="auto"/>
              </w:rPr>
            </w:pP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0.65</w:t>
            </w:r>
          </w:p>
        </w:tc>
        <w:tc>
          <w:tcPr>
            <w:tcW w:w="0" w:type="dxa"/>
            <w:vAlign w:val="bottom"/>
          </w:tcPr>
          <w:p>
            <w:pPr>
              <w:spacing w:after="0"/>
              <w:rPr>
                <w:sz w:val="1"/>
                <w:szCs w:val="1"/>
                <w:color w:val="auto"/>
              </w:rPr>
            </w:pPr>
          </w:p>
        </w:tc>
      </w:tr>
      <w:tr>
        <w:trPr>
          <w:trHeight w:val="33"/>
        </w:trPr>
        <w:tc>
          <w:tcPr>
            <w:tcW w:w="27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Second Quarter</w:t>
            </w:r>
          </w:p>
        </w:tc>
        <w:tc>
          <w:tcPr>
            <w:tcW w:w="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24.06</w:t>
            </w:r>
          </w:p>
        </w:tc>
        <w:tc>
          <w:tcPr>
            <w:tcW w:w="1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21.29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0.65</w:t>
            </w:r>
          </w:p>
        </w:tc>
        <w:tc>
          <w:tcPr>
            <w:tcW w:w="0" w:type="dxa"/>
            <w:vAlign w:val="bottom"/>
          </w:tcPr>
          <w:p>
            <w:pPr>
              <w:spacing w:after="0"/>
              <w:rPr>
                <w:sz w:val="1"/>
                <w:szCs w:val="1"/>
                <w:color w:val="auto"/>
              </w:rPr>
            </w:pPr>
          </w:p>
        </w:tc>
      </w:tr>
      <w:tr>
        <w:trPr>
          <w:trHeight w:val="237"/>
        </w:trPr>
        <w:tc>
          <w:tcPr>
            <w:tcW w:w="2740" w:type="dxa"/>
            <w:vAlign w:val="bottom"/>
          </w:tcPr>
          <w:p>
            <w:pPr>
              <w:ind w:left="40"/>
              <w:spacing w:after="0"/>
              <w:rPr>
                <w:sz w:val="20"/>
                <w:szCs w:val="20"/>
                <w:color w:val="auto"/>
              </w:rPr>
            </w:pPr>
            <w:r>
              <w:rPr>
                <w:rFonts w:ascii="Arial" w:cs="Arial" w:eastAsia="Arial" w:hAnsi="Arial"/>
                <w:sz w:val="16"/>
                <w:szCs w:val="16"/>
                <w:color w:val="auto"/>
              </w:rPr>
              <w:t>First Quarter</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860" w:type="dxa"/>
            <w:vAlign w:val="bottom"/>
          </w:tcPr>
          <w:p>
            <w:pPr>
              <w:jc w:val="right"/>
              <w:spacing w:after="0"/>
              <w:rPr>
                <w:sz w:val="20"/>
                <w:szCs w:val="20"/>
                <w:color w:val="auto"/>
              </w:rPr>
            </w:pPr>
            <w:r>
              <w:rPr>
                <w:rFonts w:ascii="Arial" w:cs="Arial" w:eastAsia="Arial" w:hAnsi="Arial"/>
                <w:sz w:val="16"/>
                <w:szCs w:val="16"/>
                <w:color w:val="auto"/>
              </w:rPr>
              <w:t>22.84</w:t>
            </w:r>
          </w:p>
        </w:tc>
        <w:tc>
          <w:tcPr>
            <w:tcW w:w="180" w:type="dxa"/>
            <w:vAlign w:val="bottom"/>
          </w:tcPr>
          <w:p>
            <w:pPr>
              <w:jc w:val="center"/>
              <w:spacing w:after="0"/>
              <w:rPr>
                <w:sz w:val="20"/>
                <w:szCs w:val="20"/>
                <w:color w:val="auto"/>
              </w:rPr>
            </w:pPr>
            <w:r>
              <w:rPr>
                <w:rFonts w:ascii="Arial" w:cs="Arial" w:eastAsia="Arial" w:hAnsi="Arial"/>
                <w:sz w:val="16"/>
                <w:szCs w:val="16"/>
                <w:color w:val="auto"/>
              </w:rPr>
              <w:t>$</w:t>
            </w:r>
          </w:p>
        </w:tc>
        <w:tc>
          <w:tcPr>
            <w:tcW w:w="1080" w:type="dxa"/>
            <w:vAlign w:val="bottom"/>
          </w:tcPr>
          <w:p>
            <w:pPr>
              <w:jc w:val="right"/>
              <w:spacing w:after="0"/>
              <w:rPr>
                <w:sz w:val="20"/>
                <w:szCs w:val="20"/>
                <w:color w:val="auto"/>
              </w:rPr>
            </w:pPr>
            <w:r>
              <w:rPr>
                <w:rFonts w:ascii="Arial" w:cs="Arial" w:eastAsia="Arial" w:hAnsi="Arial"/>
                <w:sz w:val="16"/>
                <w:szCs w:val="16"/>
                <w:color w:val="auto"/>
              </w:rPr>
              <w:t>19.29</w:t>
            </w:r>
          </w:p>
        </w:tc>
        <w:tc>
          <w:tcPr>
            <w:tcW w:w="100" w:type="dxa"/>
            <w:vAlign w:val="bottom"/>
          </w:tcPr>
          <w:p>
            <w:pPr>
              <w:spacing w:after="0"/>
              <w:rPr>
                <w:sz w:val="20"/>
                <w:szCs w:val="20"/>
                <w:color w:val="auto"/>
              </w:rPr>
            </w:pP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0.65</w:t>
            </w:r>
          </w:p>
        </w:tc>
        <w:tc>
          <w:tcPr>
            <w:tcW w:w="0" w:type="dxa"/>
            <w:vAlign w:val="bottom"/>
          </w:tcPr>
          <w:p>
            <w:pPr>
              <w:spacing w:after="0"/>
              <w:rPr>
                <w:sz w:val="1"/>
                <w:szCs w:val="1"/>
                <w:color w:val="auto"/>
              </w:rPr>
            </w:pPr>
          </w:p>
        </w:tc>
      </w:tr>
    </w:tbl>
    <w:p>
      <w:pPr>
        <w:spacing w:after="0" w:line="235"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We intend to pay monthly dividends to our common stockholders and to distribute all of our annual taxable income in a timely manner. This will enable us to qualify for the tax benefits accorded to a REIT under the Internal Revenue Code. We have not established a minimum dividend payment level and our ability to pay dividends may be adversely affected for the reasons described under the caption "Risk Factors."</w:t>
      </w:r>
    </w:p>
    <w:p>
      <w:pPr>
        <w:spacing w:after="0" w:line="181" w:lineRule="exact"/>
        <w:rPr>
          <w:sz w:val="20"/>
          <w:szCs w:val="20"/>
          <w:color w:val="auto"/>
        </w:rPr>
      </w:pPr>
    </w:p>
    <w:p>
      <w:pPr>
        <w:jc w:val="both"/>
        <w:ind w:firstLine="432"/>
        <w:spacing w:after="0" w:line="254" w:lineRule="auto"/>
        <w:rPr>
          <w:sz w:val="20"/>
          <w:szCs w:val="20"/>
          <w:color w:val="auto"/>
        </w:rPr>
      </w:pPr>
      <w:r>
        <w:rPr>
          <w:rFonts w:ascii="Arial" w:cs="Arial" w:eastAsia="Arial" w:hAnsi="Arial"/>
          <w:sz w:val="17"/>
          <w:szCs w:val="17"/>
          <w:color w:val="auto"/>
        </w:rPr>
        <w:t>In addition, holders of our 8.000% Series A Cumulative Redeemable Preferred Stock ("Series A Preferred Stock") and our 7.750% Series B Cumulative Redeemable Preferred Stock ("Series B Preferred Stock") (each underlying depositary share representing a 1/1000</w:t>
      </w:r>
      <w:r>
        <w:rPr>
          <w:rFonts w:ascii="Arial" w:cs="Arial" w:eastAsia="Arial" w:hAnsi="Arial"/>
          <w:sz w:val="24"/>
          <w:szCs w:val="24"/>
          <w:color w:val="auto"/>
          <w:vertAlign w:val="superscript"/>
        </w:rPr>
        <w:t>th</w:t>
      </w:r>
      <w:r>
        <w:rPr>
          <w:rFonts w:ascii="Arial" w:cs="Arial" w:eastAsia="Arial" w:hAnsi="Arial"/>
          <w:sz w:val="17"/>
          <w:szCs w:val="17"/>
          <w:color w:val="auto"/>
        </w:rPr>
        <w:t xml:space="preserve"> interest in a share of our Series B Preferred Stock) are entitled to receive cumulative cash dividends at a rate of 8.000% and 7.750% per annum, respectively, of their aggregate liquidation preference of $173 million and $175 million, respectively, before holders of our common stock are entitled to receive any dividends. Under certain circumstances upon a change of control, the Series A and Series B Preferred Stock are convertible to shares of our common stock. All distributions will be made at the discretion of our Board of Directors and will depend on our earnings, our financial condition, maintenance of our REIT status and such other factors as our Board of Directors may deem relevant from time to time.</w:t>
      </w:r>
    </w:p>
    <w:p>
      <w:pPr>
        <w:spacing w:after="0" w:line="12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summarizes the tax characterization of dividends declared on our common stock for fiscal years 2015 and 2014:</w:t>
      </w:r>
    </w:p>
    <w:p>
      <w:pPr>
        <w:spacing w:after="0" w:line="230" w:lineRule="exact"/>
        <w:rPr>
          <w:sz w:val="20"/>
          <w:szCs w:val="20"/>
          <w:color w:val="auto"/>
        </w:rPr>
      </w:pPr>
    </w:p>
    <w:tbl>
      <w:tblPr>
        <w:tblLayout w:type="fixed"/>
        <w:tblInd w:w="1300" w:type="dxa"/>
        <w:tblCellMar>
          <w:top w:w="0" w:type="dxa"/>
          <w:left w:w="0" w:type="dxa"/>
          <w:bottom w:w="0" w:type="dxa"/>
          <w:right w:w="0" w:type="dxa"/>
        </w:tblCellMar>
      </w:tblPr>
      <w:tr>
        <w:trPr>
          <w:trHeight w:val="192"/>
        </w:trPr>
        <w:tc>
          <w:tcPr>
            <w:tcW w:w="23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w w:val="95"/>
              </w:rPr>
              <w:t>Tax Characterization</w:t>
            </w:r>
          </w:p>
        </w:tc>
        <w:tc>
          <w:tcPr>
            <w:tcW w:w="18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3"/>
        </w:trPr>
        <w:tc>
          <w:tcPr>
            <w:tcW w:w="2380" w:type="dxa"/>
            <w:vAlign w:val="bottom"/>
          </w:tcPr>
          <w:p>
            <w:pPr>
              <w:ind w:left="40"/>
              <w:spacing w:after="0" w:line="153" w:lineRule="exact"/>
              <w:rPr>
                <w:sz w:val="20"/>
                <w:szCs w:val="20"/>
                <w:color w:val="auto"/>
              </w:rPr>
            </w:pPr>
            <w:r>
              <w:rPr>
                <w:rFonts w:ascii="Arial" w:cs="Arial" w:eastAsia="Arial" w:hAnsi="Arial"/>
                <w:sz w:val="14"/>
                <w:szCs w:val="14"/>
                <w:b w:val="1"/>
                <w:bCs w:val="1"/>
                <w:color w:val="auto"/>
              </w:rPr>
              <w:t>Dividends Declared per Share of</w:t>
            </w:r>
          </w:p>
        </w:tc>
        <w:tc>
          <w:tcPr>
            <w:tcW w:w="1820" w:type="dxa"/>
            <w:vAlign w:val="bottom"/>
            <w:gridSpan w:val="2"/>
          </w:tcPr>
          <w:p>
            <w:pPr>
              <w:jc w:val="right"/>
              <w:ind w:right="122"/>
              <w:spacing w:after="0" w:line="153" w:lineRule="exact"/>
              <w:rPr>
                <w:sz w:val="20"/>
                <w:szCs w:val="20"/>
                <w:color w:val="auto"/>
              </w:rPr>
            </w:pPr>
            <w:r>
              <w:rPr>
                <w:rFonts w:ascii="Arial" w:cs="Arial" w:eastAsia="Arial" w:hAnsi="Arial"/>
                <w:sz w:val="14"/>
                <w:szCs w:val="14"/>
                <w:b w:val="1"/>
                <w:bCs w:val="1"/>
                <w:color w:val="auto"/>
              </w:rPr>
              <w:t>Dividends Declared</w:t>
            </w:r>
          </w:p>
        </w:tc>
        <w:tc>
          <w:tcPr>
            <w:tcW w:w="146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Ordinary Income Per</w:t>
            </w:r>
          </w:p>
        </w:tc>
        <w:tc>
          <w:tcPr>
            <w:tcW w:w="156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Qualified Dividends</w:t>
            </w:r>
          </w:p>
        </w:tc>
        <w:tc>
          <w:tcPr>
            <w:tcW w:w="180" w:type="dxa"/>
            <w:vAlign w:val="bottom"/>
          </w:tcPr>
          <w:p>
            <w:pPr>
              <w:spacing w:after="0"/>
              <w:rPr>
                <w:sz w:val="13"/>
                <w:szCs w:val="13"/>
                <w:color w:val="auto"/>
              </w:rPr>
            </w:pPr>
          </w:p>
        </w:tc>
        <w:tc>
          <w:tcPr>
            <w:tcW w:w="1420" w:type="dxa"/>
            <w:vAlign w:val="bottom"/>
          </w:tcPr>
          <w:p>
            <w:pPr>
              <w:jc w:val="center"/>
              <w:ind w:right="83"/>
              <w:spacing w:after="0" w:line="153" w:lineRule="exact"/>
              <w:rPr>
                <w:sz w:val="20"/>
                <w:szCs w:val="20"/>
                <w:color w:val="auto"/>
              </w:rPr>
            </w:pPr>
            <w:r>
              <w:rPr>
                <w:rFonts w:ascii="Arial" w:cs="Arial" w:eastAsia="Arial" w:hAnsi="Arial"/>
                <w:sz w:val="14"/>
                <w:szCs w:val="14"/>
                <w:b w:val="1"/>
                <w:bCs w:val="1"/>
                <w:color w:val="auto"/>
                <w:w w:val="95"/>
              </w:rPr>
              <w:t>Long-Term Capital</w:t>
            </w:r>
          </w:p>
        </w:tc>
        <w:tc>
          <w:tcPr>
            <w:tcW w:w="0" w:type="dxa"/>
            <w:vAlign w:val="bottom"/>
          </w:tcPr>
          <w:p>
            <w:pPr>
              <w:spacing w:after="0"/>
              <w:rPr>
                <w:sz w:val="1"/>
                <w:szCs w:val="1"/>
                <w:color w:val="auto"/>
              </w:rPr>
            </w:pPr>
          </w:p>
        </w:tc>
      </w:tr>
      <w:tr>
        <w:trPr>
          <w:trHeight w:val="192"/>
        </w:trPr>
        <w:tc>
          <w:tcPr>
            <w:tcW w:w="238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Common Stock</w:t>
            </w:r>
          </w:p>
        </w:tc>
        <w:tc>
          <w:tcPr>
            <w:tcW w:w="56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422"/>
              <w:spacing w:after="0"/>
              <w:rPr>
                <w:sz w:val="20"/>
                <w:szCs w:val="20"/>
                <w:color w:val="auto"/>
              </w:rPr>
            </w:pPr>
            <w:r>
              <w:rPr>
                <w:rFonts w:ascii="Arial" w:cs="Arial" w:eastAsia="Arial" w:hAnsi="Arial"/>
                <w:sz w:val="14"/>
                <w:szCs w:val="14"/>
                <w:b w:val="1"/>
                <w:bCs w:val="1"/>
                <w:color w:val="auto"/>
              </w:rPr>
              <w:t>Per Share</w:t>
            </w:r>
          </w:p>
        </w:tc>
        <w:tc>
          <w:tcPr>
            <w:tcW w:w="3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502"/>
              <w:spacing w:after="0"/>
              <w:rPr>
                <w:sz w:val="20"/>
                <w:szCs w:val="20"/>
                <w:color w:val="auto"/>
              </w:rPr>
            </w:pPr>
            <w:r>
              <w:rPr>
                <w:rFonts w:ascii="Arial" w:cs="Arial" w:eastAsia="Arial" w:hAnsi="Arial"/>
                <w:sz w:val="14"/>
                <w:szCs w:val="14"/>
                <w:b w:val="1"/>
                <w:bCs w:val="1"/>
                <w:color w:val="auto"/>
              </w:rPr>
              <w:t>Share</w:t>
            </w:r>
          </w:p>
        </w:tc>
        <w:tc>
          <w:tcPr>
            <w:tcW w:w="1560" w:type="dxa"/>
            <w:vAlign w:val="bottom"/>
            <w:tcBorders>
              <w:bottom w:val="single" w:sz="8" w:color="auto"/>
            </w:tcBorders>
            <w:gridSpan w:val="2"/>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tcPr>
          <w:p>
            <w:pPr>
              <w:jc w:val="center"/>
              <w:ind w:right="63"/>
              <w:spacing w:after="0"/>
              <w:rPr>
                <w:sz w:val="20"/>
                <w:szCs w:val="20"/>
                <w:color w:val="auto"/>
              </w:rPr>
            </w:pPr>
            <w:r>
              <w:rPr>
                <w:rFonts w:ascii="Arial" w:cs="Arial" w:eastAsia="Arial" w:hAnsi="Arial"/>
                <w:sz w:val="14"/>
                <w:szCs w:val="14"/>
                <w:b w:val="1"/>
                <w:bCs w:val="1"/>
                <w:color w:val="auto"/>
                <w:w w:val="92"/>
              </w:rPr>
              <w:t>Gains Per Share</w:t>
            </w:r>
          </w:p>
        </w:tc>
        <w:tc>
          <w:tcPr>
            <w:tcW w:w="0" w:type="dxa"/>
            <w:vAlign w:val="bottom"/>
          </w:tcPr>
          <w:p>
            <w:pPr>
              <w:spacing w:after="0"/>
              <w:rPr>
                <w:sz w:val="1"/>
                <w:szCs w:val="1"/>
                <w:color w:val="auto"/>
              </w:rPr>
            </w:pPr>
          </w:p>
        </w:tc>
      </w:tr>
      <w:tr>
        <w:trPr>
          <w:trHeight w:val="250"/>
        </w:trPr>
        <w:tc>
          <w:tcPr>
            <w:tcW w:w="2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Fiscal Year 2015</w:t>
            </w:r>
          </w:p>
        </w:tc>
        <w:tc>
          <w:tcPr>
            <w:tcW w:w="56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16"/>
                <w:szCs w:val="16"/>
                <w:color w:val="auto"/>
              </w:rPr>
              <w:t>$</w:t>
            </w:r>
          </w:p>
        </w:tc>
        <w:tc>
          <w:tcPr>
            <w:tcW w:w="1260" w:type="dxa"/>
            <w:vAlign w:val="bottom"/>
            <w:tcBorders>
              <w:bottom w:val="single" w:sz="8" w:color="CCEEFF"/>
            </w:tcBorders>
            <w:shd w:val="clear" w:color="auto" w:fill="CCEEFF"/>
          </w:tcPr>
          <w:p>
            <w:pPr>
              <w:jc w:val="right"/>
              <w:ind w:right="102"/>
              <w:spacing w:after="0"/>
              <w:rPr>
                <w:sz w:val="20"/>
                <w:szCs w:val="20"/>
                <w:color w:val="auto"/>
              </w:rPr>
            </w:pPr>
            <w:r>
              <w:rPr>
                <w:rFonts w:ascii="Arial" w:cs="Arial" w:eastAsia="Arial" w:hAnsi="Arial"/>
                <w:sz w:val="16"/>
                <w:szCs w:val="16"/>
                <w:color w:val="auto"/>
              </w:rPr>
              <w:t>2.48</w:t>
            </w:r>
          </w:p>
        </w:tc>
        <w:tc>
          <w:tcPr>
            <w:tcW w:w="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16"/>
                <w:szCs w:val="16"/>
                <w:color w:val="auto"/>
              </w:rPr>
              <w:t>2.480000</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80" w:type="dxa"/>
            <w:vAlign w:val="bottom"/>
            <w:tcBorders>
              <w:bottom w:val="single" w:sz="8" w:color="CCEEFF"/>
            </w:tcBorders>
            <w:shd w:val="clear" w:color="auto" w:fill="CCEEFF"/>
          </w:tcPr>
          <w:p>
            <w:pPr>
              <w:ind w:left="106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420" w:type="dxa"/>
            <w:vAlign w:val="bottom"/>
            <w:tcBorders>
              <w:bottom w:val="single" w:sz="8" w:color="CCEEFF"/>
            </w:tcBorders>
            <w:shd w:val="clear" w:color="auto" w:fill="CCEEFF"/>
          </w:tcPr>
          <w:p>
            <w:pPr>
              <w:ind w:left="118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2380" w:type="dxa"/>
            <w:vAlign w:val="bottom"/>
          </w:tcPr>
          <w:p>
            <w:pPr>
              <w:ind w:left="40"/>
              <w:spacing w:after="0"/>
              <w:rPr>
                <w:sz w:val="20"/>
                <w:szCs w:val="20"/>
                <w:color w:val="auto"/>
              </w:rPr>
            </w:pPr>
            <w:r>
              <w:rPr>
                <w:rFonts w:ascii="Arial" w:cs="Arial" w:eastAsia="Arial" w:hAnsi="Arial"/>
                <w:sz w:val="16"/>
                <w:szCs w:val="16"/>
                <w:color w:val="auto"/>
              </w:rPr>
              <w:t>Fiscal Year 2014</w:t>
            </w:r>
          </w:p>
        </w:tc>
        <w:tc>
          <w:tcPr>
            <w:tcW w:w="560" w:type="dxa"/>
            <w:vAlign w:val="bottom"/>
          </w:tcPr>
          <w:p>
            <w:pPr>
              <w:jc w:val="right"/>
              <w:ind w:right="62"/>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102"/>
              <w:spacing w:after="0"/>
              <w:rPr>
                <w:sz w:val="20"/>
                <w:szCs w:val="20"/>
                <w:color w:val="auto"/>
              </w:rPr>
            </w:pPr>
            <w:r>
              <w:rPr>
                <w:rFonts w:ascii="Arial" w:cs="Arial" w:eastAsia="Arial" w:hAnsi="Arial"/>
                <w:sz w:val="16"/>
                <w:szCs w:val="16"/>
                <w:color w:val="auto"/>
              </w:rPr>
              <w:t>2.61</w:t>
            </w:r>
          </w:p>
        </w:tc>
        <w:tc>
          <w:tcPr>
            <w:tcW w:w="320" w:type="dxa"/>
            <w:vAlign w:val="bottom"/>
          </w:tcPr>
          <w:p>
            <w:pPr>
              <w:ind w:left="40"/>
              <w:spacing w:after="0"/>
              <w:rPr>
                <w:sz w:val="20"/>
                <w:szCs w:val="20"/>
                <w:color w:val="auto"/>
              </w:rPr>
            </w:pPr>
            <w:r>
              <w:rPr>
                <w:rFonts w:ascii="Arial" w:cs="Arial" w:eastAsia="Arial" w:hAnsi="Arial"/>
                <w:sz w:val="16"/>
                <w:szCs w:val="16"/>
                <w:color w:val="auto"/>
              </w:rPr>
              <w:t>$</w:t>
            </w:r>
          </w:p>
        </w:tc>
        <w:tc>
          <w:tcPr>
            <w:tcW w:w="1140" w:type="dxa"/>
            <w:vAlign w:val="bottom"/>
          </w:tcPr>
          <w:p>
            <w:pPr>
              <w:jc w:val="right"/>
              <w:ind w:right="62"/>
              <w:spacing w:after="0"/>
              <w:rPr>
                <w:sz w:val="20"/>
                <w:szCs w:val="20"/>
                <w:color w:val="auto"/>
              </w:rPr>
            </w:pPr>
            <w:r>
              <w:rPr>
                <w:rFonts w:ascii="Arial" w:cs="Arial" w:eastAsia="Arial" w:hAnsi="Arial"/>
                <w:sz w:val="16"/>
                <w:szCs w:val="16"/>
                <w:color w:val="auto"/>
              </w:rPr>
              <w:t>2.610000</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380" w:type="dxa"/>
            <w:vAlign w:val="bottom"/>
          </w:tcPr>
          <w:p>
            <w:pPr>
              <w:ind w:left="1060"/>
              <w:spacing w:after="0"/>
              <w:rPr>
                <w:sz w:val="20"/>
                <w:szCs w:val="20"/>
                <w:color w:val="auto"/>
              </w:rPr>
            </w:pPr>
            <w:r>
              <w:rPr>
                <w:rFonts w:ascii="Arial" w:cs="Arial" w:eastAsia="Arial" w:hAnsi="Arial"/>
                <w:sz w:val="16"/>
                <w:szCs w:val="16"/>
                <w:color w:val="auto"/>
              </w:rPr>
              <w:t>—</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420" w:type="dxa"/>
            <w:vAlign w:val="bottom"/>
          </w:tcPr>
          <w:p>
            <w:pPr>
              <w:ind w:left="118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bl>
    <w:p>
      <w:pPr>
        <w:spacing w:after="0" w:line="383" w:lineRule="exact"/>
        <w:rPr>
          <w:sz w:val="20"/>
          <w:szCs w:val="20"/>
          <w:color w:val="auto"/>
        </w:rPr>
      </w:pPr>
    </w:p>
    <w:p>
      <w:pPr>
        <w:ind w:right="20" w:firstLine="432"/>
        <w:spacing w:after="0" w:line="277" w:lineRule="auto"/>
        <w:rPr>
          <w:sz w:val="20"/>
          <w:szCs w:val="20"/>
          <w:color w:val="auto"/>
        </w:rPr>
      </w:pPr>
      <w:r>
        <w:rPr>
          <w:rFonts w:ascii="Arial" w:cs="Arial" w:eastAsia="Arial" w:hAnsi="Arial"/>
          <w:sz w:val="18"/>
          <w:szCs w:val="18"/>
          <w:color w:val="auto"/>
        </w:rPr>
        <w:t>Our stock transfer agent and registrar is Computershare Investor Services. Requests for information from Computershare can be sent to Computershare Investor Services, P.O. Box 43078, Providence, RI 02940-3078 and their telephone number is 1-800-733-5001.</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580" w:right="239" w:bottom="1440" w:gutter="0" w:footer="0" w:header="0"/>
        </w:sectPr>
      </w:pPr>
    </w:p>
    <w:bookmarkStart w:id="37" w:name="page38"/>
    <w:bookmarkEnd w:id="37"/>
    <w:p>
      <w:pPr>
        <w:spacing w:after="0"/>
        <w:rPr>
          <w:sz w:val="20"/>
          <w:szCs w:val="20"/>
          <w:color w:val="auto"/>
        </w:rPr>
      </w:pPr>
      <w:r>
        <w:rPr>
          <w:rFonts w:ascii="Arial" w:cs="Arial" w:eastAsia="Arial" w:hAnsi="Arial"/>
          <w:sz w:val="18"/>
          <w:szCs w:val="18"/>
          <w:b w:val="1"/>
          <w:bCs w:val="1"/>
          <w:color w:val="auto"/>
        </w:rPr>
        <w:t>Stock Repurchase Program</w:t>
      </w:r>
    </w:p>
    <w:p>
      <w:pPr>
        <w:spacing w:after="0" w:line="162" w:lineRule="exact"/>
        <w:rPr>
          <w:sz w:val="20"/>
          <w:szCs w:val="20"/>
          <w:color w:val="auto"/>
        </w:rPr>
      </w:pPr>
    </w:p>
    <w:p>
      <w:pPr>
        <w:ind w:firstLine="432"/>
        <w:spacing w:after="0" w:line="308" w:lineRule="auto"/>
        <w:rPr>
          <w:sz w:val="20"/>
          <w:szCs w:val="20"/>
          <w:color w:val="auto"/>
        </w:rPr>
      </w:pPr>
      <w:r>
        <w:rPr>
          <w:rFonts w:ascii="Arial" w:cs="Arial" w:eastAsia="Arial" w:hAnsi="Arial"/>
          <w:sz w:val="17"/>
          <w:szCs w:val="17"/>
          <w:color w:val="auto"/>
        </w:rPr>
        <w:t>The following table presents information with respect to purchases of our common stock made during the fourth quarter ended December 31, 2015 by us or any "affiliated purchaser" of us, as defined in Rule 10b-18(a)(3) under the Exchange Act (in millions, except per share amounts.</w:t>
      </w:r>
    </w:p>
    <w:p>
      <w:pPr>
        <w:spacing w:after="0" w:line="8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2"/>
              </w:rPr>
              <w:t>Total Number of Shares</w:t>
            </w:r>
          </w:p>
        </w:tc>
        <w:tc>
          <w:tcPr>
            <w:tcW w:w="1700" w:type="dxa"/>
            <w:vAlign w:val="bottom"/>
          </w:tcPr>
          <w:p>
            <w:pPr>
              <w:jc w:val="center"/>
              <w:spacing w:after="0"/>
              <w:rPr>
                <w:sz w:val="20"/>
                <w:szCs w:val="20"/>
                <w:color w:val="auto"/>
              </w:rPr>
            </w:pPr>
            <w:r>
              <w:rPr>
                <w:rFonts w:ascii="Arial" w:cs="Arial" w:eastAsia="Arial" w:hAnsi="Arial"/>
                <w:sz w:val="14"/>
                <w:szCs w:val="14"/>
                <w:b w:val="1"/>
                <w:bCs w:val="1"/>
                <w:color w:val="auto"/>
                <w:w w:val="96"/>
              </w:rPr>
              <w:t>Maximum Number of</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0" w:type="dxa"/>
            <w:vAlign w:val="bottom"/>
            <w:gridSpan w:val="2"/>
            <w:vMerge w:val="continue"/>
          </w:tcPr>
          <w:p>
            <w:pPr>
              <w:spacing w:after="0"/>
              <w:rPr>
                <w:sz w:val="12"/>
                <w:szCs w:val="12"/>
                <w:color w:val="auto"/>
              </w:rPr>
            </w:pPr>
          </w:p>
        </w:tc>
        <w:tc>
          <w:tcPr>
            <w:tcW w:w="17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Shares That May Yet Be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4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2"/>
              </w:rPr>
              <w:t>Total Number of Shares</w:t>
            </w:r>
          </w:p>
        </w:tc>
        <w:tc>
          <w:tcPr>
            <w:tcW w:w="120" w:type="dxa"/>
            <w:vAlign w:val="bottom"/>
          </w:tcPr>
          <w:p>
            <w:pPr>
              <w:spacing w:after="0"/>
              <w:rPr>
                <w:sz w:val="12"/>
                <w:szCs w:val="12"/>
                <w:color w:val="auto"/>
              </w:rPr>
            </w:pPr>
          </w:p>
        </w:tc>
        <w:tc>
          <w:tcPr>
            <w:tcW w:w="170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Average Price Paid Per</w:t>
            </w:r>
          </w:p>
        </w:tc>
        <w:tc>
          <w:tcPr>
            <w:tcW w:w="18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Purchased as Part of</w:t>
            </w:r>
          </w:p>
        </w:tc>
        <w:tc>
          <w:tcPr>
            <w:tcW w:w="17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Purchased Under the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00" w:type="dxa"/>
            <w:vAlign w:val="bottom"/>
            <w:vMerge w:val="restart"/>
          </w:tcPr>
          <w:p>
            <w:pPr>
              <w:ind w:left="1560"/>
              <w:spacing w:after="0"/>
              <w:rPr>
                <w:sz w:val="20"/>
                <w:szCs w:val="20"/>
                <w:color w:val="auto"/>
              </w:rPr>
            </w:pPr>
            <w:r>
              <w:rPr>
                <w:rFonts w:ascii="Arial" w:cs="Arial" w:eastAsia="Arial" w:hAnsi="Arial"/>
                <w:sz w:val="14"/>
                <w:szCs w:val="14"/>
                <w:b w:val="1"/>
                <w:bCs w:val="1"/>
                <w:color w:val="auto"/>
              </w:rPr>
              <w:t>Settlement Date</w:t>
            </w:r>
          </w:p>
        </w:tc>
        <w:tc>
          <w:tcPr>
            <w:tcW w:w="120" w:type="dxa"/>
            <w:vAlign w:val="bottom"/>
            <w:vMerge w:val="restart"/>
          </w:tcPr>
          <w:p>
            <w:pPr>
              <w:spacing w:after="0"/>
              <w:rPr>
                <w:sz w:val="12"/>
                <w:szCs w:val="12"/>
                <w:color w:val="auto"/>
              </w:rPr>
            </w:pPr>
          </w:p>
        </w:tc>
        <w:tc>
          <w:tcPr>
            <w:tcW w:w="18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700" w:type="dxa"/>
            <w:vAlign w:val="bottom"/>
            <w:gridSpan w:val="2"/>
            <w:vMerge w:val="continue"/>
          </w:tcPr>
          <w:p>
            <w:pPr>
              <w:spacing w:after="0"/>
              <w:rPr>
                <w:sz w:val="12"/>
                <w:szCs w:val="12"/>
                <w:color w:val="auto"/>
              </w:rPr>
            </w:pPr>
          </w:p>
        </w:tc>
        <w:tc>
          <w:tcPr>
            <w:tcW w:w="180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2"/>
              </w:rPr>
              <w:t>Publicly Announced Plans</w:t>
            </w:r>
          </w:p>
        </w:tc>
        <w:tc>
          <w:tcPr>
            <w:tcW w:w="17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Publicly Announced Plans</w:t>
            </w: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41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Purchased</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tcPr>
          <w:p>
            <w:pPr>
              <w:jc w:val="right"/>
              <w:ind w:right="543"/>
              <w:spacing w:after="0"/>
              <w:rPr>
                <w:sz w:val="20"/>
                <w:szCs w:val="20"/>
                <w:color w:val="auto"/>
              </w:rPr>
            </w:pPr>
            <w:r>
              <w:rPr>
                <w:rFonts w:ascii="Arial" w:cs="Arial" w:eastAsia="Arial" w:hAnsi="Arial"/>
                <w:sz w:val="14"/>
                <w:szCs w:val="14"/>
                <w:b w:val="1"/>
                <w:bCs w:val="1"/>
                <w:color w:val="auto"/>
              </w:rPr>
              <w:t xml:space="preserve">Share </w:t>
            </w:r>
            <w:r>
              <w:rPr>
                <w:rFonts w:ascii="Arial" w:cs="Arial" w:eastAsia="Arial" w:hAnsi="Arial"/>
                <w:sz w:val="8"/>
                <w:szCs w:val="8"/>
                <w:b w:val="1"/>
                <w:bCs w:val="1"/>
                <w:color w:val="auto"/>
              </w:rPr>
              <w:t>1</w:t>
            </w:r>
          </w:p>
        </w:tc>
        <w:tc>
          <w:tcPr>
            <w:tcW w:w="120" w:type="dxa"/>
            <w:vAlign w:val="bottom"/>
            <w:tcBorders>
              <w:bottom w:val="single" w:sz="8" w:color="CCEEFF"/>
            </w:tcBorders>
          </w:tcPr>
          <w:p>
            <w:pPr>
              <w:spacing w:after="0"/>
              <w:rPr>
                <w:sz w:val="16"/>
                <w:szCs w:val="16"/>
                <w:color w:val="auto"/>
              </w:rPr>
            </w:pP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 xml:space="preserve">or Programs </w:t>
            </w:r>
            <w:r>
              <w:rPr>
                <w:rFonts w:ascii="Arial" w:cs="Arial" w:eastAsia="Arial" w:hAnsi="Arial"/>
                <w:sz w:val="8"/>
                <w:szCs w:val="8"/>
                <w:b w:val="1"/>
                <w:bCs w:val="1"/>
                <w:color w:val="auto"/>
                <w:w w:val="93"/>
              </w:rPr>
              <w:t>2</w:t>
            </w:r>
          </w:p>
        </w:tc>
        <w:tc>
          <w:tcPr>
            <w:tcW w:w="100" w:type="dxa"/>
            <w:vAlign w:val="bottom"/>
            <w:tcBorders>
              <w:bottom w:val="single" w:sz="8" w:color="CCEEFF"/>
            </w:tcBorders>
          </w:tcPr>
          <w:p>
            <w:pPr>
              <w:spacing w:after="0"/>
              <w:rPr>
                <w:sz w:val="16"/>
                <w:szCs w:val="16"/>
                <w:color w:val="auto"/>
              </w:rPr>
            </w:pP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or Programs</w:t>
            </w: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42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November 3 - 24, 2015</w:t>
            </w:r>
          </w:p>
        </w:tc>
        <w:tc>
          <w:tcPr>
            <w:tcW w:w="17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8.7</w:t>
            </w: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580" w:type="dxa"/>
            <w:vAlign w:val="bottom"/>
            <w:tcBorders>
              <w:bottom w:val="single" w:sz="8" w:color="CCEEFF"/>
            </w:tcBorders>
            <w:shd w:val="clear" w:color="auto" w:fill="CCEEFF"/>
          </w:tcPr>
          <w:p>
            <w:pPr>
              <w:jc w:val="right"/>
              <w:ind w:right="23"/>
              <w:spacing w:after="0"/>
              <w:rPr>
                <w:sz w:val="20"/>
                <w:szCs w:val="20"/>
                <w:color w:val="auto"/>
              </w:rPr>
            </w:pPr>
            <w:r>
              <w:rPr>
                <w:rFonts w:ascii="Arial" w:cs="Arial" w:eastAsia="Arial" w:hAnsi="Arial"/>
                <w:sz w:val="16"/>
                <w:szCs w:val="16"/>
                <w:color w:val="auto"/>
              </w:rPr>
              <w:t>17.91</w:t>
            </w:r>
          </w:p>
        </w:tc>
        <w:tc>
          <w:tcPr>
            <w:tcW w:w="12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8.7</w:t>
            </w:r>
          </w:p>
        </w:tc>
        <w:tc>
          <w:tcPr>
            <w:tcW w:w="10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rPr>
              <w:t>N/A</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4220" w:type="dxa"/>
            <w:vAlign w:val="bottom"/>
            <w:gridSpan w:val="2"/>
          </w:tcPr>
          <w:p>
            <w:pPr>
              <w:ind w:left="20"/>
              <w:spacing w:after="0"/>
              <w:rPr>
                <w:sz w:val="20"/>
                <w:szCs w:val="20"/>
                <w:color w:val="auto"/>
              </w:rPr>
            </w:pPr>
            <w:r>
              <w:rPr>
                <w:rFonts w:ascii="Arial" w:cs="Arial" w:eastAsia="Arial" w:hAnsi="Arial"/>
                <w:sz w:val="16"/>
                <w:szCs w:val="16"/>
                <w:color w:val="auto"/>
              </w:rPr>
              <w:t>December 17 - 18, 2015</w:t>
            </w:r>
          </w:p>
        </w:tc>
        <w:tc>
          <w:tcPr>
            <w:tcW w:w="1720" w:type="dxa"/>
            <w:vAlign w:val="bottom"/>
          </w:tcPr>
          <w:p>
            <w:pPr>
              <w:jc w:val="center"/>
              <w:spacing w:after="0"/>
              <w:rPr>
                <w:sz w:val="20"/>
                <w:szCs w:val="20"/>
                <w:color w:val="auto"/>
              </w:rPr>
            </w:pPr>
            <w:r>
              <w:rPr>
                <w:rFonts w:ascii="Arial" w:cs="Arial" w:eastAsia="Arial" w:hAnsi="Arial"/>
                <w:sz w:val="16"/>
                <w:szCs w:val="16"/>
                <w:color w:val="auto"/>
                <w:w w:val="89"/>
              </w:rPr>
              <w:t>0.3</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80" w:type="dxa"/>
            <w:vAlign w:val="bottom"/>
          </w:tcPr>
          <w:p>
            <w:pPr>
              <w:jc w:val="right"/>
              <w:ind w:right="23"/>
              <w:spacing w:after="0"/>
              <w:rPr>
                <w:sz w:val="20"/>
                <w:szCs w:val="20"/>
                <w:color w:val="auto"/>
              </w:rPr>
            </w:pPr>
            <w:r>
              <w:rPr>
                <w:rFonts w:ascii="Arial" w:cs="Arial" w:eastAsia="Arial" w:hAnsi="Arial"/>
                <w:sz w:val="16"/>
                <w:szCs w:val="16"/>
                <w:color w:val="auto"/>
              </w:rPr>
              <w:t>17.03</w:t>
            </w:r>
          </w:p>
        </w:tc>
        <w:tc>
          <w:tcPr>
            <w:tcW w:w="120" w:type="dxa"/>
            <w:vAlign w:val="bottom"/>
          </w:tcPr>
          <w:p>
            <w:pPr>
              <w:spacing w:after="0"/>
              <w:rPr>
                <w:sz w:val="20"/>
                <w:szCs w:val="20"/>
                <w:color w:val="auto"/>
              </w:rPr>
            </w:pPr>
          </w:p>
        </w:tc>
        <w:tc>
          <w:tcPr>
            <w:tcW w:w="1700" w:type="dxa"/>
            <w:vAlign w:val="bottom"/>
          </w:tcPr>
          <w:p>
            <w:pPr>
              <w:jc w:val="center"/>
              <w:spacing w:after="0"/>
              <w:rPr>
                <w:sz w:val="20"/>
                <w:szCs w:val="20"/>
                <w:color w:val="auto"/>
              </w:rPr>
            </w:pPr>
            <w:r>
              <w:rPr>
                <w:rFonts w:ascii="Arial" w:cs="Arial" w:eastAsia="Arial" w:hAnsi="Arial"/>
                <w:sz w:val="16"/>
                <w:szCs w:val="16"/>
                <w:color w:val="auto"/>
                <w:w w:val="89"/>
              </w:rPr>
              <w:t>0.3</w:t>
            </w:r>
          </w:p>
        </w:tc>
        <w:tc>
          <w:tcPr>
            <w:tcW w:w="100" w:type="dxa"/>
            <w:vAlign w:val="bottom"/>
          </w:tcPr>
          <w:p>
            <w:pPr>
              <w:spacing w:after="0"/>
              <w:rPr>
                <w:sz w:val="20"/>
                <w:szCs w:val="20"/>
                <w:color w:val="auto"/>
              </w:rPr>
            </w:pPr>
          </w:p>
        </w:tc>
        <w:tc>
          <w:tcPr>
            <w:tcW w:w="1700" w:type="dxa"/>
            <w:vAlign w:val="bottom"/>
          </w:tcPr>
          <w:p>
            <w:pPr>
              <w:jc w:val="center"/>
              <w:spacing w:after="0"/>
              <w:rPr>
                <w:sz w:val="20"/>
                <w:szCs w:val="20"/>
                <w:color w:val="auto"/>
              </w:rPr>
            </w:pPr>
            <w:r>
              <w:rPr>
                <w:rFonts w:ascii="Arial" w:cs="Arial" w:eastAsia="Arial" w:hAnsi="Arial"/>
                <w:sz w:val="16"/>
                <w:szCs w:val="16"/>
                <w:color w:val="auto"/>
              </w:rPr>
              <w:t>N/A</w:t>
            </w: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41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0" w:type="dxa"/>
            <w:vAlign w:val="bottom"/>
          </w:tcPr>
          <w:p>
            <w:pPr>
              <w:spacing w:after="0"/>
              <w:rPr>
                <w:sz w:val="21"/>
                <w:szCs w:val="21"/>
                <w:color w:val="auto"/>
              </w:rPr>
            </w:pPr>
          </w:p>
        </w:tc>
        <w:tc>
          <w:tcPr>
            <w:tcW w:w="42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Fourth quarter 2015</w:t>
            </w:r>
          </w:p>
        </w:tc>
        <w:tc>
          <w:tcPr>
            <w:tcW w:w="17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89"/>
              </w:rPr>
              <w:t>9.0</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580" w:type="dxa"/>
            <w:vAlign w:val="bottom"/>
            <w:tcBorders>
              <w:bottom w:val="single" w:sz="8" w:color="auto"/>
            </w:tcBorders>
            <w:shd w:val="clear" w:color="auto" w:fill="CCEEFF"/>
          </w:tcPr>
          <w:p>
            <w:pPr>
              <w:jc w:val="right"/>
              <w:ind w:right="23"/>
              <w:spacing w:after="0"/>
              <w:rPr>
                <w:sz w:val="20"/>
                <w:szCs w:val="20"/>
                <w:color w:val="auto"/>
              </w:rPr>
            </w:pPr>
            <w:r>
              <w:rPr>
                <w:rFonts w:ascii="Arial" w:cs="Arial" w:eastAsia="Arial" w:hAnsi="Arial"/>
                <w:sz w:val="16"/>
                <w:szCs w:val="16"/>
                <w:color w:val="auto"/>
              </w:rPr>
              <w:t>17.88</w:t>
            </w:r>
          </w:p>
        </w:tc>
        <w:tc>
          <w:tcPr>
            <w:tcW w:w="12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89"/>
              </w:rPr>
              <w:t>9.0</w:t>
            </w:r>
          </w:p>
        </w:tc>
        <w:tc>
          <w:tcPr>
            <w:tcW w:w="10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rPr>
              <w:t>N/A</w:t>
            </w:r>
          </w:p>
        </w:tc>
        <w:tc>
          <w:tcPr>
            <w:tcW w:w="0" w:type="dxa"/>
            <w:vAlign w:val="bottom"/>
          </w:tcPr>
          <w:p>
            <w:pPr>
              <w:spacing w:after="0"/>
              <w:rPr>
                <w:sz w:val="1"/>
                <w:szCs w:val="1"/>
                <w:color w:val="auto"/>
              </w:rPr>
            </w:pPr>
          </w:p>
        </w:tc>
      </w:tr>
      <w:tr>
        <w:trPr>
          <w:trHeight w:val="20"/>
        </w:trPr>
        <w:tc>
          <w:tcPr>
            <w:tcW w:w="4120" w:type="dxa"/>
            <w:vAlign w:val="bottom"/>
            <w:gridSpan w:val="2"/>
            <w:vMerge w:val="restart"/>
          </w:tcPr>
          <w:p>
            <w:pPr>
              <w:jc w:val="right"/>
              <w:ind w:right="961"/>
              <w:spacing w:after="0"/>
              <w:rPr>
                <w:sz w:val="20"/>
                <w:szCs w:val="20"/>
                <w:color w:val="auto"/>
              </w:rPr>
            </w:pPr>
            <w:r>
              <w:rPr>
                <w:rFonts w:ascii="Arial" w:cs="Arial" w:eastAsia="Arial" w:hAnsi="Arial"/>
                <w:sz w:val="11"/>
                <w:szCs w:val="11"/>
                <w:color w:val="auto"/>
                <w:w w:val="87"/>
              </w:rPr>
              <w:t>_________________________________________________________</w:t>
            </w:r>
          </w:p>
        </w:tc>
        <w:tc>
          <w:tcPr>
            <w:tcW w:w="120" w:type="dxa"/>
            <w:vAlign w:val="bottom"/>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412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17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580" w:type="dxa"/>
            <w:vAlign w:val="bottom"/>
          </w:tcPr>
          <w:p>
            <w:pPr>
              <w:spacing w:after="0"/>
              <w:rPr>
                <w:sz w:val="8"/>
                <w:szCs w:val="8"/>
                <w:color w:val="auto"/>
              </w:rPr>
            </w:pPr>
          </w:p>
        </w:tc>
        <w:tc>
          <w:tcPr>
            <w:tcW w:w="120" w:type="dxa"/>
            <w:vAlign w:val="bottom"/>
          </w:tcPr>
          <w:p>
            <w:pPr>
              <w:spacing w:after="0"/>
              <w:rPr>
                <w:sz w:val="8"/>
                <w:szCs w:val="8"/>
                <w:color w:val="auto"/>
              </w:rPr>
            </w:pPr>
          </w:p>
        </w:tc>
        <w:tc>
          <w:tcPr>
            <w:tcW w:w="1700" w:type="dxa"/>
            <w:vAlign w:val="bottom"/>
          </w:tcPr>
          <w:p>
            <w:pPr>
              <w:spacing w:after="0"/>
              <w:rPr>
                <w:sz w:val="8"/>
                <w:szCs w:val="8"/>
                <w:color w:val="auto"/>
              </w:rPr>
            </w:pPr>
          </w:p>
        </w:tc>
        <w:tc>
          <w:tcPr>
            <w:tcW w:w="100" w:type="dxa"/>
            <w:vAlign w:val="bottom"/>
          </w:tcPr>
          <w:p>
            <w:pPr>
              <w:spacing w:after="0"/>
              <w:rPr>
                <w:sz w:val="8"/>
                <w:szCs w:val="8"/>
                <w:color w:val="auto"/>
              </w:rPr>
            </w:pPr>
          </w:p>
        </w:tc>
        <w:tc>
          <w:tcPr>
            <w:tcW w:w="170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19"/>
        </w:numPr>
        <w:rPr>
          <w:rFonts w:ascii="Arial" w:cs="Arial" w:eastAsia="Arial" w:hAnsi="Arial"/>
          <w:sz w:val="14"/>
          <w:szCs w:val="14"/>
          <w:color w:val="auto"/>
        </w:rPr>
      </w:pPr>
      <w:r>
        <w:rPr>
          <w:rFonts w:ascii="Arial" w:cs="Arial" w:eastAsia="Arial" w:hAnsi="Arial"/>
          <w:sz w:val="14"/>
          <w:szCs w:val="14"/>
          <w:color w:val="auto"/>
        </w:rPr>
        <w:t>Average price paid per share includes transaction costs.</w:t>
      </w:r>
    </w:p>
    <w:p>
      <w:pPr>
        <w:spacing w:after="0" w:line="1" w:lineRule="exact"/>
        <w:rPr>
          <w:rFonts w:ascii="Arial" w:cs="Arial" w:eastAsia="Arial" w:hAnsi="Arial"/>
          <w:sz w:val="14"/>
          <w:szCs w:val="14"/>
          <w:color w:val="auto"/>
        </w:rPr>
      </w:pPr>
    </w:p>
    <w:p>
      <w:pPr>
        <w:ind w:left="660" w:right="620" w:hanging="328"/>
        <w:spacing w:after="0" w:line="255" w:lineRule="auto"/>
        <w:tabs>
          <w:tab w:leader="none" w:pos="660" w:val="left"/>
        </w:tabs>
        <w:numPr>
          <w:ilvl w:val="0"/>
          <w:numId w:val="19"/>
        </w:numPr>
        <w:rPr>
          <w:rFonts w:ascii="Arial" w:cs="Arial" w:eastAsia="Arial" w:hAnsi="Arial"/>
          <w:sz w:val="14"/>
          <w:szCs w:val="14"/>
          <w:color w:val="auto"/>
        </w:rPr>
      </w:pPr>
      <w:r>
        <w:rPr>
          <w:rFonts w:ascii="Arial" w:cs="Arial" w:eastAsia="Arial" w:hAnsi="Arial"/>
          <w:sz w:val="14"/>
          <w:szCs w:val="14"/>
          <w:color w:val="auto"/>
        </w:rPr>
        <w:t>All shares were purchased by us pursuant to the stock repurchase program adopted by our Board of Directors described in Note 10 of our accompanying Consolidated Financial Statements in this Form 10-K.</w:t>
      </w:r>
    </w:p>
    <w:p>
      <w:pPr>
        <w:spacing w:after="0" w:line="213"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Equity Compensation Plan Information</w:t>
      </w:r>
    </w:p>
    <w:p>
      <w:pPr>
        <w:spacing w:after="0" w:line="216"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We have adopted a long term stock incentive plan, or Incentive Plan, to provide for the issuance of equity-based awards, including stock options, restricted stock units and unrestricted stock awards to our independent directors.</w:t>
      </w:r>
    </w:p>
    <w:p>
      <w:pPr>
        <w:spacing w:after="0" w:line="103" w:lineRule="exact"/>
        <w:rPr>
          <w:sz w:val="20"/>
          <w:szCs w:val="20"/>
          <w:color w:val="auto"/>
        </w:rPr>
      </w:pPr>
    </w:p>
    <w:p>
      <w:pPr>
        <w:ind w:right="160" w:firstLine="432"/>
        <w:spacing w:after="0" w:line="277" w:lineRule="auto"/>
        <w:rPr>
          <w:sz w:val="20"/>
          <w:szCs w:val="20"/>
          <w:color w:val="auto"/>
        </w:rPr>
      </w:pPr>
      <w:r>
        <w:rPr>
          <w:rFonts w:ascii="Arial" w:cs="Arial" w:eastAsia="Arial" w:hAnsi="Arial"/>
          <w:sz w:val="18"/>
          <w:szCs w:val="18"/>
          <w:color w:val="auto"/>
        </w:rPr>
        <w:t>The following table provides information as of December 31, 2015 concerning shares of our common stock authorized for issuance under our existing Incentive Plan.</w:t>
      </w:r>
    </w:p>
    <w:p>
      <w:pPr>
        <w:spacing w:after="0" w:line="9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80" w:type="dxa"/>
            <w:vAlign w:val="bottom"/>
          </w:tcPr>
          <w:p>
            <w:pPr>
              <w:spacing w:after="0"/>
              <w:rPr>
                <w:sz w:val="14"/>
                <w:szCs w:val="14"/>
                <w:color w:val="auto"/>
              </w:rPr>
            </w:pPr>
          </w:p>
        </w:tc>
        <w:tc>
          <w:tcPr>
            <w:tcW w:w="5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0"/>
              </w:rPr>
              <w:t>Number of securities to be</w:t>
            </w:r>
          </w:p>
        </w:tc>
        <w:tc>
          <w:tcPr>
            <w:tcW w:w="120" w:type="dxa"/>
            <w:vAlign w:val="bottom"/>
          </w:tcPr>
          <w:p>
            <w:pPr>
              <w:spacing w:after="0"/>
              <w:rPr>
                <w:sz w:val="14"/>
                <w:szCs w:val="14"/>
                <w:color w:val="auto"/>
              </w:rPr>
            </w:pPr>
          </w:p>
        </w:tc>
        <w:tc>
          <w:tcPr>
            <w:tcW w:w="150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1"/>
              </w:rPr>
              <w:t>Weighted average</w:t>
            </w:r>
          </w:p>
        </w:tc>
        <w:tc>
          <w:tcPr>
            <w:tcW w:w="2160" w:type="dxa"/>
            <w:vAlign w:val="bottom"/>
          </w:tcPr>
          <w:p>
            <w:pPr>
              <w:jc w:val="center"/>
              <w:spacing w:after="0"/>
              <w:rPr>
                <w:sz w:val="20"/>
                <w:szCs w:val="20"/>
                <w:color w:val="auto"/>
              </w:rPr>
            </w:pPr>
            <w:r>
              <w:rPr>
                <w:rFonts w:ascii="Arial" w:cs="Arial" w:eastAsia="Arial" w:hAnsi="Arial"/>
                <w:sz w:val="14"/>
                <w:szCs w:val="14"/>
                <w:b w:val="1"/>
                <w:bCs w:val="1"/>
                <w:color w:val="auto"/>
                <w:w w:val="92"/>
              </w:rPr>
              <w:t>Number of securities remaining</w:t>
            </w:r>
          </w:p>
        </w:tc>
        <w:tc>
          <w:tcPr>
            <w:tcW w:w="0" w:type="dxa"/>
            <w:vAlign w:val="bottom"/>
          </w:tcPr>
          <w:p>
            <w:pPr>
              <w:spacing w:after="0"/>
              <w:rPr>
                <w:sz w:val="1"/>
                <w:szCs w:val="1"/>
                <w:color w:val="auto"/>
              </w:rPr>
            </w:pPr>
          </w:p>
        </w:tc>
      </w:tr>
      <w:tr>
        <w:trPr>
          <w:trHeight w:val="149"/>
        </w:trPr>
        <w:tc>
          <w:tcPr>
            <w:tcW w:w="280" w:type="dxa"/>
            <w:vAlign w:val="bottom"/>
          </w:tcPr>
          <w:p>
            <w:pPr>
              <w:spacing w:after="0"/>
              <w:rPr>
                <w:sz w:val="12"/>
                <w:szCs w:val="12"/>
                <w:color w:val="auto"/>
              </w:rPr>
            </w:pPr>
          </w:p>
        </w:tc>
        <w:tc>
          <w:tcPr>
            <w:tcW w:w="5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500" w:type="dxa"/>
            <w:vAlign w:val="bottom"/>
            <w:gridSpan w:val="2"/>
            <w:vMerge w:val="continue"/>
          </w:tcPr>
          <w:p>
            <w:pPr>
              <w:spacing w:after="0"/>
              <w:rPr>
                <w:sz w:val="12"/>
                <w:szCs w:val="12"/>
                <w:color w:val="auto"/>
              </w:rPr>
            </w:pPr>
          </w:p>
        </w:tc>
        <w:tc>
          <w:tcPr>
            <w:tcW w:w="21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available for future issuance</w:t>
            </w:r>
          </w:p>
        </w:tc>
        <w:tc>
          <w:tcPr>
            <w:tcW w:w="0" w:type="dxa"/>
            <w:vAlign w:val="bottom"/>
          </w:tcPr>
          <w:p>
            <w:pPr>
              <w:spacing w:after="0"/>
              <w:rPr>
                <w:sz w:val="1"/>
                <w:szCs w:val="1"/>
                <w:color w:val="auto"/>
              </w:rPr>
            </w:pPr>
          </w:p>
        </w:tc>
      </w:tr>
      <w:tr>
        <w:trPr>
          <w:trHeight w:val="149"/>
        </w:trPr>
        <w:tc>
          <w:tcPr>
            <w:tcW w:w="280" w:type="dxa"/>
            <w:vAlign w:val="bottom"/>
          </w:tcPr>
          <w:p>
            <w:pPr>
              <w:spacing w:after="0"/>
              <w:rPr>
                <w:sz w:val="12"/>
                <w:szCs w:val="12"/>
                <w:color w:val="auto"/>
              </w:rPr>
            </w:pPr>
          </w:p>
        </w:tc>
        <w:tc>
          <w:tcPr>
            <w:tcW w:w="5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7"/>
              </w:rPr>
              <w:t>issued upon exercise of</w:t>
            </w:r>
          </w:p>
        </w:tc>
        <w:tc>
          <w:tcPr>
            <w:tcW w:w="120" w:type="dxa"/>
            <w:vAlign w:val="bottom"/>
          </w:tcPr>
          <w:p>
            <w:pPr>
              <w:spacing w:after="0"/>
              <w:rPr>
                <w:sz w:val="12"/>
                <w:szCs w:val="12"/>
                <w:color w:val="auto"/>
              </w:rPr>
            </w:pPr>
          </w:p>
        </w:tc>
        <w:tc>
          <w:tcPr>
            <w:tcW w:w="15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exercise price of</w:t>
            </w:r>
          </w:p>
        </w:tc>
        <w:tc>
          <w:tcPr>
            <w:tcW w:w="21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under equity compensation plans</w:t>
            </w:r>
          </w:p>
        </w:tc>
        <w:tc>
          <w:tcPr>
            <w:tcW w:w="0" w:type="dxa"/>
            <w:vAlign w:val="bottom"/>
          </w:tcPr>
          <w:p>
            <w:pPr>
              <w:spacing w:after="0"/>
              <w:rPr>
                <w:sz w:val="1"/>
                <w:szCs w:val="1"/>
                <w:color w:val="auto"/>
              </w:rPr>
            </w:pPr>
          </w:p>
        </w:tc>
      </w:tr>
      <w:tr>
        <w:trPr>
          <w:trHeight w:val="149"/>
        </w:trPr>
        <w:tc>
          <w:tcPr>
            <w:tcW w:w="280" w:type="dxa"/>
            <w:vAlign w:val="bottom"/>
          </w:tcPr>
          <w:p>
            <w:pPr>
              <w:spacing w:after="0"/>
              <w:rPr>
                <w:sz w:val="12"/>
                <w:szCs w:val="12"/>
                <w:color w:val="auto"/>
              </w:rPr>
            </w:pPr>
          </w:p>
        </w:tc>
        <w:tc>
          <w:tcPr>
            <w:tcW w:w="5120" w:type="dxa"/>
            <w:vAlign w:val="bottom"/>
            <w:vMerge w:val="restart"/>
          </w:tcPr>
          <w:p>
            <w:pPr>
              <w:ind w:left="2120"/>
              <w:spacing w:after="0"/>
              <w:rPr>
                <w:sz w:val="20"/>
                <w:szCs w:val="20"/>
                <w:color w:val="auto"/>
              </w:rPr>
            </w:pPr>
            <w:r>
              <w:rPr>
                <w:rFonts w:ascii="Arial" w:cs="Arial" w:eastAsia="Arial" w:hAnsi="Arial"/>
                <w:sz w:val="14"/>
                <w:szCs w:val="14"/>
                <w:b w:val="1"/>
                <w:bCs w:val="1"/>
                <w:color w:val="auto"/>
              </w:rPr>
              <w:t>Plan Category</w:t>
            </w:r>
          </w:p>
        </w:tc>
        <w:tc>
          <w:tcPr>
            <w:tcW w:w="120" w:type="dxa"/>
            <w:vAlign w:val="bottom"/>
            <w:vMerge w:val="restart"/>
          </w:tcPr>
          <w:p>
            <w:pPr>
              <w:spacing w:after="0"/>
              <w:rPr>
                <w:sz w:val="12"/>
                <w:szCs w:val="12"/>
                <w:color w:val="auto"/>
              </w:rPr>
            </w:pPr>
          </w:p>
        </w:tc>
        <w:tc>
          <w:tcPr>
            <w:tcW w:w="18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9"/>
              </w:rPr>
              <w:t>outstanding options,</w:t>
            </w:r>
          </w:p>
        </w:tc>
        <w:tc>
          <w:tcPr>
            <w:tcW w:w="120" w:type="dxa"/>
            <w:vAlign w:val="bottom"/>
          </w:tcPr>
          <w:p>
            <w:pPr>
              <w:spacing w:after="0"/>
              <w:rPr>
                <w:sz w:val="12"/>
                <w:szCs w:val="12"/>
                <w:color w:val="auto"/>
              </w:rPr>
            </w:pPr>
          </w:p>
        </w:tc>
        <w:tc>
          <w:tcPr>
            <w:tcW w:w="15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0"/>
              </w:rPr>
              <w:t>outstanding options,</w:t>
            </w:r>
          </w:p>
        </w:tc>
        <w:tc>
          <w:tcPr>
            <w:tcW w:w="21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(excluding securities reflected in</w:t>
            </w:r>
          </w:p>
        </w:tc>
        <w:tc>
          <w:tcPr>
            <w:tcW w:w="0" w:type="dxa"/>
            <w:vAlign w:val="bottom"/>
          </w:tcPr>
          <w:p>
            <w:pPr>
              <w:spacing w:after="0"/>
              <w:rPr>
                <w:sz w:val="1"/>
                <w:szCs w:val="1"/>
                <w:color w:val="auto"/>
              </w:rPr>
            </w:pPr>
          </w:p>
        </w:tc>
      </w:tr>
      <w:tr>
        <w:trPr>
          <w:trHeight w:val="192"/>
        </w:trPr>
        <w:tc>
          <w:tcPr>
            <w:tcW w:w="280" w:type="dxa"/>
            <w:vAlign w:val="bottom"/>
          </w:tcPr>
          <w:p>
            <w:pPr>
              <w:spacing w:after="0"/>
              <w:rPr>
                <w:sz w:val="16"/>
                <w:szCs w:val="16"/>
                <w:color w:val="auto"/>
              </w:rPr>
            </w:pPr>
          </w:p>
        </w:tc>
        <w:tc>
          <w:tcPr>
            <w:tcW w:w="51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warrants and rights</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tcPr>
          <w:p>
            <w:pPr>
              <w:jc w:val="center"/>
              <w:ind w:right="44"/>
              <w:spacing w:after="0"/>
              <w:rPr>
                <w:sz w:val="20"/>
                <w:szCs w:val="20"/>
                <w:color w:val="auto"/>
              </w:rPr>
            </w:pPr>
            <w:r>
              <w:rPr>
                <w:rFonts w:ascii="Arial" w:cs="Arial" w:eastAsia="Arial" w:hAnsi="Arial"/>
                <w:sz w:val="14"/>
                <w:szCs w:val="14"/>
                <w:b w:val="1"/>
                <w:bCs w:val="1"/>
                <w:color w:val="auto"/>
                <w:w w:val="93"/>
              </w:rPr>
              <w:t>warrants and rights</w:t>
            </w:r>
          </w:p>
        </w:tc>
        <w:tc>
          <w:tcPr>
            <w:tcW w:w="120" w:type="dxa"/>
            <w:vAlign w:val="bottom"/>
            <w:tcBorders>
              <w:bottom w:val="single" w:sz="8" w:color="CCEEFF"/>
            </w:tcBorders>
          </w:tcPr>
          <w:p>
            <w:pPr>
              <w:spacing w:after="0"/>
              <w:rPr>
                <w:sz w:val="16"/>
                <w:szCs w:val="16"/>
                <w:color w:val="auto"/>
              </w:rPr>
            </w:pPr>
          </w:p>
        </w:tc>
        <w:tc>
          <w:tcPr>
            <w:tcW w:w="21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the first column of this table)</w:t>
            </w:r>
          </w:p>
        </w:tc>
        <w:tc>
          <w:tcPr>
            <w:tcW w:w="0" w:type="dxa"/>
            <w:vAlign w:val="bottom"/>
          </w:tcPr>
          <w:p>
            <w:pPr>
              <w:spacing w:after="0"/>
              <w:rPr>
                <w:sz w:val="1"/>
                <w:szCs w:val="1"/>
                <w:color w:val="auto"/>
              </w:rPr>
            </w:pPr>
          </w:p>
        </w:tc>
      </w:tr>
      <w:tr>
        <w:trPr>
          <w:trHeight w:val="256"/>
        </w:trPr>
        <w:tc>
          <w:tcPr>
            <w:tcW w:w="280" w:type="dxa"/>
            <w:vAlign w:val="bottom"/>
          </w:tcPr>
          <w:p>
            <w:pPr>
              <w:spacing w:after="0"/>
              <w:rPr>
                <w:sz w:val="22"/>
                <w:szCs w:val="22"/>
                <w:color w:val="auto"/>
              </w:rPr>
            </w:pPr>
          </w:p>
        </w:tc>
        <w:tc>
          <w:tcPr>
            <w:tcW w:w="52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 xml:space="preserve">Equity compensation plans approved by security holders </w:t>
            </w:r>
            <w:r>
              <w:rPr>
                <w:rFonts w:ascii="Arial" w:cs="Arial" w:eastAsia="Arial" w:hAnsi="Arial"/>
                <w:sz w:val="21"/>
                <w:szCs w:val="21"/>
                <w:color w:val="auto"/>
                <w:vertAlign w:val="superscript"/>
              </w:rPr>
              <w:t>1</w:t>
            </w:r>
          </w:p>
        </w:tc>
        <w:tc>
          <w:tcPr>
            <w:tcW w:w="17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31,431</w:t>
            </w:r>
          </w:p>
        </w:tc>
        <w:tc>
          <w:tcPr>
            <w:tcW w:w="12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500" w:type="dxa"/>
            <w:vAlign w:val="bottom"/>
            <w:gridSpan w:val="2"/>
            <w:shd w:val="clear" w:color="auto" w:fill="CCEEFF"/>
          </w:tcPr>
          <w:p>
            <w:pPr>
              <w:ind w:left="1120"/>
              <w:spacing w:after="0"/>
              <w:rPr>
                <w:sz w:val="20"/>
                <w:szCs w:val="20"/>
                <w:color w:val="auto"/>
              </w:rPr>
            </w:pPr>
            <w:r>
              <w:rPr>
                <w:rFonts w:ascii="Arial" w:cs="Arial" w:eastAsia="Arial" w:hAnsi="Arial"/>
                <w:sz w:val="16"/>
                <w:szCs w:val="16"/>
                <w:color w:val="auto"/>
              </w:rPr>
              <w:t>—</w:t>
            </w:r>
          </w:p>
        </w:tc>
        <w:tc>
          <w:tcPr>
            <w:tcW w:w="216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1,850</w:t>
            </w:r>
          </w:p>
        </w:tc>
        <w:tc>
          <w:tcPr>
            <w:tcW w:w="0" w:type="dxa"/>
            <w:vAlign w:val="bottom"/>
          </w:tcPr>
          <w:p>
            <w:pPr>
              <w:spacing w:after="0"/>
              <w:rPr>
                <w:sz w:val="1"/>
                <w:szCs w:val="1"/>
                <w:color w:val="auto"/>
              </w:rPr>
            </w:pPr>
          </w:p>
        </w:tc>
      </w:tr>
      <w:tr>
        <w:trPr>
          <w:trHeight w:val="237"/>
        </w:trPr>
        <w:tc>
          <w:tcPr>
            <w:tcW w:w="280" w:type="dxa"/>
            <w:vAlign w:val="bottom"/>
          </w:tcPr>
          <w:p>
            <w:pPr>
              <w:spacing w:after="0"/>
              <w:rPr>
                <w:sz w:val="20"/>
                <w:szCs w:val="20"/>
                <w:color w:val="auto"/>
              </w:rPr>
            </w:pPr>
          </w:p>
        </w:tc>
        <w:tc>
          <w:tcPr>
            <w:tcW w:w="5240" w:type="dxa"/>
            <w:vAlign w:val="bottom"/>
            <w:gridSpan w:val="2"/>
          </w:tcPr>
          <w:p>
            <w:pPr>
              <w:ind w:left="20"/>
              <w:spacing w:after="0"/>
              <w:rPr>
                <w:sz w:val="20"/>
                <w:szCs w:val="20"/>
                <w:color w:val="auto"/>
              </w:rPr>
            </w:pPr>
            <w:r>
              <w:rPr>
                <w:rFonts w:ascii="Arial" w:cs="Arial" w:eastAsia="Arial" w:hAnsi="Arial"/>
                <w:sz w:val="16"/>
                <w:szCs w:val="16"/>
                <w:color w:val="auto"/>
              </w:rPr>
              <w:t>Equity compensation plans not approved by security holders</w:t>
            </w:r>
          </w:p>
        </w:tc>
        <w:tc>
          <w:tcPr>
            <w:tcW w:w="1840" w:type="dxa"/>
            <w:vAlign w:val="bottom"/>
            <w:gridSpan w:val="2"/>
          </w:tcPr>
          <w:p>
            <w:pPr>
              <w:jc w:val="center"/>
              <w:ind w:right="120"/>
              <w:spacing w:after="0"/>
              <w:rPr>
                <w:sz w:val="20"/>
                <w:szCs w:val="20"/>
                <w:color w:val="auto"/>
              </w:rPr>
            </w:pPr>
            <w:r>
              <w:rPr>
                <w:rFonts w:ascii="Arial" w:cs="Arial" w:eastAsia="Arial" w:hAnsi="Arial"/>
                <w:sz w:val="16"/>
                <w:szCs w:val="16"/>
                <w:color w:val="auto"/>
                <w:w w:val="99"/>
              </w:rPr>
              <w:t>—</w:t>
            </w:r>
          </w:p>
        </w:tc>
        <w:tc>
          <w:tcPr>
            <w:tcW w:w="120" w:type="dxa"/>
            <w:vAlign w:val="bottom"/>
          </w:tcPr>
          <w:p>
            <w:pPr>
              <w:spacing w:after="0"/>
              <w:rPr>
                <w:sz w:val="20"/>
                <w:szCs w:val="20"/>
                <w:color w:val="auto"/>
              </w:rPr>
            </w:pPr>
          </w:p>
        </w:tc>
        <w:tc>
          <w:tcPr>
            <w:tcW w:w="1500" w:type="dxa"/>
            <w:vAlign w:val="bottom"/>
            <w:gridSpan w:val="2"/>
          </w:tcPr>
          <w:p>
            <w:pPr>
              <w:ind w:left="1120"/>
              <w:spacing w:after="0"/>
              <w:rPr>
                <w:sz w:val="20"/>
                <w:szCs w:val="20"/>
                <w:color w:val="auto"/>
              </w:rPr>
            </w:pPr>
            <w:r>
              <w:rPr>
                <w:rFonts w:ascii="Arial" w:cs="Arial" w:eastAsia="Arial" w:hAnsi="Arial"/>
                <w:sz w:val="16"/>
                <w:szCs w:val="16"/>
                <w:color w:val="auto"/>
              </w:rPr>
              <w:t>—</w:t>
            </w:r>
          </w:p>
        </w:tc>
        <w:tc>
          <w:tcPr>
            <w:tcW w:w="216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33"/>
        </w:trPr>
        <w:tc>
          <w:tcPr>
            <w:tcW w:w="280" w:type="dxa"/>
            <w:vAlign w:val="bottom"/>
          </w:tcPr>
          <w:p>
            <w:pPr>
              <w:spacing w:after="0"/>
              <w:rPr>
                <w:sz w:val="2"/>
                <w:szCs w:val="2"/>
                <w:color w:val="auto"/>
              </w:rPr>
            </w:pPr>
          </w:p>
        </w:tc>
        <w:tc>
          <w:tcPr>
            <w:tcW w:w="51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1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80" w:type="dxa"/>
            <w:vAlign w:val="bottom"/>
          </w:tcPr>
          <w:p>
            <w:pPr>
              <w:spacing w:after="0"/>
              <w:rPr>
                <w:sz w:val="21"/>
                <w:szCs w:val="21"/>
                <w:color w:val="auto"/>
              </w:rPr>
            </w:pPr>
          </w:p>
        </w:tc>
        <w:tc>
          <w:tcPr>
            <w:tcW w:w="52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17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89"/>
              </w:rPr>
              <w:t>31,431</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80" w:type="dxa"/>
            <w:vAlign w:val="bottom"/>
            <w:tcBorders>
              <w:bottom w:val="single" w:sz="8" w:color="auto"/>
            </w:tcBorders>
            <w:shd w:val="clear" w:color="auto" w:fill="CCEEFF"/>
          </w:tcPr>
          <w:p>
            <w:pPr>
              <w:ind w:left="112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21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89"/>
              </w:rPr>
              <w:t>1,850</w:t>
            </w:r>
          </w:p>
        </w:tc>
        <w:tc>
          <w:tcPr>
            <w:tcW w:w="0" w:type="dxa"/>
            <w:vAlign w:val="bottom"/>
          </w:tcPr>
          <w:p>
            <w:pPr>
              <w:spacing w:after="0"/>
              <w:rPr>
                <w:sz w:val="1"/>
                <w:szCs w:val="1"/>
                <w:color w:val="auto"/>
              </w:rPr>
            </w:pPr>
          </w:p>
        </w:tc>
      </w:tr>
      <w:tr>
        <w:trPr>
          <w:trHeight w:val="20"/>
        </w:trPr>
        <w:tc>
          <w:tcPr>
            <w:tcW w:w="5400" w:type="dxa"/>
            <w:vAlign w:val="bottom"/>
            <w:gridSpan w:val="2"/>
            <w:vMerge w:val="restart"/>
          </w:tcPr>
          <w:p>
            <w:pPr>
              <w:jc w:val="right"/>
              <w:ind w:right="2241"/>
              <w:spacing w:after="0"/>
              <w:rPr>
                <w:sz w:val="20"/>
                <w:szCs w:val="20"/>
                <w:color w:val="auto"/>
              </w:rPr>
            </w:pPr>
            <w:r>
              <w:rPr>
                <w:rFonts w:ascii="Arial" w:cs="Arial" w:eastAsia="Arial" w:hAnsi="Arial"/>
                <w:sz w:val="11"/>
                <w:szCs w:val="11"/>
                <w:color w:val="auto"/>
                <w:w w:val="87"/>
              </w:rPr>
              <w:t>_________________________________________________________</w:t>
            </w:r>
          </w:p>
        </w:tc>
        <w:tc>
          <w:tcPr>
            <w:tcW w:w="120" w:type="dxa"/>
            <w:vAlign w:val="bottom"/>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540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17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380" w:type="dxa"/>
            <w:vAlign w:val="bottom"/>
          </w:tcPr>
          <w:p>
            <w:pPr>
              <w:spacing w:after="0"/>
              <w:rPr>
                <w:sz w:val="8"/>
                <w:szCs w:val="8"/>
                <w:color w:val="auto"/>
              </w:rPr>
            </w:pPr>
          </w:p>
        </w:tc>
        <w:tc>
          <w:tcPr>
            <w:tcW w:w="120" w:type="dxa"/>
            <w:vAlign w:val="bottom"/>
          </w:tcPr>
          <w:p>
            <w:pPr>
              <w:spacing w:after="0"/>
              <w:rPr>
                <w:sz w:val="8"/>
                <w:szCs w:val="8"/>
                <w:color w:val="auto"/>
              </w:rPr>
            </w:pPr>
          </w:p>
        </w:tc>
        <w:tc>
          <w:tcPr>
            <w:tcW w:w="216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660" w:right="40" w:hanging="328"/>
        <w:spacing w:after="0" w:line="255" w:lineRule="auto"/>
        <w:tabs>
          <w:tab w:leader="none" w:pos="660" w:val="left"/>
        </w:tabs>
        <w:numPr>
          <w:ilvl w:val="0"/>
          <w:numId w:val="20"/>
        </w:numPr>
        <w:rPr>
          <w:rFonts w:ascii="Arial" w:cs="Arial" w:eastAsia="Arial" w:hAnsi="Arial"/>
          <w:sz w:val="14"/>
          <w:szCs w:val="14"/>
          <w:color w:val="auto"/>
        </w:rPr>
      </w:pPr>
      <w:r>
        <w:rPr>
          <w:rFonts w:ascii="Arial" w:cs="Arial" w:eastAsia="Arial" w:hAnsi="Arial"/>
          <w:sz w:val="14"/>
          <w:szCs w:val="14"/>
          <w:color w:val="auto"/>
        </w:rPr>
        <w:t>Represents unvested restricted stock units granted to our independent directors, including accrued dividend equivalent shares. Table excludes 5,000 shares of unvested restricted common stock granted to our independent directors, which were issued and outstanding on the date of grant.</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Performance Graph</w:t>
      </w:r>
    </w:p>
    <w:p>
      <w:pPr>
        <w:spacing w:after="0" w:line="162"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The following graph and table compare a stockholder's cumulative total return, assuming $100 invested at December 31, 2010 , with the reinvestment of all dividends, as if such amounts had been invested in: (i) our common stock; (ii) the stocks included in the Standard &amp; Poor's 500 Stock Index ("S&amp;P 500"); (iii) the stocks included in the FTSE NAREIT Mortgage REIT Index; (iv) an index of selected issuers in our Agency REIT Peer group, composed of Annaly Capital Management, Inc., Anworth Mortgage Asset Corporation, Capstead Mortgage Corporation, Hatteras Financial Corporation, CYS Investments, Inc. and Armour Residential REIT, Inc. ("Agency REIT Peer Group").</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823" w:right="239" w:bottom="1440" w:gutter="0" w:footer="0" w:header="0"/>
        </w:sectPr>
      </w:pPr>
    </w:p>
    <w:bookmarkStart w:id="38" w:name="page39"/>
    <w:bookmarkEnd w:id="38"/>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860425</wp:posOffset>
            </wp:positionH>
            <wp:positionV relativeFrom="page">
              <wp:posOffset>380365</wp:posOffset>
            </wp:positionV>
            <wp:extent cx="5848985" cy="41852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5848985" cy="41852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_______________________</w:t>
      </w:r>
    </w:p>
    <w:p>
      <w:pPr>
        <w:spacing w:after="0" w:line="59" w:lineRule="exact"/>
        <w:rPr>
          <w:sz w:val="20"/>
          <w:szCs w:val="20"/>
          <w:color w:val="auto"/>
        </w:rPr>
      </w:pPr>
    </w:p>
    <w:p>
      <w:pPr>
        <w:ind w:left="660" w:right="5980" w:hanging="247"/>
        <w:spacing w:after="0" w:line="333" w:lineRule="auto"/>
        <w:tabs>
          <w:tab w:leader="none" w:pos="732" w:val="left"/>
        </w:tabs>
        <w:numPr>
          <w:ilvl w:val="0"/>
          <w:numId w:val="21"/>
        </w:numPr>
        <w:rPr>
          <w:rFonts w:ascii="Arial" w:cs="Arial" w:eastAsia="Arial" w:hAnsi="Arial"/>
          <w:sz w:val="14"/>
          <w:szCs w:val="14"/>
          <w:color w:val="auto"/>
        </w:rPr>
      </w:pPr>
      <w:r>
        <w:rPr>
          <w:rFonts w:ascii="Arial" w:cs="Arial" w:eastAsia="Arial" w:hAnsi="Arial"/>
          <w:sz w:val="14"/>
          <w:szCs w:val="14"/>
          <w:color w:val="auto"/>
        </w:rPr>
        <w:t>$100 invested on 12/31/10 in stock or index, including reinvestment of dividends. Fiscal year ending December 31.</w:t>
      </w:r>
    </w:p>
    <w:p>
      <w:pPr>
        <w:spacing w:after="0" w:line="80" w:lineRule="exact"/>
        <w:rPr>
          <w:sz w:val="20"/>
          <w:szCs w:val="20"/>
          <w:color w:val="auto"/>
        </w:rPr>
      </w:pPr>
    </w:p>
    <w:p>
      <w:pPr>
        <w:ind w:left="660"/>
        <w:spacing w:after="0"/>
        <w:rPr>
          <w:sz w:val="20"/>
          <w:szCs w:val="20"/>
          <w:color w:val="auto"/>
        </w:rPr>
      </w:pPr>
      <w:r>
        <w:rPr>
          <w:rFonts w:ascii="Arial" w:cs="Arial" w:eastAsia="Arial" w:hAnsi="Arial"/>
          <w:sz w:val="14"/>
          <w:szCs w:val="14"/>
          <w:color w:val="auto"/>
        </w:rPr>
        <w:t>Copyright © 2016 S&amp;P, a division of The McGraw-Hill Companies Inc. All rights reserved.</w:t>
      </w: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tbl>
      <w:tblPr>
        <w:tblLayout w:type="fixed"/>
        <w:tblInd w:w="1480" w:type="dxa"/>
        <w:tblCellMar>
          <w:top w:w="0" w:type="dxa"/>
          <w:left w:w="0" w:type="dxa"/>
          <w:bottom w:w="0" w:type="dxa"/>
          <w:right w:w="0" w:type="dxa"/>
        </w:tblCellMar>
      </w:tblPr>
      <w:tr>
        <w:trPr>
          <w:trHeight w:val="192"/>
        </w:trPr>
        <w:tc>
          <w:tcPr>
            <w:tcW w:w="32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gridSpan w:val="3"/>
          </w:tcPr>
          <w:p>
            <w:pPr>
              <w:ind w:left="60"/>
              <w:spacing w:after="0"/>
              <w:rPr>
                <w:sz w:val="20"/>
                <w:szCs w:val="20"/>
                <w:color w:val="auto"/>
              </w:rPr>
            </w:pPr>
            <w:r>
              <w:rPr>
                <w:rFonts w:ascii="Arial" w:cs="Arial" w:eastAsia="Arial" w:hAnsi="Arial"/>
                <w:sz w:val="14"/>
                <w:szCs w:val="14"/>
                <w:b w:val="1"/>
                <w:bCs w:val="1"/>
                <w:color w:val="auto"/>
              </w:rPr>
              <w:t>December 31,</w:t>
            </w:r>
          </w:p>
        </w:tc>
        <w:tc>
          <w:tcPr>
            <w:tcW w:w="2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r>
      <w:tr>
        <w:trPr>
          <w:trHeight w:val="264"/>
        </w:trPr>
        <w:tc>
          <w:tcPr>
            <w:tcW w:w="32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2013</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2011</w:t>
            </w:r>
          </w:p>
        </w:tc>
      </w:tr>
      <w:tr>
        <w:trPr>
          <w:trHeight w:val="256"/>
        </w:trPr>
        <w:tc>
          <w:tcPr>
            <w:tcW w:w="3200" w:type="dxa"/>
            <w:vAlign w:val="bottom"/>
            <w:shd w:val="clear" w:color="auto" w:fill="CCEEFF"/>
          </w:tcPr>
          <w:p>
            <w:pPr>
              <w:ind w:left="20"/>
              <w:spacing w:after="0"/>
              <w:rPr>
                <w:sz w:val="20"/>
                <w:szCs w:val="20"/>
                <w:color w:val="auto"/>
              </w:rPr>
            </w:pPr>
            <w:r>
              <w:rPr>
                <w:rFonts w:ascii="Arial" w:cs="Arial" w:eastAsia="Arial" w:hAnsi="Arial"/>
                <w:sz w:val="14"/>
                <w:szCs w:val="14"/>
                <w:color w:val="auto"/>
              </w:rPr>
              <w:t>American Capital Agency</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126.80</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140.72</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110.67</w:t>
            </w: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142.46</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118.62</w:t>
            </w:r>
          </w:p>
        </w:tc>
      </w:tr>
      <w:tr>
        <w:trPr>
          <w:trHeight w:val="264"/>
        </w:trPr>
        <w:tc>
          <w:tcPr>
            <w:tcW w:w="3200" w:type="dxa"/>
            <w:vAlign w:val="bottom"/>
          </w:tcPr>
          <w:p>
            <w:pPr>
              <w:ind w:left="20"/>
              <w:spacing w:after="0"/>
              <w:rPr>
                <w:sz w:val="20"/>
                <w:szCs w:val="20"/>
                <w:color w:val="auto"/>
              </w:rPr>
            </w:pPr>
            <w:r>
              <w:rPr>
                <w:rFonts w:ascii="Arial" w:cs="Arial" w:eastAsia="Arial" w:hAnsi="Arial"/>
                <w:sz w:val="14"/>
                <w:szCs w:val="14"/>
                <w:color w:val="auto"/>
              </w:rPr>
              <w:t>S&amp;P 500</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180.75</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178.29</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8"/>
              <w:spacing w:after="0"/>
              <w:rPr>
                <w:sz w:val="20"/>
                <w:szCs w:val="20"/>
                <w:color w:val="auto"/>
              </w:rPr>
            </w:pPr>
            <w:r>
              <w:rPr>
                <w:rFonts w:ascii="Arial" w:cs="Arial" w:eastAsia="Arial" w:hAnsi="Arial"/>
                <w:sz w:val="14"/>
                <w:szCs w:val="14"/>
                <w:color w:val="auto"/>
              </w:rPr>
              <w:t>156.82</w:t>
            </w:r>
          </w:p>
        </w:tc>
        <w:tc>
          <w:tcPr>
            <w:tcW w:w="120" w:type="dxa"/>
            <w:vAlign w:val="bottom"/>
          </w:tcPr>
          <w:p>
            <w:pPr>
              <w:spacing w:after="0"/>
              <w:rPr>
                <w:sz w:val="22"/>
                <w:szCs w:val="22"/>
                <w:color w:val="auto"/>
              </w:rPr>
            </w:pP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780" w:type="dxa"/>
            <w:vAlign w:val="bottom"/>
          </w:tcPr>
          <w:p>
            <w:pPr>
              <w:jc w:val="right"/>
              <w:ind w:right="8"/>
              <w:spacing w:after="0"/>
              <w:rPr>
                <w:sz w:val="20"/>
                <w:szCs w:val="20"/>
                <w:color w:val="auto"/>
              </w:rPr>
            </w:pPr>
            <w:r>
              <w:rPr>
                <w:rFonts w:ascii="Arial" w:cs="Arial" w:eastAsia="Arial" w:hAnsi="Arial"/>
                <w:sz w:val="14"/>
                <w:szCs w:val="14"/>
                <w:color w:val="auto"/>
              </w:rPr>
              <w:t>118.45</w:t>
            </w:r>
          </w:p>
        </w:tc>
        <w:tc>
          <w:tcPr>
            <w:tcW w:w="120" w:type="dxa"/>
            <w:vAlign w:val="bottom"/>
          </w:tcPr>
          <w:p>
            <w:pPr>
              <w:spacing w:after="0"/>
              <w:rPr>
                <w:sz w:val="22"/>
                <w:szCs w:val="22"/>
                <w:color w:val="auto"/>
              </w:rPr>
            </w:pP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740" w:type="dxa"/>
            <w:vAlign w:val="bottom"/>
          </w:tcPr>
          <w:p>
            <w:pPr>
              <w:jc w:val="right"/>
              <w:ind w:right="8"/>
              <w:spacing w:after="0"/>
              <w:rPr>
                <w:sz w:val="20"/>
                <w:szCs w:val="20"/>
                <w:color w:val="auto"/>
              </w:rPr>
            </w:pPr>
            <w:r>
              <w:rPr>
                <w:rFonts w:ascii="Arial" w:cs="Arial" w:eastAsia="Arial" w:hAnsi="Arial"/>
                <w:sz w:val="14"/>
                <w:szCs w:val="14"/>
                <w:color w:val="auto"/>
              </w:rPr>
              <w:t>102.11</w:t>
            </w:r>
          </w:p>
        </w:tc>
      </w:tr>
      <w:tr>
        <w:trPr>
          <w:trHeight w:val="276"/>
        </w:trPr>
        <w:tc>
          <w:tcPr>
            <w:tcW w:w="3200" w:type="dxa"/>
            <w:vAlign w:val="bottom"/>
            <w:shd w:val="clear" w:color="auto" w:fill="CCEEFF"/>
          </w:tcPr>
          <w:p>
            <w:pPr>
              <w:ind w:left="20"/>
              <w:spacing w:after="0"/>
              <w:rPr>
                <w:sz w:val="20"/>
                <w:szCs w:val="20"/>
                <w:color w:val="auto"/>
              </w:rPr>
            </w:pPr>
            <w:r>
              <w:rPr>
                <w:rFonts w:ascii="Arial" w:cs="Arial" w:eastAsia="Arial" w:hAnsi="Arial"/>
                <w:sz w:val="14"/>
                <w:szCs w:val="14"/>
                <w:color w:val="auto"/>
              </w:rPr>
              <w:t>FTSE NAREIT Mortgage REITs</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123.21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135.21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114.70</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116.99</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97.58</w:t>
            </w:r>
          </w:p>
        </w:tc>
      </w:tr>
      <w:tr>
        <w:trPr>
          <w:trHeight w:val="258"/>
        </w:trPr>
        <w:tc>
          <w:tcPr>
            <w:tcW w:w="3200" w:type="dxa"/>
            <w:vAlign w:val="bottom"/>
          </w:tcPr>
          <w:p>
            <w:pPr>
              <w:ind w:left="20"/>
              <w:spacing w:after="0"/>
              <w:rPr>
                <w:sz w:val="20"/>
                <w:szCs w:val="20"/>
                <w:color w:val="auto"/>
              </w:rPr>
            </w:pPr>
            <w:r>
              <w:rPr>
                <w:rFonts w:ascii="Arial" w:cs="Arial" w:eastAsia="Arial" w:hAnsi="Arial"/>
                <w:sz w:val="14"/>
                <w:szCs w:val="14"/>
                <w:color w:val="auto"/>
              </w:rPr>
              <w:t>Agency REIT Peer Group</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95.00</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101.77</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8"/>
              <w:spacing w:after="0"/>
              <w:rPr>
                <w:sz w:val="20"/>
                <w:szCs w:val="20"/>
                <w:color w:val="auto"/>
              </w:rPr>
            </w:pPr>
            <w:r>
              <w:rPr>
                <w:rFonts w:ascii="Arial" w:cs="Arial" w:eastAsia="Arial" w:hAnsi="Arial"/>
                <w:sz w:val="14"/>
                <w:szCs w:val="14"/>
                <w:color w:val="auto"/>
              </w:rPr>
              <w:t>84.11</w:t>
            </w:r>
          </w:p>
        </w:tc>
        <w:tc>
          <w:tcPr>
            <w:tcW w:w="120" w:type="dxa"/>
            <w:vAlign w:val="bottom"/>
          </w:tcPr>
          <w:p>
            <w:pPr>
              <w:spacing w:after="0"/>
              <w:rPr>
                <w:sz w:val="22"/>
                <w:szCs w:val="22"/>
                <w:color w:val="auto"/>
              </w:rPr>
            </w:pP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780" w:type="dxa"/>
            <w:vAlign w:val="bottom"/>
          </w:tcPr>
          <w:p>
            <w:pPr>
              <w:jc w:val="right"/>
              <w:ind w:right="8"/>
              <w:spacing w:after="0"/>
              <w:rPr>
                <w:sz w:val="20"/>
                <w:szCs w:val="20"/>
                <w:color w:val="auto"/>
              </w:rPr>
            </w:pPr>
            <w:r>
              <w:rPr>
                <w:rFonts w:ascii="Arial" w:cs="Arial" w:eastAsia="Arial" w:hAnsi="Arial"/>
                <w:sz w:val="14"/>
                <w:szCs w:val="14"/>
                <w:color w:val="auto"/>
              </w:rPr>
              <w:t>105.37</w:t>
            </w:r>
          </w:p>
        </w:tc>
        <w:tc>
          <w:tcPr>
            <w:tcW w:w="120" w:type="dxa"/>
            <w:vAlign w:val="bottom"/>
          </w:tcPr>
          <w:p>
            <w:pPr>
              <w:spacing w:after="0"/>
              <w:rPr>
                <w:sz w:val="22"/>
                <w:szCs w:val="22"/>
                <w:color w:val="auto"/>
              </w:rPr>
            </w:pP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740" w:type="dxa"/>
            <w:vAlign w:val="bottom"/>
          </w:tcPr>
          <w:p>
            <w:pPr>
              <w:jc w:val="right"/>
              <w:ind w:right="8"/>
              <w:spacing w:after="0"/>
              <w:rPr>
                <w:sz w:val="20"/>
                <w:szCs w:val="20"/>
                <w:color w:val="auto"/>
              </w:rPr>
            </w:pPr>
            <w:r>
              <w:rPr>
                <w:rFonts w:ascii="Arial" w:cs="Arial" w:eastAsia="Arial" w:hAnsi="Arial"/>
                <w:sz w:val="14"/>
                <w:szCs w:val="14"/>
                <w:color w:val="auto"/>
              </w:rPr>
              <w:t>103.89</w:t>
            </w:r>
          </w:p>
        </w:tc>
      </w:tr>
    </w:tbl>
    <w:p>
      <w:pPr>
        <w:spacing w:after="0" w:line="362"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information in the share performance graph and table has been obtained from sources believed to be reliable, but neither its accuracy nor its completeness can be guaranteed. The historical information set forth above is not necessarily indicative of future performance. Accordingly, we do not make or endorse any predictions as to future share performance.</w:t>
      </w:r>
    </w:p>
    <w:p>
      <w:pPr>
        <w:spacing w:after="0" w:line="200" w:lineRule="exact"/>
        <w:rPr>
          <w:sz w:val="20"/>
          <w:szCs w:val="20"/>
          <w:color w:val="auto"/>
        </w:rPr>
      </w:pPr>
    </w:p>
    <w:p>
      <w:pPr>
        <w:spacing w:after="0" w:line="2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1440" w:right="239" w:bottom="1440" w:gutter="0" w:footer="0" w:header="0"/>
        </w:sectPr>
      </w:pPr>
    </w:p>
    <w:bookmarkStart w:id="39" w:name="page40"/>
    <w:bookmarkEnd w:id="39"/>
    <w:p>
      <w:pPr>
        <w:spacing w:after="0"/>
        <w:rPr>
          <w:sz w:val="20"/>
          <w:szCs w:val="20"/>
          <w:color w:val="auto"/>
        </w:rPr>
      </w:pPr>
      <w:r>
        <w:rPr>
          <w:rFonts w:ascii="Arial" w:cs="Arial" w:eastAsia="Arial" w:hAnsi="Arial"/>
          <w:sz w:val="20"/>
          <w:szCs w:val="20"/>
          <w:b w:val="1"/>
          <w:bCs w:val="1"/>
          <w:i w:val="1"/>
          <w:iCs w:val="1"/>
          <w:color w:val="auto"/>
        </w:rPr>
        <w:t>Item 6. Selected Financial Data</w:t>
      </w:r>
    </w:p>
    <w:p>
      <w:pPr>
        <w:spacing w:after="0" w:line="218"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The following selected financial data is derived from our audited financial statements for the five fiscal years ended December 31, 2015. The selected financial data should be read in conjunction with the more detailed information contained in the Financial Statements and Notes thereto and "Management's Discussion and Analysis of Financial Condition and Results of Operations" included elsewhere in this Annual Report on Form 10-K.</w:t>
      </w:r>
    </w:p>
    <w:p>
      <w:pPr>
        <w:spacing w:after="0" w:line="274" w:lineRule="exact"/>
        <w:rPr>
          <w:sz w:val="20"/>
          <w:szCs w:val="20"/>
          <w:color w:val="auto"/>
        </w:rPr>
      </w:pPr>
    </w:p>
    <w:p>
      <w:pPr>
        <w:ind w:left="40"/>
        <w:spacing w:after="0"/>
        <w:rPr>
          <w:sz w:val="20"/>
          <w:szCs w:val="20"/>
          <w:color w:val="auto"/>
        </w:rPr>
      </w:pPr>
      <w:r>
        <w:rPr>
          <w:rFonts w:ascii="Arial" w:cs="Arial" w:eastAsia="Arial" w:hAnsi="Arial"/>
          <w:sz w:val="16"/>
          <w:szCs w:val="16"/>
          <w:b w:val="1"/>
          <w:bCs w:val="1"/>
          <w:color w:val="auto"/>
        </w:rPr>
        <w:t>($ in millions, except per share amounts)</w:t>
      </w:r>
    </w:p>
    <w:p>
      <w:pPr>
        <w:sectPr>
          <w:pgSz w:w="11900" w:h="16838" w:orient="portrait"/>
          <w:cols w:equalWidth="0" w:num="1">
            <w:col w:w="11420"/>
          </w:cols>
          <w:pgMar w:left="240" w:top="744" w:right="239" w:bottom="1440" w:gutter="0" w:footer="0" w:header="0"/>
        </w:sectPr>
      </w:pPr>
    </w:p>
    <w:p>
      <w:pPr>
        <w:spacing w:after="0" w:line="370" w:lineRule="exact"/>
        <w:rPr>
          <w:sz w:val="20"/>
          <w:szCs w:val="20"/>
          <w:color w:val="auto"/>
        </w:rPr>
      </w:pPr>
    </w:p>
    <w:p>
      <w:pPr>
        <w:ind w:left="40"/>
        <w:spacing w:after="0"/>
        <w:rPr>
          <w:sz w:val="20"/>
          <w:szCs w:val="20"/>
          <w:color w:val="auto"/>
        </w:rPr>
      </w:pPr>
      <w:r>
        <w:rPr>
          <w:rFonts w:ascii="Arial" w:cs="Arial" w:eastAsia="Arial" w:hAnsi="Arial"/>
          <w:sz w:val="16"/>
          <w:szCs w:val="16"/>
          <w:b w:val="1"/>
          <w:bCs w:val="1"/>
          <w:color w:val="auto"/>
        </w:rPr>
        <w:t>Balance Sheet Data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37465</wp:posOffset>
            </wp:positionV>
            <wp:extent cx="398780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987800" cy="8890"/>
                    </a:xfrm>
                    <a:prstGeom prst="rect">
                      <a:avLst/>
                    </a:prstGeom>
                    <a:noFill/>
                  </pic:spPr>
                </pic:pic>
              </a:graphicData>
            </a:graphic>
          </wp:anchor>
        </w:drawing>
      </w:r>
    </w:p>
    <w:p>
      <w:pPr>
        <w:spacing w:after="0" w:line="381" w:lineRule="exact"/>
        <w:rPr>
          <w:sz w:val="20"/>
          <w:szCs w:val="20"/>
          <w:color w:val="auto"/>
        </w:rPr>
      </w:pPr>
    </w:p>
    <w:p>
      <w:pPr>
        <w:ind w:left="40"/>
        <w:spacing w:after="0"/>
        <w:rPr>
          <w:sz w:val="20"/>
          <w:szCs w:val="20"/>
          <w:color w:val="auto"/>
        </w:rPr>
      </w:pPr>
      <w:r>
        <w:rPr>
          <w:rFonts w:ascii="Arial" w:cs="Arial" w:eastAsia="Arial" w:hAnsi="Arial"/>
          <w:sz w:val="16"/>
          <w:szCs w:val="16"/>
          <w:color w:val="auto"/>
        </w:rPr>
        <w:t>Investment portfolio, at fair value</w:t>
      </w:r>
    </w:p>
    <w:p>
      <w:pPr>
        <w:spacing w:after="0" w:line="86" w:lineRule="exact"/>
        <w:rPr>
          <w:sz w:val="20"/>
          <w:szCs w:val="20"/>
          <w:color w:val="auto"/>
        </w:rPr>
      </w:pPr>
    </w:p>
    <w:p>
      <w:pPr>
        <w:ind w:left="40"/>
        <w:spacing w:after="0"/>
        <w:rPr>
          <w:sz w:val="20"/>
          <w:szCs w:val="20"/>
          <w:color w:val="auto"/>
        </w:rPr>
      </w:pPr>
      <w:r>
        <w:rPr>
          <w:rFonts w:ascii="Arial" w:cs="Arial" w:eastAsia="Arial" w:hAnsi="Arial"/>
          <w:sz w:val="16"/>
          <w:szCs w:val="16"/>
          <w:color w:val="auto"/>
        </w:rPr>
        <w:t>Total assets</w:t>
      </w:r>
    </w:p>
    <w:p>
      <w:pPr>
        <w:spacing w:after="0" w:line="86"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Repurchase agreements, Federal Home Loan Bank advances and other debt</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6"/>
          <w:szCs w:val="16"/>
          <w:color w:val="auto"/>
        </w:rPr>
        <w:t>Total liabilities</w:t>
      </w:r>
    </w:p>
    <w:p>
      <w:pPr>
        <w:spacing w:after="0" w:line="86" w:lineRule="exact"/>
        <w:rPr>
          <w:sz w:val="20"/>
          <w:szCs w:val="20"/>
          <w:color w:val="auto"/>
        </w:rPr>
      </w:pPr>
    </w:p>
    <w:p>
      <w:pPr>
        <w:ind w:left="40"/>
        <w:spacing w:after="0"/>
        <w:rPr>
          <w:sz w:val="20"/>
          <w:szCs w:val="20"/>
          <w:color w:val="auto"/>
        </w:rPr>
      </w:pPr>
      <w:r>
        <w:rPr>
          <w:rFonts w:ascii="Arial" w:cs="Arial" w:eastAsia="Arial" w:hAnsi="Arial"/>
          <w:sz w:val="16"/>
          <w:szCs w:val="16"/>
          <w:color w:val="auto"/>
        </w:rPr>
        <w:t>Total stockholders' equity</w:t>
      </w:r>
    </w:p>
    <w:p>
      <w:pPr>
        <w:spacing w:after="0" w:line="86" w:lineRule="exact"/>
        <w:rPr>
          <w:sz w:val="20"/>
          <w:szCs w:val="20"/>
          <w:color w:val="auto"/>
        </w:rPr>
      </w:pPr>
    </w:p>
    <w:p>
      <w:pPr>
        <w:ind w:left="40"/>
        <w:spacing w:after="0"/>
        <w:rPr>
          <w:sz w:val="20"/>
          <w:szCs w:val="20"/>
          <w:color w:val="auto"/>
        </w:rPr>
      </w:pPr>
      <w:r>
        <w:rPr>
          <w:rFonts w:ascii="Arial" w:cs="Arial" w:eastAsia="Arial" w:hAnsi="Arial"/>
          <w:sz w:val="16"/>
          <w:szCs w:val="16"/>
          <w:color w:val="auto"/>
        </w:rPr>
        <w:t xml:space="preserve">Net asset value per common share as of period end </w:t>
      </w:r>
      <w:r>
        <w:rPr>
          <w:rFonts w:ascii="Arial" w:cs="Arial" w:eastAsia="Arial" w:hAnsi="Arial"/>
          <w:sz w:val="21"/>
          <w:szCs w:val="21"/>
          <w:color w:val="auto"/>
          <w:vertAlign w:val="superscript"/>
        </w:rPr>
        <w:t>1</w:t>
      </w:r>
    </w:p>
    <w:p>
      <w:pPr>
        <w:spacing w:after="0" w:line="20" w:lineRule="exact"/>
        <w:rPr>
          <w:sz w:val="20"/>
          <w:szCs w:val="20"/>
          <w:color w:val="auto"/>
        </w:rPr>
      </w:pPr>
      <w:r>
        <w:rPr>
          <w:sz w:val="20"/>
          <w:szCs w:val="20"/>
          <w:color w:val="auto"/>
        </w:rPr>
        <w:br w:type="column"/>
      </w:r>
    </w:p>
    <w:p>
      <w:pPr>
        <w:spacing w:after="0" w:line="111" w:lineRule="exact"/>
        <w:rPr>
          <w:sz w:val="20"/>
          <w:szCs w:val="20"/>
          <w:color w:val="auto"/>
        </w:rPr>
      </w:pPr>
    </w:p>
    <w:p>
      <w:pPr>
        <w:ind w:left="2100"/>
        <w:spacing w:after="0"/>
        <w:rPr>
          <w:sz w:val="20"/>
          <w:szCs w:val="20"/>
          <w:color w:val="auto"/>
        </w:rPr>
      </w:pPr>
      <w:r>
        <w:rPr>
          <w:rFonts w:ascii="Arial" w:cs="Arial" w:eastAsia="Arial" w:hAnsi="Arial"/>
          <w:sz w:val="14"/>
          <w:szCs w:val="14"/>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23495</wp:posOffset>
            </wp:positionV>
            <wp:extent cx="31813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181350" cy="8890"/>
                    </a:xfrm>
                    <a:prstGeom prst="rect">
                      <a:avLst/>
                    </a:prstGeom>
                    <a:noFill/>
                  </pic:spPr>
                </pic:pic>
              </a:graphicData>
            </a:graphic>
          </wp:anchor>
        </w:drawing>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9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2015</w:t>
            </w:r>
          </w:p>
        </w:tc>
        <w:tc>
          <w:tcPr>
            <w:tcW w:w="120" w:type="dxa"/>
            <w:vAlign w:val="bottom"/>
          </w:tcPr>
          <w:p>
            <w:pPr>
              <w:spacing w:after="0"/>
              <w:rPr>
                <w:sz w:val="16"/>
                <w:szCs w:val="16"/>
                <w:color w:val="auto"/>
              </w:rPr>
            </w:pPr>
          </w:p>
        </w:tc>
        <w:tc>
          <w:tcPr>
            <w:tcW w:w="9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2014</w:t>
            </w:r>
          </w:p>
        </w:tc>
        <w:tc>
          <w:tcPr>
            <w:tcW w:w="120" w:type="dxa"/>
            <w:vAlign w:val="bottom"/>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2013</w:t>
            </w:r>
          </w:p>
        </w:tc>
        <w:tc>
          <w:tcPr>
            <w:tcW w:w="100" w:type="dxa"/>
            <w:vAlign w:val="bottom"/>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2012</w:t>
            </w:r>
          </w:p>
        </w:tc>
        <w:tc>
          <w:tcPr>
            <w:tcW w:w="100" w:type="dxa"/>
            <w:vAlign w:val="bottom"/>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2011</w:t>
            </w:r>
          </w:p>
        </w:tc>
      </w:tr>
      <w:tr>
        <w:trPr>
          <w:trHeight w:val="555"/>
        </w:trPr>
        <w:tc>
          <w:tcPr>
            <w:tcW w:w="940" w:type="dxa"/>
            <w:vAlign w:val="bottom"/>
          </w:tcPr>
          <w:p>
            <w:pPr>
              <w:jc w:val="center"/>
              <w:spacing w:after="0"/>
              <w:rPr>
                <w:sz w:val="20"/>
                <w:szCs w:val="20"/>
                <w:color w:val="auto"/>
              </w:rPr>
            </w:pPr>
            <w:r>
              <w:rPr>
                <w:rFonts w:ascii="Arial" w:cs="Arial" w:eastAsia="Arial" w:hAnsi="Arial"/>
                <w:sz w:val="14"/>
                <w:szCs w:val="14"/>
                <w:color w:val="auto"/>
                <w:w w:val="90"/>
              </w:rPr>
              <w:t>$52,473</w:t>
            </w:r>
          </w:p>
        </w:tc>
        <w:tc>
          <w:tcPr>
            <w:tcW w:w="120" w:type="dxa"/>
            <w:vAlign w:val="bottom"/>
          </w:tcPr>
          <w:p>
            <w:pPr>
              <w:spacing w:after="0"/>
              <w:rPr>
                <w:sz w:val="24"/>
                <w:szCs w:val="24"/>
                <w:color w:val="auto"/>
              </w:rPr>
            </w:pPr>
          </w:p>
        </w:tc>
        <w:tc>
          <w:tcPr>
            <w:tcW w:w="940" w:type="dxa"/>
            <w:vAlign w:val="bottom"/>
          </w:tcPr>
          <w:p>
            <w:pPr>
              <w:jc w:val="center"/>
              <w:spacing w:after="0"/>
              <w:rPr>
                <w:sz w:val="20"/>
                <w:szCs w:val="20"/>
                <w:color w:val="auto"/>
              </w:rPr>
            </w:pPr>
            <w:r>
              <w:rPr>
                <w:rFonts w:ascii="Arial" w:cs="Arial" w:eastAsia="Arial" w:hAnsi="Arial"/>
                <w:sz w:val="14"/>
                <w:szCs w:val="14"/>
                <w:color w:val="auto"/>
                <w:w w:val="90"/>
              </w:rPr>
              <w:t>$56,748</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0"/>
              </w:rPr>
              <w:t>$65,941</w:t>
            </w:r>
          </w:p>
        </w:tc>
        <w:tc>
          <w:tcPr>
            <w:tcW w:w="10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0"/>
              </w:rPr>
              <w:t>$85,245</w:t>
            </w:r>
          </w:p>
        </w:tc>
        <w:tc>
          <w:tcPr>
            <w:tcW w:w="10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0"/>
              </w:rPr>
              <w:t>$54,683</w:t>
            </w:r>
          </w:p>
        </w:tc>
      </w:tr>
      <w:tr>
        <w:trPr>
          <w:trHeight w:val="270"/>
        </w:trPr>
        <w:tc>
          <w:tcPr>
            <w:tcW w:w="940" w:type="dxa"/>
            <w:vAlign w:val="bottom"/>
          </w:tcPr>
          <w:p>
            <w:pPr>
              <w:jc w:val="center"/>
              <w:spacing w:after="0"/>
              <w:rPr>
                <w:sz w:val="20"/>
                <w:szCs w:val="20"/>
                <w:color w:val="auto"/>
              </w:rPr>
            </w:pPr>
            <w:r>
              <w:rPr>
                <w:rFonts w:ascii="Arial" w:cs="Arial" w:eastAsia="Arial" w:hAnsi="Arial"/>
                <w:sz w:val="14"/>
                <w:szCs w:val="14"/>
                <w:color w:val="auto"/>
                <w:w w:val="90"/>
              </w:rPr>
              <w:t>$57,021</w:t>
            </w:r>
          </w:p>
        </w:tc>
        <w:tc>
          <w:tcPr>
            <w:tcW w:w="120" w:type="dxa"/>
            <w:vAlign w:val="bottom"/>
          </w:tcPr>
          <w:p>
            <w:pPr>
              <w:spacing w:after="0"/>
              <w:rPr>
                <w:sz w:val="23"/>
                <w:szCs w:val="23"/>
                <w:color w:val="auto"/>
              </w:rPr>
            </w:pPr>
          </w:p>
        </w:tc>
        <w:tc>
          <w:tcPr>
            <w:tcW w:w="940" w:type="dxa"/>
            <w:vAlign w:val="bottom"/>
          </w:tcPr>
          <w:p>
            <w:pPr>
              <w:jc w:val="center"/>
              <w:spacing w:after="0"/>
              <w:rPr>
                <w:sz w:val="20"/>
                <w:szCs w:val="20"/>
                <w:color w:val="auto"/>
              </w:rPr>
            </w:pPr>
            <w:r>
              <w:rPr>
                <w:rFonts w:ascii="Arial" w:cs="Arial" w:eastAsia="Arial" w:hAnsi="Arial"/>
                <w:sz w:val="14"/>
                <w:szCs w:val="14"/>
                <w:color w:val="auto"/>
                <w:w w:val="90"/>
              </w:rPr>
              <w:t>$67,766</w:t>
            </w:r>
          </w:p>
        </w:tc>
        <w:tc>
          <w:tcPr>
            <w:tcW w:w="12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0"/>
              </w:rPr>
              <w:t>$76,255</w:t>
            </w:r>
          </w:p>
        </w:tc>
        <w:tc>
          <w:tcPr>
            <w:tcW w:w="10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$100,453</w:t>
            </w:r>
          </w:p>
        </w:tc>
        <w:tc>
          <w:tcPr>
            <w:tcW w:w="10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0"/>
              </w:rPr>
              <w:t>$57,972</w:t>
            </w:r>
          </w:p>
        </w:tc>
      </w:tr>
      <w:tr>
        <w:trPr>
          <w:trHeight w:val="270"/>
        </w:trPr>
        <w:tc>
          <w:tcPr>
            <w:tcW w:w="940" w:type="dxa"/>
            <w:vAlign w:val="bottom"/>
          </w:tcPr>
          <w:p>
            <w:pPr>
              <w:jc w:val="center"/>
              <w:spacing w:after="0"/>
              <w:rPr>
                <w:sz w:val="20"/>
                <w:szCs w:val="20"/>
                <w:color w:val="auto"/>
              </w:rPr>
            </w:pPr>
            <w:r>
              <w:rPr>
                <w:rFonts w:ascii="Arial" w:cs="Arial" w:eastAsia="Arial" w:hAnsi="Arial"/>
                <w:sz w:val="14"/>
                <w:szCs w:val="14"/>
                <w:color w:val="auto"/>
                <w:w w:val="90"/>
              </w:rPr>
              <w:t>$46,102</w:t>
            </w:r>
          </w:p>
        </w:tc>
        <w:tc>
          <w:tcPr>
            <w:tcW w:w="120" w:type="dxa"/>
            <w:vAlign w:val="bottom"/>
          </w:tcPr>
          <w:p>
            <w:pPr>
              <w:spacing w:after="0"/>
              <w:rPr>
                <w:sz w:val="23"/>
                <w:szCs w:val="23"/>
                <w:color w:val="auto"/>
              </w:rPr>
            </w:pPr>
          </w:p>
        </w:tc>
        <w:tc>
          <w:tcPr>
            <w:tcW w:w="940" w:type="dxa"/>
            <w:vAlign w:val="bottom"/>
          </w:tcPr>
          <w:p>
            <w:pPr>
              <w:jc w:val="center"/>
              <w:spacing w:after="0"/>
              <w:rPr>
                <w:sz w:val="20"/>
                <w:szCs w:val="20"/>
                <w:color w:val="auto"/>
              </w:rPr>
            </w:pPr>
            <w:r>
              <w:rPr>
                <w:rFonts w:ascii="Arial" w:cs="Arial" w:eastAsia="Arial" w:hAnsi="Arial"/>
                <w:sz w:val="14"/>
                <w:szCs w:val="14"/>
                <w:color w:val="auto"/>
                <w:w w:val="90"/>
              </w:rPr>
              <w:t>$51,057</w:t>
            </w:r>
          </w:p>
        </w:tc>
        <w:tc>
          <w:tcPr>
            <w:tcW w:w="12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0"/>
              </w:rPr>
              <w:t>$64,443</w:t>
            </w:r>
          </w:p>
        </w:tc>
        <w:tc>
          <w:tcPr>
            <w:tcW w:w="10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0"/>
              </w:rPr>
              <w:t>$75,415</w:t>
            </w:r>
          </w:p>
        </w:tc>
        <w:tc>
          <w:tcPr>
            <w:tcW w:w="10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0"/>
              </w:rPr>
              <w:t>$47,735</w:t>
            </w:r>
          </w:p>
        </w:tc>
      </w:tr>
      <w:tr>
        <w:trPr>
          <w:trHeight w:val="270"/>
        </w:trPr>
        <w:tc>
          <w:tcPr>
            <w:tcW w:w="940" w:type="dxa"/>
            <w:vAlign w:val="bottom"/>
          </w:tcPr>
          <w:p>
            <w:pPr>
              <w:jc w:val="center"/>
              <w:spacing w:after="0"/>
              <w:rPr>
                <w:sz w:val="20"/>
                <w:szCs w:val="20"/>
                <w:color w:val="auto"/>
              </w:rPr>
            </w:pPr>
            <w:r>
              <w:rPr>
                <w:rFonts w:ascii="Arial" w:cs="Arial" w:eastAsia="Arial" w:hAnsi="Arial"/>
                <w:sz w:val="14"/>
                <w:szCs w:val="14"/>
                <w:color w:val="auto"/>
                <w:w w:val="90"/>
              </w:rPr>
              <w:t>$49,050</w:t>
            </w:r>
          </w:p>
        </w:tc>
        <w:tc>
          <w:tcPr>
            <w:tcW w:w="120" w:type="dxa"/>
            <w:vAlign w:val="bottom"/>
          </w:tcPr>
          <w:p>
            <w:pPr>
              <w:spacing w:after="0"/>
              <w:rPr>
                <w:sz w:val="23"/>
                <w:szCs w:val="23"/>
                <w:color w:val="auto"/>
              </w:rPr>
            </w:pPr>
          </w:p>
        </w:tc>
        <w:tc>
          <w:tcPr>
            <w:tcW w:w="940" w:type="dxa"/>
            <w:vAlign w:val="bottom"/>
          </w:tcPr>
          <w:p>
            <w:pPr>
              <w:jc w:val="center"/>
              <w:spacing w:after="0"/>
              <w:rPr>
                <w:sz w:val="20"/>
                <w:szCs w:val="20"/>
                <w:color w:val="auto"/>
              </w:rPr>
            </w:pPr>
            <w:r>
              <w:rPr>
                <w:rFonts w:ascii="Arial" w:cs="Arial" w:eastAsia="Arial" w:hAnsi="Arial"/>
                <w:sz w:val="14"/>
                <w:szCs w:val="14"/>
                <w:color w:val="auto"/>
                <w:w w:val="90"/>
              </w:rPr>
              <w:t>$58,338</w:t>
            </w:r>
          </w:p>
        </w:tc>
        <w:tc>
          <w:tcPr>
            <w:tcW w:w="12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0"/>
              </w:rPr>
              <w:t>$67,558</w:t>
            </w:r>
          </w:p>
        </w:tc>
        <w:tc>
          <w:tcPr>
            <w:tcW w:w="10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0"/>
              </w:rPr>
              <w:t>$89,557</w:t>
            </w:r>
          </w:p>
        </w:tc>
        <w:tc>
          <w:tcPr>
            <w:tcW w:w="10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0"/>
              </w:rPr>
              <w:t>$51,760</w:t>
            </w:r>
          </w:p>
        </w:tc>
      </w:tr>
      <w:tr>
        <w:trPr>
          <w:trHeight w:val="270"/>
        </w:trPr>
        <w:tc>
          <w:tcPr>
            <w:tcW w:w="940" w:type="dxa"/>
            <w:vAlign w:val="bottom"/>
          </w:tcPr>
          <w:p>
            <w:pPr>
              <w:jc w:val="center"/>
              <w:spacing w:after="0"/>
              <w:rPr>
                <w:sz w:val="20"/>
                <w:szCs w:val="20"/>
                <w:color w:val="auto"/>
              </w:rPr>
            </w:pPr>
            <w:r>
              <w:rPr>
                <w:rFonts w:ascii="Arial" w:cs="Arial" w:eastAsia="Arial" w:hAnsi="Arial"/>
                <w:sz w:val="14"/>
                <w:szCs w:val="14"/>
                <w:color w:val="auto"/>
                <w:w w:val="93"/>
              </w:rPr>
              <w:t>$7,971</w:t>
            </w:r>
          </w:p>
        </w:tc>
        <w:tc>
          <w:tcPr>
            <w:tcW w:w="120" w:type="dxa"/>
            <w:vAlign w:val="bottom"/>
          </w:tcPr>
          <w:p>
            <w:pPr>
              <w:spacing w:after="0"/>
              <w:rPr>
                <w:sz w:val="23"/>
                <w:szCs w:val="23"/>
                <w:color w:val="auto"/>
              </w:rPr>
            </w:pPr>
          </w:p>
        </w:tc>
        <w:tc>
          <w:tcPr>
            <w:tcW w:w="940" w:type="dxa"/>
            <w:vAlign w:val="bottom"/>
          </w:tcPr>
          <w:p>
            <w:pPr>
              <w:jc w:val="center"/>
              <w:spacing w:after="0"/>
              <w:rPr>
                <w:sz w:val="20"/>
                <w:szCs w:val="20"/>
                <w:color w:val="auto"/>
              </w:rPr>
            </w:pPr>
            <w:r>
              <w:rPr>
                <w:rFonts w:ascii="Arial" w:cs="Arial" w:eastAsia="Arial" w:hAnsi="Arial"/>
                <w:sz w:val="14"/>
                <w:szCs w:val="14"/>
                <w:color w:val="auto"/>
                <w:w w:val="88"/>
              </w:rPr>
              <w:t>$9,428</w:t>
            </w:r>
          </w:p>
        </w:tc>
        <w:tc>
          <w:tcPr>
            <w:tcW w:w="12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$8,697</w:t>
            </w:r>
          </w:p>
        </w:tc>
        <w:tc>
          <w:tcPr>
            <w:tcW w:w="10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0"/>
              </w:rPr>
              <w:t>$10,896</w:t>
            </w:r>
          </w:p>
        </w:tc>
        <w:tc>
          <w:tcPr>
            <w:tcW w:w="10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3"/>
              </w:rPr>
              <w:t>$6,212</w:t>
            </w:r>
          </w:p>
        </w:tc>
      </w:tr>
      <w:tr>
        <w:trPr>
          <w:trHeight w:val="270"/>
        </w:trPr>
        <w:tc>
          <w:tcPr>
            <w:tcW w:w="940" w:type="dxa"/>
            <w:vAlign w:val="bottom"/>
          </w:tcPr>
          <w:p>
            <w:pPr>
              <w:jc w:val="center"/>
              <w:spacing w:after="0"/>
              <w:rPr>
                <w:sz w:val="20"/>
                <w:szCs w:val="20"/>
                <w:color w:val="auto"/>
              </w:rPr>
            </w:pPr>
            <w:r>
              <w:rPr>
                <w:rFonts w:ascii="Arial" w:cs="Arial" w:eastAsia="Arial" w:hAnsi="Arial"/>
                <w:sz w:val="14"/>
                <w:szCs w:val="14"/>
                <w:color w:val="auto"/>
                <w:w w:val="93"/>
              </w:rPr>
              <w:t>$22.59</w:t>
            </w:r>
          </w:p>
        </w:tc>
        <w:tc>
          <w:tcPr>
            <w:tcW w:w="120" w:type="dxa"/>
            <w:vAlign w:val="bottom"/>
          </w:tcPr>
          <w:p>
            <w:pPr>
              <w:spacing w:after="0"/>
              <w:rPr>
                <w:sz w:val="23"/>
                <w:szCs w:val="23"/>
                <w:color w:val="auto"/>
              </w:rPr>
            </w:pPr>
          </w:p>
        </w:tc>
        <w:tc>
          <w:tcPr>
            <w:tcW w:w="940" w:type="dxa"/>
            <w:vAlign w:val="bottom"/>
          </w:tcPr>
          <w:p>
            <w:pPr>
              <w:jc w:val="center"/>
              <w:spacing w:after="0"/>
              <w:rPr>
                <w:sz w:val="20"/>
                <w:szCs w:val="20"/>
                <w:color w:val="auto"/>
              </w:rPr>
            </w:pPr>
            <w:r>
              <w:rPr>
                <w:rFonts w:ascii="Arial" w:cs="Arial" w:eastAsia="Arial" w:hAnsi="Arial"/>
                <w:sz w:val="14"/>
                <w:szCs w:val="14"/>
                <w:color w:val="auto"/>
                <w:w w:val="88"/>
              </w:rPr>
              <w:t>$25.74</w:t>
            </w:r>
          </w:p>
        </w:tc>
        <w:tc>
          <w:tcPr>
            <w:tcW w:w="12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$23.93</w:t>
            </w:r>
          </w:p>
        </w:tc>
        <w:tc>
          <w:tcPr>
            <w:tcW w:w="10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3"/>
              </w:rPr>
              <w:t>$31.64</w:t>
            </w:r>
          </w:p>
        </w:tc>
        <w:tc>
          <w:tcPr>
            <w:tcW w:w="100" w:type="dxa"/>
            <w:vAlign w:val="bottom"/>
          </w:tcPr>
          <w:p>
            <w:pPr>
              <w:spacing w:after="0"/>
              <w:rPr>
                <w:sz w:val="23"/>
                <w:szCs w:val="23"/>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3"/>
              </w:rPr>
              <w:t>$27.71</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-4058285</wp:posOffset>
            </wp:positionH>
            <wp:positionV relativeFrom="paragraph">
              <wp:posOffset>-1021080</wp:posOffset>
            </wp:positionV>
            <wp:extent cx="7246620" cy="1714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-4058285</wp:posOffset>
            </wp:positionH>
            <wp:positionV relativeFrom="paragraph">
              <wp:posOffset>-677545</wp:posOffset>
            </wp:positionV>
            <wp:extent cx="7246620" cy="1714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-4058285</wp:posOffset>
            </wp:positionH>
            <wp:positionV relativeFrom="paragraph">
              <wp:posOffset>-334645</wp:posOffset>
            </wp:positionV>
            <wp:extent cx="7246620" cy="1714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361" w:lineRule="exact"/>
        <w:rPr>
          <w:sz w:val="20"/>
          <w:szCs w:val="20"/>
          <w:color w:val="auto"/>
        </w:rPr>
      </w:pPr>
    </w:p>
    <w:p>
      <w:pPr>
        <w:ind w:left="2180"/>
        <w:spacing w:after="0"/>
        <w:rPr>
          <w:sz w:val="20"/>
          <w:szCs w:val="20"/>
          <w:color w:val="auto"/>
        </w:rPr>
      </w:pPr>
      <w:r>
        <w:rPr>
          <w:rFonts w:ascii="Arial" w:cs="Arial" w:eastAsia="Arial" w:hAnsi="Arial"/>
          <w:sz w:val="14"/>
          <w:szCs w:val="14"/>
          <w:b w:val="1"/>
          <w:bCs w:val="1"/>
          <w:color w:val="auto"/>
        </w:rPr>
        <w:t>Fiscal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23495</wp:posOffset>
            </wp:positionV>
            <wp:extent cx="318135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181350" cy="8890"/>
                    </a:xfrm>
                    <a:prstGeom prst="rect">
                      <a:avLst/>
                    </a:prstGeom>
                    <a:noFill/>
                  </pic:spPr>
                </pic:pic>
              </a:graphicData>
            </a:graphic>
          </wp:anchor>
        </w:drawing>
      </w:r>
    </w:p>
    <w:p>
      <w:pPr>
        <w:spacing w:after="0" w:line="77" w:lineRule="exact"/>
        <w:rPr>
          <w:sz w:val="20"/>
          <w:szCs w:val="20"/>
          <w:color w:val="auto"/>
        </w:rPr>
      </w:pPr>
    </w:p>
    <w:p>
      <w:pPr>
        <w:sectPr>
          <w:pgSz w:w="11900" w:h="16838" w:orient="portrait"/>
          <w:cols w:equalWidth="0" w:num="2">
            <w:col w:w="5680" w:space="720"/>
            <w:col w:w="5020"/>
          </w:cols>
          <w:pgMar w:left="240" w:top="744" w:right="239" w:bottom="1440" w:gutter="0" w:footer="0" w:header="0"/>
          <w:type w:val="continuous"/>
        </w:sectPr>
      </w:pPr>
    </w:p>
    <w:tbl>
      <w:tblPr>
        <w:tblLayout w:type="fixed"/>
        <w:tblInd w:w="0" w:type="dxa"/>
        <w:tblCellMar>
          <w:top w:w="0" w:type="dxa"/>
          <w:left w:w="0" w:type="dxa"/>
          <w:bottom w:w="0" w:type="dxa"/>
          <w:right w:w="0" w:type="dxa"/>
        </w:tblCellMar>
      </w:tblPr>
      <w:tr>
        <w:trPr>
          <w:trHeight w:val="237"/>
        </w:trPr>
        <w:tc>
          <w:tcPr>
            <w:tcW w:w="6280" w:type="dxa"/>
            <w:vAlign w:val="bottom"/>
            <w:tcBorders>
              <w:bottom w:val="single" w:sz="8" w:color="auto"/>
            </w:tcBorders>
          </w:tcPr>
          <w:p>
            <w:pPr>
              <w:ind w:left="40"/>
              <w:spacing w:after="0"/>
              <w:rPr>
                <w:sz w:val="20"/>
                <w:szCs w:val="20"/>
                <w:color w:val="auto"/>
              </w:rPr>
            </w:pPr>
            <w:r>
              <w:rPr>
                <w:rFonts w:ascii="Arial" w:cs="Arial" w:eastAsia="Arial" w:hAnsi="Arial"/>
                <w:sz w:val="16"/>
                <w:szCs w:val="16"/>
                <w:b w:val="1"/>
                <w:bCs w:val="1"/>
                <w:color w:val="auto"/>
              </w:rPr>
              <w:t>Statement of Comprehensive Income Data (unaudited)</w:t>
            </w:r>
          </w:p>
        </w:tc>
        <w:tc>
          <w:tcPr>
            <w:tcW w:w="120" w:type="dxa"/>
            <w:vAlign w:val="bottom"/>
            <w:tcBorders>
              <w:bottom w:val="single" w:sz="8" w:color="CCEEFF"/>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ind w:right="239"/>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CCEEFF"/>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ind w:right="239"/>
              <w:spacing w:after="0"/>
              <w:rPr>
                <w:sz w:val="20"/>
                <w:szCs w:val="20"/>
                <w:color w:val="auto"/>
              </w:rPr>
            </w:pPr>
            <w:r>
              <w:rPr>
                <w:rFonts w:ascii="Arial" w:cs="Arial" w:eastAsia="Arial" w:hAnsi="Arial"/>
                <w:sz w:val="14"/>
                <w:szCs w:val="14"/>
                <w:b w:val="1"/>
                <w:bCs w:val="1"/>
                <w:color w:val="auto"/>
              </w:rPr>
              <w:t>2014</w:t>
            </w:r>
          </w:p>
        </w:tc>
        <w:tc>
          <w:tcPr>
            <w:tcW w:w="120" w:type="dxa"/>
            <w:vAlign w:val="bottom"/>
            <w:tcBorders>
              <w:bottom w:val="single" w:sz="8" w:color="CCEEFF"/>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ind w:right="219"/>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680" w:type="dxa"/>
            <w:vAlign w:val="bottom"/>
            <w:tcBorders>
              <w:bottom w:val="single" w:sz="8" w:color="auto"/>
            </w:tcBorders>
          </w:tcPr>
          <w:p>
            <w:pPr>
              <w:jc w:val="right"/>
              <w:ind w:right="219"/>
              <w:spacing w:after="0"/>
              <w:rPr>
                <w:sz w:val="20"/>
                <w:szCs w:val="20"/>
                <w:color w:val="auto"/>
              </w:rPr>
            </w:pPr>
            <w:r>
              <w:rPr>
                <w:rFonts w:ascii="Arial" w:cs="Arial" w:eastAsia="Arial" w:hAnsi="Arial"/>
                <w:sz w:val="14"/>
                <w:szCs w:val="14"/>
                <w:b w:val="1"/>
                <w:bCs w:val="1"/>
                <w:color w:val="auto"/>
              </w:rPr>
              <w:t>2012</w:t>
            </w:r>
          </w:p>
        </w:tc>
        <w:tc>
          <w:tcPr>
            <w:tcW w:w="100" w:type="dxa"/>
            <w:vAlign w:val="bottom"/>
            <w:tcBorders>
              <w:bottom w:val="single" w:sz="8" w:color="CCEEFF"/>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680" w:type="dxa"/>
            <w:vAlign w:val="bottom"/>
            <w:tcBorders>
              <w:bottom w:val="single" w:sz="8" w:color="auto"/>
            </w:tcBorders>
          </w:tcPr>
          <w:p>
            <w:pPr>
              <w:jc w:val="right"/>
              <w:ind w:right="219"/>
              <w:spacing w:after="0"/>
              <w:rPr>
                <w:sz w:val="20"/>
                <w:szCs w:val="20"/>
                <w:color w:val="auto"/>
              </w:rPr>
            </w:pPr>
            <w:r>
              <w:rPr>
                <w:rFonts w:ascii="Arial" w:cs="Arial" w:eastAsia="Arial" w:hAnsi="Arial"/>
                <w:sz w:val="14"/>
                <w:szCs w:val="14"/>
                <w:b w:val="1"/>
                <w:bCs w:val="1"/>
                <w:color w:val="auto"/>
              </w:rPr>
              <w:t>2011</w:t>
            </w:r>
          </w:p>
        </w:tc>
      </w:tr>
      <w:tr>
        <w:trPr>
          <w:trHeight w:val="236"/>
        </w:trPr>
        <w:tc>
          <w:tcPr>
            <w:tcW w:w="64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Interest income</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1,466</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1,472</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7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2,193</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2,109</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1,109</w:t>
            </w:r>
          </w:p>
        </w:tc>
      </w:tr>
      <w:tr>
        <w:trPr>
          <w:trHeight w:val="270"/>
        </w:trPr>
        <w:tc>
          <w:tcPr>
            <w:tcW w:w="6400" w:type="dxa"/>
            <w:vAlign w:val="bottom"/>
            <w:tcBorders>
              <w:bottom w:val="single" w:sz="8" w:color="CCEEFF"/>
            </w:tcBorders>
            <w:gridSpan w:val="2"/>
          </w:tcPr>
          <w:p>
            <w:pPr>
              <w:ind w:left="40"/>
              <w:spacing w:after="0"/>
              <w:rPr>
                <w:sz w:val="20"/>
                <w:szCs w:val="20"/>
                <w:color w:val="auto"/>
              </w:rPr>
            </w:pPr>
            <w:r>
              <w:rPr>
                <w:rFonts w:ascii="Arial" w:cs="Arial" w:eastAsia="Arial" w:hAnsi="Arial"/>
                <w:sz w:val="16"/>
                <w:szCs w:val="16"/>
                <w:color w:val="auto"/>
              </w:rPr>
              <w:t xml:space="preserve">Interest expense </w:t>
            </w:r>
            <w:r>
              <w:rPr>
                <w:rFonts w:ascii="Arial" w:cs="Arial" w:eastAsia="Arial" w:hAnsi="Arial"/>
                <w:sz w:val="21"/>
                <w:szCs w:val="21"/>
                <w:color w:val="auto"/>
                <w:vertAlign w:val="superscript"/>
              </w:rPr>
              <w:t>2</w:t>
            </w:r>
          </w:p>
        </w:tc>
        <w:tc>
          <w:tcPr>
            <w:tcW w:w="220" w:type="dxa"/>
            <w:vAlign w:val="bottom"/>
            <w:tcBorders>
              <w:bottom w:val="single" w:sz="8" w:color="auto"/>
            </w:tcBorders>
          </w:tcPr>
          <w:p>
            <w:pPr>
              <w:spacing w:after="0"/>
              <w:rPr>
                <w:sz w:val="23"/>
                <w:szCs w:val="23"/>
                <w:color w:val="auto"/>
              </w:rPr>
            </w:pPr>
          </w:p>
        </w:tc>
        <w:tc>
          <w:tcPr>
            <w:tcW w:w="7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330</w:t>
            </w:r>
          </w:p>
        </w:tc>
        <w:tc>
          <w:tcPr>
            <w:tcW w:w="120" w:type="dxa"/>
            <w:vAlign w:val="bottom"/>
            <w:tcBorders>
              <w:bottom w:val="single" w:sz="8" w:color="CCEEFF"/>
            </w:tcBorders>
          </w:tcPr>
          <w:p>
            <w:pPr>
              <w:spacing w:after="0"/>
              <w:rPr>
                <w:sz w:val="23"/>
                <w:szCs w:val="23"/>
                <w:color w:val="auto"/>
              </w:rPr>
            </w:pPr>
          </w:p>
        </w:tc>
        <w:tc>
          <w:tcPr>
            <w:tcW w:w="220" w:type="dxa"/>
            <w:vAlign w:val="bottom"/>
            <w:tcBorders>
              <w:bottom w:val="single" w:sz="8" w:color="auto"/>
            </w:tcBorders>
          </w:tcPr>
          <w:p>
            <w:pPr>
              <w:spacing w:after="0"/>
              <w:rPr>
                <w:sz w:val="23"/>
                <w:szCs w:val="23"/>
                <w:color w:val="auto"/>
              </w:rPr>
            </w:pPr>
          </w:p>
        </w:tc>
        <w:tc>
          <w:tcPr>
            <w:tcW w:w="7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372</w:t>
            </w:r>
          </w:p>
        </w:tc>
        <w:tc>
          <w:tcPr>
            <w:tcW w:w="120" w:type="dxa"/>
            <w:vAlign w:val="bottom"/>
            <w:tcBorders>
              <w:bottom w:val="single" w:sz="8" w:color="CCEEFF"/>
            </w:tcBorders>
          </w:tcPr>
          <w:p>
            <w:pPr>
              <w:spacing w:after="0"/>
              <w:rPr>
                <w:sz w:val="23"/>
                <w:szCs w:val="23"/>
                <w:color w:val="auto"/>
              </w:rPr>
            </w:pPr>
          </w:p>
        </w:tc>
        <w:tc>
          <w:tcPr>
            <w:tcW w:w="200" w:type="dxa"/>
            <w:vAlign w:val="bottom"/>
            <w:tcBorders>
              <w:bottom w:val="single" w:sz="8" w:color="auto"/>
            </w:tcBorders>
          </w:tcPr>
          <w:p>
            <w:pPr>
              <w:spacing w:after="0"/>
              <w:rPr>
                <w:sz w:val="23"/>
                <w:szCs w:val="23"/>
                <w:color w:val="auto"/>
              </w:rPr>
            </w:pPr>
          </w:p>
        </w:tc>
        <w:tc>
          <w:tcPr>
            <w:tcW w:w="7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536</w:t>
            </w:r>
          </w:p>
        </w:tc>
        <w:tc>
          <w:tcPr>
            <w:tcW w:w="100" w:type="dxa"/>
            <w:vAlign w:val="bottom"/>
            <w:tcBorders>
              <w:bottom w:val="single" w:sz="8" w:color="CCEEFF"/>
            </w:tcBorders>
          </w:tcPr>
          <w:p>
            <w:pPr>
              <w:spacing w:after="0"/>
              <w:rPr>
                <w:sz w:val="23"/>
                <w:szCs w:val="23"/>
                <w:color w:val="auto"/>
              </w:rPr>
            </w:pPr>
          </w:p>
        </w:tc>
        <w:tc>
          <w:tcPr>
            <w:tcW w:w="220" w:type="dxa"/>
            <w:vAlign w:val="bottom"/>
            <w:tcBorders>
              <w:bottom w:val="single" w:sz="8" w:color="auto"/>
            </w:tcBorders>
          </w:tcPr>
          <w:p>
            <w:pPr>
              <w:spacing w:after="0"/>
              <w:rPr>
                <w:sz w:val="23"/>
                <w:szCs w:val="23"/>
                <w:color w:val="auto"/>
              </w:rPr>
            </w:pPr>
          </w:p>
        </w:tc>
        <w:tc>
          <w:tcPr>
            <w:tcW w:w="6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512</w:t>
            </w:r>
          </w:p>
        </w:tc>
        <w:tc>
          <w:tcPr>
            <w:tcW w:w="100" w:type="dxa"/>
            <w:vAlign w:val="bottom"/>
            <w:tcBorders>
              <w:bottom w:val="single" w:sz="8" w:color="CCEEFF"/>
            </w:tcBorders>
          </w:tcPr>
          <w:p>
            <w:pPr>
              <w:spacing w:after="0"/>
              <w:rPr>
                <w:sz w:val="23"/>
                <w:szCs w:val="23"/>
                <w:color w:val="auto"/>
              </w:rPr>
            </w:pPr>
          </w:p>
        </w:tc>
        <w:tc>
          <w:tcPr>
            <w:tcW w:w="220" w:type="dxa"/>
            <w:vAlign w:val="bottom"/>
            <w:tcBorders>
              <w:bottom w:val="single" w:sz="8" w:color="auto"/>
            </w:tcBorders>
          </w:tcPr>
          <w:p>
            <w:pPr>
              <w:spacing w:after="0"/>
              <w:rPr>
                <w:sz w:val="23"/>
                <w:szCs w:val="23"/>
                <w:color w:val="auto"/>
              </w:rPr>
            </w:pPr>
          </w:p>
        </w:tc>
        <w:tc>
          <w:tcPr>
            <w:tcW w:w="6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285</w:t>
            </w:r>
          </w:p>
        </w:tc>
      </w:tr>
      <w:tr>
        <w:trPr>
          <w:trHeight w:val="250"/>
        </w:trPr>
        <w:tc>
          <w:tcPr>
            <w:tcW w:w="64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Net interest income</w:t>
            </w:r>
          </w:p>
        </w:tc>
        <w:tc>
          <w:tcPr>
            <w:tcW w:w="22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1,136</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1,100</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1,657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1,597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824</w:t>
            </w:r>
          </w:p>
        </w:tc>
      </w:tr>
      <w:tr>
        <w:trPr>
          <w:trHeight w:val="250"/>
        </w:trPr>
        <w:tc>
          <w:tcPr>
            <w:tcW w:w="6400" w:type="dxa"/>
            <w:vAlign w:val="bottom"/>
            <w:gridSpan w:val="2"/>
          </w:tcPr>
          <w:p>
            <w:pPr>
              <w:ind w:left="40"/>
              <w:spacing w:after="0"/>
              <w:rPr>
                <w:sz w:val="20"/>
                <w:szCs w:val="20"/>
                <w:color w:val="auto"/>
              </w:rPr>
            </w:pPr>
            <w:r>
              <w:rPr>
                <w:rFonts w:ascii="Arial" w:cs="Arial" w:eastAsia="Arial" w:hAnsi="Arial"/>
                <w:sz w:val="16"/>
                <w:szCs w:val="16"/>
                <w:color w:val="auto"/>
              </w:rPr>
              <w:t xml:space="preserve">Other gain (loss), net </w:t>
            </w:r>
            <w:r>
              <w:rPr>
                <w:rFonts w:ascii="Arial" w:cs="Arial" w:eastAsia="Arial" w:hAnsi="Arial"/>
                <w:sz w:val="21"/>
                <w:szCs w:val="21"/>
                <w:color w:val="auto"/>
                <w:vertAlign w:val="superscript"/>
              </w:rPr>
              <w:t>2</w:t>
            </w:r>
          </w:p>
        </w:tc>
        <w:tc>
          <w:tcPr>
            <w:tcW w:w="220" w:type="dxa"/>
            <w:vAlign w:val="bottom"/>
            <w:tcBorders>
              <w:top w:val="single" w:sz="8" w:color="auto"/>
            </w:tcBorders>
          </w:tcPr>
          <w:p>
            <w:pPr>
              <w:spacing w:after="0"/>
              <w:rPr>
                <w:sz w:val="21"/>
                <w:szCs w:val="21"/>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(782)</w:t>
            </w:r>
          </w:p>
        </w:tc>
        <w:tc>
          <w:tcPr>
            <w:tcW w:w="120" w:type="dxa"/>
            <w:vAlign w:val="bottom"/>
          </w:tcPr>
          <w:p>
            <w:pPr>
              <w:spacing w:after="0"/>
              <w:rPr>
                <w:sz w:val="21"/>
                <w:szCs w:val="21"/>
                <w:color w:val="auto"/>
              </w:rPr>
            </w:pPr>
          </w:p>
        </w:tc>
        <w:tc>
          <w:tcPr>
            <w:tcW w:w="220" w:type="dxa"/>
            <w:vAlign w:val="bottom"/>
            <w:tcBorders>
              <w:top w:val="single" w:sz="8" w:color="auto"/>
            </w:tcBorders>
          </w:tcPr>
          <w:p>
            <w:pPr>
              <w:spacing w:after="0"/>
              <w:rPr>
                <w:sz w:val="21"/>
                <w:szCs w:val="21"/>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(1,192)</w:t>
            </w:r>
          </w:p>
        </w:tc>
        <w:tc>
          <w:tcPr>
            <w:tcW w:w="120" w:type="dxa"/>
            <w:vAlign w:val="bottom"/>
          </w:tcPr>
          <w:p>
            <w:pPr>
              <w:spacing w:after="0"/>
              <w:rPr>
                <w:sz w:val="21"/>
                <w:szCs w:val="21"/>
                <w:color w:val="auto"/>
              </w:rPr>
            </w:pPr>
          </w:p>
        </w:tc>
        <w:tc>
          <w:tcPr>
            <w:tcW w:w="200" w:type="dxa"/>
            <w:vAlign w:val="bottom"/>
            <w:tcBorders>
              <w:top w:val="single" w:sz="8" w:color="auto"/>
            </w:tcBorders>
          </w:tcPr>
          <w:p>
            <w:pPr>
              <w:spacing w:after="0"/>
              <w:rPr>
                <w:sz w:val="21"/>
                <w:szCs w:val="21"/>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(217)</w:t>
            </w:r>
          </w:p>
        </w:tc>
        <w:tc>
          <w:tcPr>
            <w:tcW w:w="100" w:type="dxa"/>
            <w:vAlign w:val="bottom"/>
          </w:tcPr>
          <w:p>
            <w:pPr>
              <w:spacing w:after="0"/>
              <w:rPr>
                <w:sz w:val="21"/>
                <w:szCs w:val="21"/>
                <w:color w:val="auto"/>
              </w:rPr>
            </w:pPr>
          </w:p>
        </w:tc>
        <w:tc>
          <w:tcPr>
            <w:tcW w:w="220" w:type="dxa"/>
            <w:vAlign w:val="bottom"/>
            <w:tcBorders>
              <w:top w:val="single" w:sz="8" w:color="auto"/>
            </w:tcBorders>
          </w:tcPr>
          <w:p>
            <w:pPr>
              <w:spacing w:after="0"/>
              <w:rPr>
                <w:sz w:val="21"/>
                <w:szCs w:val="21"/>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(157)</w:t>
            </w:r>
          </w:p>
        </w:tc>
        <w:tc>
          <w:tcPr>
            <w:tcW w:w="100" w:type="dxa"/>
            <w:vAlign w:val="bottom"/>
          </w:tcPr>
          <w:p>
            <w:pPr>
              <w:spacing w:after="0"/>
              <w:rPr>
                <w:sz w:val="21"/>
                <w:szCs w:val="21"/>
                <w:color w:val="auto"/>
              </w:rPr>
            </w:pPr>
          </w:p>
        </w:tc>
        <w:tc>
          <w:tcPr>
            <w:tcW w:w="220" w:type="dxa"/>
            <w:vAlign w:val="bottom"/>
            <w:tcBorders>
              <w:top w:val="single" w:sz="8" w:color="auto"/>
            </w:tcBorders>
          </w:tcPr>
          <w:p>
            <w:pPr>
              <w:spacing w:after="0"/>
              <w:rPr>
                <w:sz w:val="21"/>
                <w:szCs w:val="21"/>
                <w:color w:val="auto"/>
              </w:rPr>
            </w:pPr>
          </w:p>
        </w:tc>
        <w:tc>
          <w:tcPr>
            <w:tcW w:w="6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26</w:t>
            </w:r>
          </w:p>
        </w:tc>
      </w:tr>
      <w:tr>
        <w:trPr>
          <w:trHeight w:val="270"/>
        </w:trPr>
        <w:tc>
          <w:tcPr>
            <w:tcW w:w="64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Expenses</w:t>
            </w:r>
          </w:p>
        </w:tc>
        <w:tc>
          <w:tcPr>
            <w:tcW w:w="220" w:type="dxa"/>
            <w:vAlign w:val="bottom"/>
            <w:tcBorders>
              <w:bottom w:val="single" w:sz="8" w:color="CCEEFF"/>
            </w:tcBorders>
            <w:shd w:val="clear" w:color="auto" w:fill="CCEEFF"/>
          </w:tcPr>
          <w:p>
            <w:pPr>
              <w:spacing w:after="0"/>
              <w:rPr>
                <w:sz w:val="23"/>
                <w:szCs w:val="23"/>
                <w:color w:val="auto"/>
              </w:rPr>
            </w:pPr>
          </w:p>
        </w:tc>
        <w:tc>
          <w:tcPr>
            <w:tcW w:w="7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139</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7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141</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168</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144</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74</w:t>
            </w:r>
          </w:p>
        </w:tc>
      </w:tr>
      <w:tr>
        <w:trPr>
          <w:trHeight w:val="217"/>
        </w:trPr>
        <w:tc>
          <w:tcPr>
            <w:tcW w:w="6400" w:type="dxa"/>
            <w:vAlign w:val="bottom"/>
            <w:gridSpan w:val="2"/>
          </w:tcPr>
          <w:p>
            <w:pPr>
              <w:ind w:left="40"/>
              <w:spacing w:after="0"/>
              <w:rPr>
                <w:sz w:val="20"/>
                <w:szCs w:val="20"/>
                <w:color w:val="auto"/>
              </w:rPr>
            </w:pPr>
            <w:r>
              <w:rPr>
                <w:rFonts w:ascii="Arial" w:cs="Arial" w:eastAsia="Arial" w:hAnsi="Arial"/>
                <w:sz w:val="16"/>
                <w:szCs w:val="16"/>
                <w:color w:val="auto"/>
              </w:rPr>
              <w:t>Income (loss) before income tax</w:t>
            </w:r>
          </w:p>
        </w:tc>
        <w:tc>
          <w:tcPr>
            <w:tcW w:w="22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215</w:t>
            </w: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(233)</w:t>
            </w:r>
          </w:p>
        </w:tc>
        <w:tc>
          <w:tcPr>
            <w:tcW w:w="1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1,272</w:t>
            </w: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1,296</w:t>
            </w: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776</w:t>
            </w:r>
          </w:p>
        </w:tc>
      </w:tr>
      <w:tr>
        <w:trPr>
          <w:trHeight w:val="33"/>
        </w:trPr>
        <w:tc>
          <w:tcPr>
            <w:tcW w:w="6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680" w:type="dxa"/>
            <w:vAlign w:val="bottom"/>
          </w:tcPr>
          <w:p>
            <w:pPr>
              <w:spacing w:after="0"/>
              <w:rPr>
                <w:sz w:val="2"/>
                <w:szCs w:val="2"/>
                <w:color w:val="auto"/>
              </w:rPr>
            </w:pPr>
          </w:p>
        </w:tc>
      </w:tr>
      <w:tr>
        <w:trPr>
          <w:trHeight w:val="270"/>
        </w:trPr>
        <w:tc>
          <w:tcPr>
            <w:tcW w:w="64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Provision for income tax, net</w:t>
            </w:r>
          </w:p>
        </w:tc>
        <w:tc>
          <w:tcPr>
            <w:tcW w:w="22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19</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w:t>
            </w:r>
          </w:p>
        </w:tc>
      </w:tr>
      <w:tr>
        <w:trPr>
          <w:trHeight w:val="217"/>
        </w:trPr>
        <w:tc>
          <w:tcPr>
            <w:tcW w:w="6400" w:type="dxa"/>
            <w:vAlign w:val="bottom"/>
            <w:gridSpan w:val="2"/>
          </w:tcPr>
          <w:p>
            <w:pPr>
              <w:ind w:left="40"/>
              <w:spacing w:after="0"/>
              <w:rPr>
                <w:sz w:val="20"/>
                <w:szCs w:val="20"/>
                <w:color w:val="auto"/>
              </w:rPr>
            </w:pPr>
            <w:r>
              <w:rPr>
                <w:rFonts w:ascii="Arial" w:cs="Arial" w:eastAsia="Arial" w:hAnsi="Arial"/>
                <w:sz w:val="16"/>
                <w:szCs w:val="16"/>
                <w:color w:val="auto"/>
              </w:rPr>
              <w:t>Net income (loss)</w:t>
            </w:r>
          </w:p>
        </w:tc>
        <w:tc>
          <w:tcPr>
            <w:tcW w:w="22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215</w:t>
            </w: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(233)</w:t>
            </w:r>
          </w:p>
        </w:tc>
        <w:tc>
          <w:tcPr>
            <w:tcW w:w="1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1,259</w:t>
            </w: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1,277</w:t>
            </w: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770</w:t>
            </w:r>
          </w:p>
        </w:tc>
      </w:tr>
      <w:tr>
        <w:trPr>
          <w:trHeight w:val="33"/>
        </w:trPr>
        <w:tc>
          <w:tcPr>
            <w:tcW w:w="6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680" w:type="dxa"/>
            <w:vAlign w:val="bottom"/>
          </w:tcPr>
          <w:p>
            <w:pPr>
              <w:spacing w:after="0"/>
              <w:rPr>
                <w:sz w:val="2"/>
                <w:szCs w:val="2"/>
                <w:color w:val="auto"/>
              </w:rPr>
            </w:pPr>
          </w:p>
        </w:tc>
      </w:tr>
      <w:tr>
        <w:trPr>
          <w:trHeight w:val="270"/>
        </w:trPr>
        <w:tc>
          <w:tcPr>
            <w:tcW w:w="64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Dividend on preferred stock</w:t>
            </w:r>
          </w:p>
        </w:tc>
        <w:tc>
          <w:tcPr>
            <w:tcW w:w="220" w:type="dxa"/>
            <w:vAlign w:val="bottom"/>
            <w:tcBorders>
              <w:bottom w:val="single" w:sz="8" w:color="CCEEFF"/>
            </w:tcBorders>
            <w:shd w:val="clear" w:color="auto" w:fill="CCEEFF"/>
          </w:tcPr>
          <w:p>
            <w:pPr>
              <w:spacing w:after="0"/>
              <w:rPr>
                <w:sz w:val="23"/>
                <w:szCs w:val="23"/>
                <w:color w:val="auto"/>
              </w:rPr>
            </w:pPr>
          </w:p>
        </w:tc>
        <w:tc>
          <w:tcPr>
            <w:tcW w:w="7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28</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7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23</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10</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r>
      <w:tr>
        <w:trPr>
          <w:trHeight w:val="284"/>
        </w:trPr>
        <w:tc>
          <w:tcPr>
            <w:tcW w:w="6400" w:type="dxa"/>
            <w:vAlign w:val="bottom"/>
            <w:tcBorders>
              <w:bottom w:val="single" w:sz="8" w:color="CCEEFF"/>
            </w:tcBorders>
            <w:gridSpan w:val="2"/>
          </w:tcPr>
          <w:p>
            <w:pPr>
              <w:ind w:left="40"/>
              <w:spacing w:after="0"/>
              <w:rPr>
                <w:sz w:val="20"/>
                <w:szCs w:val="20"/>
                <w:color w:val="auto"/>
              </w:rPr>
            </w:pPr>
            <w:r>
              <w:rPr>
                <w:rFonts w:ascii="Arial" w:cs="Arial" w:eastAsia="Arial" w:hAnsi="Arial"/>
                <w:sz w:val="16"/>
                <w:szCs w:val="16"/>
                <w:color w:val="auto"/>
              </w:rPr>
              <w:t>Net income (loss) available (attributable) to common stockholders</w:t>
            </w:r>
          </w:p>
        </w:tc>
        <w:tc>
          <w:tcPr>
            <w:tcW w:w="2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187</w:t>
            </w:r>
          </w:p>
        </w:tc>
        <w:tc>
          <w:tcPr>
            <w:tcW w:w="120" w:type="dxa"/>
            <w:vAlign w:val="bottom"/>
            <w:tcBorders>
              <w:bottom w:val="single" w:sz="8" w:color="CCEEFF"/>
            </w:tcBorders>
          </w:tcPr>
          <w:p>
            <w:pPr>
              <w:spacing w:after="0"/>
              <w:rPr>
                <w:sz w:val="24"/>
                <w:szCs w:val="24"/>
                <w:color w:val="auto"/>
              </w:rPr>
            </w:pPr>
          </w:p>
        </w:tc>
        <w:tc>
          <w:tcPr>
            <w:tcW w:w="2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(256)</w:t>
            </w:r>
          </w:p>
        </w:tc>
        <w:tc>
          <w:tcPr>
            <w:tcW w:w="12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7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1,245</w:t>
            </w:r>
          </w:p>
        </w:tc>
        <w:tc>
          <w:tcPr>
            <w:tcW w:w="100" w:type="dxa"/>
            <w:vAlign w:val="bottom"/>
            <w:tcBorders>
              <w:bottom w:val="single" w:sz="8" w:color="CCEEFF"/>
            </w:tcBorders>
          </w:tcPr>
          <w:p>
            <w:pPr>
              <w:spacing w:after="0"/>
              <w:rPr>
                <w:sz w:val="24"/>
                <w:szCs w:val="24"/>
                <w:color w:val="auto"/>
              </w:rPr>
            </w:pPr>
          </w:p>
        </w:tc>
        <w:tc>
          <w:tcPr>
            <w:tcW w:w="2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1,267</w:t>
            </w:r>
          </w:p>
        </w:tc>
        <w:tc>
          <w:tcPr>
            <w:tcW w:w="100" w:type="dxa"/>
            <w:vAlign w:val="bottom"/>
            <w:tcBorders>
              <w:bottom w:val="single" w:sz="8" w:color="CCEEFF"/>
            </w:tcBorders>
          </w:tcPr>
          <w:p>
            <w:pPr>
              <w:spacing w:after="0"/>
              <w:rPr>
                <w:sz w:val="24"/>
                <w:szCs w:val="24"/>
                <w:color w:val="auto"/>
              </w:rPr>
            </w:pPr>
          </w:p>
        </w:tc>
        <w:tc>
          <w:tcPr>
            <w:tcW w:w="2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770</w:t>
            </w:r>
          </w:p>
        </w:tc>
      </w:tr>
      <w:tr>
        <w:trPr>
          <w:trHeight w:val="284"/>
        </w:trPr>
        <w:tc>
          <w:tcPr>
            <w:tcW w:w="62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r>
      <w:tr>
        <w:trPr>
          <w:trHeight w:val="237"/>
        </w:trPr>
        <w:tc>
          <w:tcPr>
            <w:tcW w:w="6400" w:type="dxa"/>
            <w:vAlign w:val="bottom"/>
            <w:gridSpan w:val="2"/>
          </w:tcPr>
          <w:p>
            <w:pPr>
              <w:ind w:left="40"/>
              <w:spacing w:after="0"/>
              <w:rPr>
                <w:sz w:val="20"/>
                <w:szCs w:val="20"/>
                <w:color w:val="auto"/>
              </w:rPr>
            </w:pPr>
            <w:r>
              <w:rPr>
                <w:rFonts w:ascii="Arial" w:cs="Arial" w:eastAsia="Arial" w:hAnsi="Arial"/>
                <w:sz w:val="16"/>
                <w:szCs w:val="16"/>
                <w:color w:val="auto"/>
              </w:rPr>
              <w:t>Net income (loss)</w:t>
            </w:r>
          </w:p>
        </w:tc>
        <w:tc>
          <w:tcPr>
            <w:tcW w:w="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Pr>
          <w:p>
            <w:pPr>
              <w:jc w:val="right"/>
              <w:ind w:right="39"/>
              <w:spacing w:after="0"/>
              <w:rPr>
                <w:sz w:val="20"/>
                <w:szCs w:val="20"/>
                <w:color w:val="auto"/>
              </w:rPr>
            </w:pPr>
            <w:r>
              <w:rPr>
                <w:rFonts w:ascii="Arial" w:cs="Arial" w:eastAsia="Arial" w:hAnsi="Arial"/>
                <w:sz w:val="16"/>
                <w:szCs w:val="16"/>
                <w:color w:val="auto"/>
              </w:rPr>
              <w:t>215</w:t>
            </w:r>
          </w:p>
        </w:tc>
        <w:tc>
          <w:tcPr>
            <w:tcW w:w="120" w:type="dxa"/>
            <w:vAlign w:val="bottom"/>
          </w:tcPr>
          <w:p>
            <w:pPr>
              <w:spacing w:after="0"/>
              <w:rPr>
                <w:sz w:val="20"/>
                <w:szCs w:val="20"/>
                <w:color w:val="auto"/>
              </w:rPr>
            </w:pPr>
          </w:p>
        </w:tc>
        <w:tc>
          <w:tcPr>
            <w:tcW w:w="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(233)</w:t>
            </w:r>
          </w:p>
        </w:tc>
        <w:tc>
          <w:tcPr>
            <w:tcW w:w="120" w:type="dxa"/>
            <w:vAlign w:val="bottom"/>
          </w:tcPr>
          <w:p>
            <w:pPr>
              <w:spacing w:after="0"/>
              <w:rPr>
                <w:sz w:val="20"/>
                <w:szCs w:val="20"/>
                <w:color w:val="auto"/>
              </w:rPr>
            </w:pP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700" w:type="dxa"/>
            <w:vAlign w:val="bottom"/>
          </w:tcPr>
          <w:p>
            <w:pPr>
              <w:jc w:val="right"/>
              <w:ind w:right="19"/>
              <w:spacing w:after="0"/>
              <w:rPr>
                <w:sz w:val="20"/>
                <w:szCs w:val="20"/>
                <w:color w:val="auto"/>
              </w:rPr>
            </w:pPr>
            <w:r>
              <w:rPr>
                <w:rFonts w:ascii="Arial" w:cs="Arial" w:eastAsia="Arial" w:hAnsi="Arial"/>
                <w:sz w:val="16"/>
                <w:szCs w:val="16"/>
                <w:color w:val="auto"/>
              </w:rPr>
              <w:t>1,259</w:t>
            </w:r>
          </w:p>
        </w:tc>
        <w:tc>
          <w:tcPr>
            <w:tcW w:w="100" w:type="dxa"/>
            <w:vAlign w:val="bottom"/>
          </w:tcPr>
          <w:p>
            <w:pPr>
              <w:spacing w:after="0"/>
              <w:rPr>
                <w:sz w:val="20"/>
                <w:szCs w:val="20"/>
                <w:color w:val="auto"/>
              </w:rPr>
            </w:pPr>
          </w:p>
        </w:tc>
        <w:tc>
          <w:tcPr>
            <w:tcW w:w="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680" w:type="dxa"/>
            <w:vAlign w:val="bottom"/>
          </w:tcPr>
          <w:p>
            <w:pPr>
              <w:jc w:val="right"/>
              <w:ind w:right="19"/>
              <w:spacing w:after="0"/>
              <w:rPr>
                <w:sz w:val="20"/>
                <w:szCs w:val="20"/>
                <w:color w:val="auto"/>
              </w:rPr>
            </w:pPr>
            <w:r>
              <w:rPr>
                <w:rFonts w:ascii="Arial" w:cs="Arial" w:eastAsia="Arial" w:hAnsi="Arial"/>
                <w:sz w:val="16"/>
                <w:szCs w:val="16"/>
                <w:color w:val="auto"/>
              </w:rPr>
              <w:t>1,277</w:t>
            </w:r>
          </w:p>
        </w:tc>
        <w:tc>
          <w:tcPr>
            <w:tcW w:w="100" w:type="dxa"/>
            <w:vAlign w:val="bottom"/>
          </w:tcPr>
          <w:p>
            <w:pPr>
              <w:spacing w:after="0"/>
              <w:rPr>
                <w:sz w:val="20"/>
                <w:szCs w:val="20"/>
                <w:color w:val="auto"/>
              </w:rPr>
            </w:pPr>
          </w:p>
        </w:tc>
        <w:tc>
          <w:tcPr>
            <w:tcW w:w="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680" w:type="dxa"/>
            <w:vAlign w:val="bottom"/>
          </w:tcPr>
          <w:p>
            <w:pPr>
              <w:jc w:val="right"/>
              <w:ind w:right="19"/>
              <w:spacing w:after="0"/>
              <w:rPr>
                <w:sz w:val="20"/>
                <w:szCs w:val="20"/>
                <w:color w:val="auto"/>
              </w:rPr>
            </w:pPr>
            <w:r>
              <w:rPr>
                <w:rFonts w:ascii="Arial" w:cs="Arial" w:eastAsia="Arial" w:hAnsi="Arial"/>
                <w:sz w:val="16"/>
                <w:szCs w:val="16"/>
                <w:color w:val="auto"/>
              </w:rPr>
              <w:t>770</w:t>
            </w:r>
          </w:p>
        </w:tc>
      </w:tr>
      <w:tr>
        <w:trPr>
          <w:trHeight w:val="33"/>
        </w:trPr>
        <w:tc>
          <w:tcPr>
            <w:tcW w:w="6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680" w:type="dxa"/>
            <w:vAlign w:val="bottom"/>
          </w:tcPr>
          <w:p>
            <w:pPr>
              <w:spacing w:after="0"/>
              <w:rPr>
                <w:sz w:val="2"/>
                <w:szCs w:val="2"/>
                <w:color w:val="auto"/>
              </w:rPr>
            </w:pPr>
          </w:p>
        </w:tc>
      </w:tr>
      <w:tr>
        <w:trPr>
          <w:trHeight w:val="270"/>
        </w:trPr>
        <w:tc>
          <w:tcPr>
            <w:tcW w:w="640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Other comprehensive income (loss) </w:t>
            </w:r>
            <w:r>
              <w:rPr>
                <w:rFonts w:ascii="Arial" w:cs="Arial" w:eastAsia="Arial" w:hAnsi="Arial"/>
                <w:sz w:val="21"/>
                <w:szCs w:val="21"/>
                <w:color w:val="auto"/>
                <w:vertAlign w:val="superscript"/>
              </w:rPr>
              <w:t>2</w:t>
            </w:r>
          </w:p>
        </w:tc>
        <w:tc>
          <w:tcPr>
            <w:tcW w:w="22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(496)</w:t>
            </w: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1,813</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(2,938)</w:t>
            </w: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1,244</w:t>
            </w: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379</w:t>
            </w:r>
          </w:p>
        </w:tc>
      </w:tr>
      <w:tr>
        <w:trPr>
          <w:trHeight w:val="217"/>
        </w:trPr>
        <w:tc>
          <w:tcPr>
            <w:tcW w:w="6400" w:type="dxa"/>
            <w:vAlign w:val="bottom"/>
            <w:gridSpan w:val="2"/>
          </w:tcPr>
          <w:p>
            <w:pPr>
              <w:ind w:left="40"/>
              <w:spacing w:after="0"/>
              <w:rPr>
                <w:sz w:val="20"/>
                <w:szCs w:val="20"/>
                <w:color w:val="auto"/>
              </w:rPr>
            </w:pPr>
            <w:r>
              <w:rPr>
                <w:rFonts w:ascii="Arial" w:cs="Arial" w:eastAsia="Arial" w:hAnsi="Arial"/>
                <w:sz w:val="16"/>
                <w:szCs w:val="16"/>
                <w:color w:val="auto"/>
              </w:rPr>
              <w:t>Comprehensive income (loss)</w:t>
            </w:r>
          </w:p>
        </w:tc>
        <w:tc>
          <w:tcPr>
            <w:tcW w:w="2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(281)</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jc w:val="right"/>
              <w:ind w:right="39"/>
              <w:spacing w:after="0"/>
              <w:rPr>
                <w:sz w:val="20"/>
                <w:szCs w:val="20"/>
                <w:color w:val="auto"/>
              </w:rPr>
            </w:pPr>
            <w:r>
              <w:rPr>
                <w:rFonts w:ascii="Arial" w:cs="Arial" w:eastAsia="Arial" w:hAnsi="Arial"/>
                <w:sz w:val="16"/>
                <w:szCs w:val="16"/>
                <w:color w:val="auto"/>
              </w:rPr>
              <w:t>1,580</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(1,679)</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jc w:val="right"/>
              <w:ind w:right="19"/>
              <w:spacing w:after="0"/>
              <w:rPr>
                <w:sz w:val="20"/>
                <w:szCs w:val="20"/>
                <w:color w:val="auto"/>
              </w:rPr>
            </w:pPr>
            <w:r>
              <w:rPr>
                <w:rFonts w:ascii="Arial" w:cs="Arial" w:eastAsia="Arial" w:hAnsi="Arial"/>
                <w:sz w:val="16"/>
                <w:szCs w:val="16"/>
                <w:color w:val="auto"/>
              </w:rPr>
              <w:t>2,521</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jc w:val="right"/>
              <w:ind w:right="19"/>
              <w:spacing w:after="0"/>
              <w:rPr>
                <w:sz w:val="20"/>
                <w:szCs w:val="20"/>
                <w:color w:val="auto"/>
              </w:rPr>
            </w:pPr>
            <w:r>
              <w:rPr>
                <w:rFonts w:ascii="Arial" w:cs="Arial" w:eastAsia="Arial" w:hAnsi="Arial"/>
                <w:sz w:val="16"/>
                <w:szCs w:val="16"/>
                <w:color w:val="auto"/>
              </w:rPr>
              <w:t>1,149</w:t>
            </w:r>
          </w:p>
        </w:tc>
      </w:tr>
      <w:tr>
        <w:trPr>
          <w:trHeight w:val="33"/>
        </w:trPr>
        <w:tc>
          <w:tcPr>
            <w:tcW w:w="6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680" w:type="dxa"/>
            <w:vAlign w:val="bottom"/>
          </w:tcPr>
          <w:p>
            <w:pPr>
              <w:spacing w:after="0"/>
              <w:rPr>
                <w:sz w:val="2"/>
                <w:szCs w:val="2"/>
                <w:color w:val="auto"/>
              </w:rPr>
            </w:pPr>
          </w:p>
        </w:tc>
      </w:tr>
      <w:tr>
        <w:trPr>
          <w:trHeight w:val="270"/>
        </w:trPr>
        <w:tc>
          <w:tcPr>
            <w:tcW w:w="64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Dividend on preferred stock</w:t>
            </w:r>
          </w:p>
        </w:tc>
        <w:tc>
          <w:tcPr>
            <w:tcW w:w="220" w:type="dxa"/>
            <w:vAlign w:val="bottom"/>
            <w:tcBorders>
              <w:bottom w:val="single" w:sz="8" w:color="CCEEFF"/>
            </w:tcBorders>
            <w:shd w:val="clear" w:color="auto" w:fill="CCEEFF"/>
          </w:tcPr>
          <w:p>
            <w:pPr>
              <w:spacing w:after="0"/>
              <w:rPr>
                <w:sz w:val="23"/>
                <w:szCs w:val="23"/>
                <w:color w:val="auto"/>
              </w:rPr>
            </w:pPr>
          </w:p>
        </w:tc>
        <w:tc>
          <w:tcPr>
            <w:tcW w:w="7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28</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7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23</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10</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r>
      <w:tr>
        <w:trPr>
          <w:trHeight w:val="284"/>
        </w:trPr>
        <w:tc>
          <w:tcPr>
            <w:tcW w:w="6400" w:type="dxa"/>
            <w:vAlign w:val="bottom"/>
            <w:tcBorders>
              <w:bottom w:val="single" w:sz="8" w:color="CCEEFF"/>
            </w:tcBorders>
            <w:gridSpan w:val="2"/>
          </w:tcPr>
          <w:p>
            <w:pPr>
              <w:ind w:left="40"/>
              <w:spacing w:after="0"/>
              <w:rPr>
                <w:sz w:val="20"/>
                <w:szCs w:val="20"/>
                <w:color w:val="auto"/>
              </w:rPr>
            </w:pPr>
            <w:r>
              <w:rPr>
                <w:rFonts w:ascii="Arial" w:cs="Arial" w:eastAsia="Arial" w:hAnsi="Arial"/>
                <w:sz w:val="16"/>
                <w:szCs w:val="16"/>
                <w:color w:val="auto"/>
              </w:rPr>
              <w:t>Comprehensive income (loss) available (attributable) to common stockholders</w:t>
            </w:r>
          </w:p>
        </w:tc>
        <w:tc>
          <w:tcPr>
            <w:tcW w:w="2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(309)</w:t>
            </w:r>
          </w:p>
        </w:tc>
        <w:tc>
          <w:tcPr>
            <w:tcW w:w="120" w:type="dxa"/>
            <w:vAlign w:val="bottom"/>
            <w:tcBorders>
              <w:bottom w:val="single" w:sz="8" w:color="CCEEFF"/>
            </w:tcBorders>
          </w:tcPr>
          <w:p>
            <w:pPr>
              <w:spacing w:after="0"/>
              <w:rPr>
                <w:sz w:val="24"/>
                <w:szCs w:val="24"/>
                <w:color w:val="auto"/>
              </w:rPr>
            </w:pPr>
          </w:p>
        </w:tc>
        <w:tc>
          <w:tcPr>
            <w:tcW w:w="2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1,557</w:t>
            </w:r>
          </w:p>
        </w:tc>
        <w:tc>
          <w:tcPr>
            <w:tcW w:w="12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(1,693)</w:t>
            </w:r>
          </w:p>
        </w:tc>
        <w:tc>
          <w:tcPr>
            <w:tcW w:w="100" w:type="dxa"/>
            <w:vAlign w:val="bottom"/>
            <w:tcBorders>
              <w:bottom w:val="single" w:sz="8" w:color="CCEEFF"/>
            </w:tcBorders>
          </w:tcPr>
          <w:p>
            <w:pPr>
              <w:spacing w:after="0"/>
              <w:rPr>
                <w:sz w:val="24"/>
                <w:szCs w:val="24"/>
                <w:color w:val="auto"/>
              </w:rPr>
            </w:pPr>
          </w:p>
        </w:tc>
        <w:tc>
          <w:tcPr>
            <w:tcW w:w="2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2,511</w:t>
            </w:r>
          </w:p>
        </w:tc>
        <w:tc>
          <w:tcPr>
            <w:tcW w:w="100" w:type="dxa"/>
            <w:vAlign w:val="bottom"/>
            <w:tcBorders>
              <w:bottom w:val="single" w:sz="8" w:color="CCEEFF"/>
            </w:tcBorders>
          </w:tcPr>
          <w:p>
            <w:pPr>
              <w:spacing w:after="0"/>
              <w:rPr>
                <w:sz w:val="24"/>
                <w:szCs w:val="24"/>
                <w:color w:val="auto"/>
              </w:rPr>
            </w:pPr>
          </w:p>
        </w:tc>
        <w:tc>
          <w:tcPr>
            <w:tcW w:w="2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1,149</w:t>
            </w:r>
          </w:p>
        </w:tc>
      </w:tr>
      <w:tr>
        <w:trPr>
          <w:trHeight w:val="284"/>
        </w:trPr>
        <w:tc>
          <w:tcPr>
            <w:tcW w:w="62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r>
      <w:tr>
        <w:trPr>
          <w:trHeight w:val="290"/>
        </w:trPr>
        <w:tc>
          <w:tcPr>
            <w:tcW w:w="6400" w:type="dxa"/>
            <w:vAlign w:val="bottom"/>
            <w:tcBorders>
              <w:bottom w:val="single" w:sz="8" w:color="CCEEFF"/>
            </w:tcBorders>
            <w:gridSpan w:val="2"/>
          </w:tcPr>
          <w:p>
            <w:pPr>
              <w:ind w:left="40"/>
              <w:spacing w:after="0"/>
              <w:rPr>
                <w:sz w:val="20"/>
                <w:szCs w:val="20"/>
                <w:color w:val="auto"/>
              </w:rPr>
            </w:pPr>
            <w:r>
              <w:rPr>
                <w:rFonts w:ascii="Arial" w:cs="Arial" w:eastAsia="Arial" w:hAnsi="Arial"/>
                <w:sz w:val="16"/>
                <w:szCs w:val="16"/>
                <w:color w:val="auto"/>
              </w:rPr>
              <w:t>Weighted average number of common shares outstanding - basic and diluted</w:t>
            </w:r>
          </w:p>
        </w:tc>
        <w:tc>
          <w:tcPr>
            <w:tcW w:w="2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348.6</w:t>
            </w:r>
          </w:p>
        </w:tc>
        <w:tc>
          <w:tcPr>
            <w:tcW w:w="12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353.3</w:t>
            </w:r>
          </w:p>
        </w:tc>
        <w:tc>
          <w:tcPr>
            <w:tcW w:w="12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379.1</w:t>
            </w: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303.9</w:t>
            </w: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153.3</w:t>
            </w:r>
          </w:p>
        </w:tc>
      </w:tr>
      <w:tr>
        <w:trPr>
          <w:trHeight w:val="237"/>
        </w:trPr>
        <w:tc>
          <w:tcPr>
            <w:tcW w:w="64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Net income (loss) per common share - basic and diluted</w:t>
            </w:r>
          </w:p>
        </w:tc>
        <w:tc>
          <w:tcPr>
            <w:tcW w:w="2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0.54</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(0.72)</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7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3.28</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6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4.17</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6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5.02</w:t>
            </w:r>
          </w:p>
        </w:tc>
      </w:tr>
      <w:tr>
        <w:trPr>
          <w:trHeight w:val="20"/>
        </w:trPr>
        <w:tc>
          <w:tcPr>
            <w:tcW w:w="62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r>
      <w:tr>
        <w:trPr>
          <w:trHeight w:val="277"/>
        </w:trPr>
        <w:tc>
          <w:tcPr>
            <w:tcW w:w="6400" w:type="dxa"/>
            <w:vAlign w:val="bottom"/>
            <w:tcBorders>
              <w:bottom w:val="single" w:sz="8" w:color="CCEEFF"/>
            </w:tcBorders>
            <w:gridSpan w:val="2"/>
          </w:tcPr>
          <w:p>
            <w:pPr>
              <w:ind w:left="40"/>
              <w:spacing w:after="0"/>
              <w:rPr>
                <w:sz w:val="20"/>
                <w:szCs w:val="20"/>
                <w:color w:val="auto"/>
              </w:rPr>
            </w:pPr>
            <w:r>
              <w:rPr>
                <w:rFonts w:ascii="Arial" w:cs="Arial" w:eastAsia="Arial" w:hAnsi="Arial"/>
                <w:sz w:val="16"/>
                <w:szCs w:val="16"/>
                <w:color w:val="auto"/>
              </w:rPr>
              <w:t>Comprehensive income (loss) per common share - basic and diluted</w:t>
            </w:r>
          </w:p>
        </w:tc>
        <w:tc>
          <w:tcPr>
            <w:tcW w:w="2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(0.89)</w:t>
            </w:r>
          </w:p>
        </w:tc>
        <w:tc>
          <w:tcPr>
            <w:tcW w:w="12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4.41</w:t>
            </w:r>
          </w:p>
        </w:tc>
        <w:tc>
          <w:tcPr>
            <w:tcW w:w="12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(4.47)</w:t>
            </w: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6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8.26</w:t>
            </w: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6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7.50</w:t>
            </w:r>
          </w:p>
        </w:tc>
      </w:tr>
      <w:tr>
        <w:trPr>
          <w:trHeight w:val="237"/>
        </w:trPr>
        <w:tc>
          <w:tcPr>
            <w:tcW w:w="64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Dividends declared per common share</w:t>
            </w:r>
          </w:p>
        </w:tc>
        <w:tc>
          <w:tcPr>
            <w:tcW w:w="2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2.48</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2.61</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7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3.75</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6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5.00</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6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5.60</w:t>
            </w:r>
          </w:p>
        </w:tc>
      </w:tr>
      <w:tr>
        <w:trPr>
          <w:trHeight w:val="20"/>
        </w:trPr>
        <w:tc>
          <w:tcPr>
            <w:tcW w:w="62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744" w:right="239" w:bottom="1440" w:gutter="0" w:footer="0" w:header="0"/>
          <w:type w:val="continuous"/>
        </w:sectPr>
      </w:pPr>
    </w:p>
    <w:bookmarkStart w:id="40" w:name="page41"/>
    <w:bookmarkEnd w:id="40"/>
    <w:tbl>
      <w:tblPr>
        <w:tblLayout w:type="fixed"/>
        <w:tblInd w:w="0" w:type="dxa"/>
        <w:tblCellMar>
          <w:top w:w="0" w:type="dxa"/>
          <w:left w:w="0" w:type="dxa"/>
          <w:bottom w:w="0" w:type="dxa"/>
          <w:right w:w="0" w:type="dxa"/>
        </w:tblCellMar>
      </w:tblPr>
      <w:tr>
        <w:trPr>
          <w:trHeight w:val="192"/>
        </w:trPr>
        <w:tc>
          <w:tcPr>
            <w:tcW w:w="5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gridSpan w:val="2"/>
          </w:tcPr>
          <w:p>
            <w:pPr>
              <w:ind w:left="180"/>
              <w:spacing w:after="0"/>
              <w:rPr>
                <w:sz w:val="20"/>
                <w:szCs w:val="20"/>
                <w:color w:val="auto"/>
              </w:rPr>
            </w:pPr>
            <w:r>
              <w:rPr>
                <w:rFonts w:ascii="Arial" w:cs="Arial" w:eastAsia="Arial" w:hAnsi="Arial"/>
                <w:sz w:val="14"/>
                <w:szCs w:val="14"/>
                <w:b w:val="1"/>
                <w:bCs w:val="1"/>
                <w:color w:val="auto"/>
              </w:rPr>
              <w:t>Fiscal Year</w:t>
            </w: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r>
      <w:tr>
        <w:trPr>
          <w:trHeight w:val="264"/>
        </w:trPr>
        <w:tc>
          <w:tcPr>
            <w:tcW w:w="5960" w:type="dxa"/>
            <w:vAlign w:val="bottom"/>
            <w:tcBorders>
              <w:bottom w:val="single" w:sz="8" w:color="auto"/>
            </w:tcBorders>
          </w:tcPr>
          <w:p>
            <w:pPr>
              <w:ind w:left="40"/>
              <w:spacing w:after="0"/>
              <w:rPr>
                <w:sz w:val="20"/>
                <w:szCs w:val="20"/>
                <w:color w:val="auto"/>
              </w:rPr>
            </w:pPr>
            <w:r>
              <w:rPr>
                <w:rFonts w:ascii="Arial" w:cs="Arial" w:eastAsia="Arial" w:hAnsi="Arial"/>
                <w:sz w:val="16"/>
                <w:szCs w:val="16"/>
                <w:b w:val="1"/>
                <w:bCs w:val="1"/>
                <w:color w:val="auto"/>
              </w:rPr>
              <w:t>Other Data (unaudited)</w:t>
            </w:r>
          </w:p>
        </w:tc>
        <w:tc>
          <w:tcPr>
            <w:tcW w:w="100" w:type="dxa"/>
            <w:vAlign w:val="bottom"/>
            <w:tcBorders>
              <w:bottom w:val="single" w:sz="8" w:color="CCEEFF"/>
            </w:tcBorders>
          </w:tcPr>
          <w:p>
            <w:pPr>
              <w:spacing w:after="0"/>
              <w:rPr>
                <w:sz w:val="22"/>
                <w:szCs w:val="22"/>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2015</w:t>
            </w:r>
          </w:p>
        </w:tc>
        <w:tc>
          <w:tcPr>
            <w:tcW w:w="120" w:type="dxa"/>
            <w:vAlign w:val="bottom"/>
            <w:tcBorders>
              <w:bottom w:val="single" w:sz="8" w:color="CCEEFF"/>
            </w:tcBorders>
          </w:tcPr>
          <w:p>
            <w:pPr>
              <w:spacing w:after="0"/>
              <w:rPr>
                <w:sz w:val="22"/>
                <w:szCs w:val="22"/>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2014</w:t>
            </w:r>
          </w:p>
        </w:tc>
        <w:tc>
          <w:tcPr>
            <w:tcW w:w="100" w:type="dxa"/>
            <w:vAlign w:val="bottom"/>
            <w:tcBorders>
              <w:bottom w:val="single" w:sz="8" w:color="CCEEFF"/>
            </w:tcBorders>
          </w:tcPr>
          <w:p>
            <w:pPr>
              <w:spacing w:after="0"/>
              <w:rPr>
                <w:sz w:val="22"/>
                <w:szCs w:val="22"/>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2013</w:t>
            </w:r>
          </w:p>
        </w:tc>
        <w:tc>
          <w:tcPr>
            <w:tcW w:w="100" w:type="dxa"/>
            <w:vAlign w:val="bottom"/>
            <w:tcBorders>
              <w:bottom w:val="single" w:sz="8" w:color="CCEEFF"/>
            </w:tcBorders>
          </w:tcPr>
          <w:p>
            <w:pPr>
              <w:spacing w:after="0"/>
              <w:rPr>
                <w:sz w:val="22"/>
                <w:szCs w:val="22"/>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2012</w:t>
            </w:r>
          </w:p>
        </w:tc>
        <w:tc>
          <w:tcPr>
            <w:tcW w:w="120" w:type="dxa"/>
            <w:vAlign w:val="bottom"/>
            <w:tcBorders>
              <w:bottom w:val="single" w:sz="8" w:color="CCEEFF"/>
            </w:tcBorders>
          </w:tcPr>
          <w:p>
            <w:pPr>
              <w:spacing w:after="0"/>
              <w:rPr>
                <w:sz w:val="22"/>
                <w:szCs w:val="22"/>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2011</w:t>
            </w:r>
          </w:p>
        </w:tc>
      </w:tr>
      <w:tr>
        <w:trPr>
          <w:trHeight w:val="236"/>
        </w:trPr>
        <w:tc>
          <w:tcPr>
            <w:tcW w:w="60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Average investment securities - at par</w:t>
            </w:r>
          </w:p>
        </w:tc>
        <w:tc>
          <w:tcPr>
            <w:tcW w:w="9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3"/>
              </w:rPr>
              <w:t>$51,759</w:t>
            </w:r>
          </w:p>
        </w:tc>
        <w:tc>
          <w:tcPr>
            <w:tcW w:w="12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$53,578</w:t>
            </w:r>
          </w:p>
        </w:tc>
        <w:tc>
          <w:tcPr>
            <w:tcW w:w="10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$75,263</w:t>
            </w:r>
          </w:p>
        </w:tc>
        <w:tc>
          <w:tcPr>
            <w:tcW w:w="10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3"/>
              </w:rPr>
              <w:t>$71,002</w:t>
            </w:r>
          </w:p>
        </w:tc>
        <w:tc>
          <w:tcPr>
            <w:tcW w:w="12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3"/>
              </w:rPr>
              <w:t>$33,243</w:t>
            </w:r>
          </w:p>
        </w:tc>
      </w:tr>
      <w:tr>
        <w:trPr>
          <w:trHeight w:val="237"/>
        </w:trPr>
        <w:tc>
          <w:tcPr>
            <w:tcW w:w="6060" w:type="dxa"/>
            <w:vAlign w:val="bottom"/>
            <w:gridSpan w:val="2"/>
          </w:tcPr>
          <w:p>
            <w:pPr>
              <w:ind w:left="40"/>
              <w:spacing w:after="0"/>
              <w:rPr>
                <w:sz w:val="20"/>
                <w:szCs w:val="20"/>
                <w:color w:val="auto"/>
              </w:rPr>
            </w:pPr>
            <w:r>
              <w:rPr>
                <w:rFonts w:ascii="Arial" w:cs="Arial" w:eastAsia="Arial" w:hAnsi="Arial"/>
                <w:sz w:val="16"/>
                <w:szCs w:val="16"/>
                <w:color w:val="auto"/>
              </w:rPr>
              <w:t>Average investment securities - at cost</w:t>
            </w:r>
          </w:p>
        </w:tc>
        <w:tc>
          <w:tcPr>
            <w:tcW w:w="980" w:type="dxa"/>
            <w:vAlign w:val="bottom"/>
          </w:tcPr>
          <w:p>
            <w:pPr>
              <w:jc w:val="center"/>
              <w:spacing w:after="0"/>
              <w:rPr>
                <w:sz w:val="20"/>
                <w:szCs w:val="20"/>
                <w:color w:val="auto"/>
              </w:rPr>
            </w:pPr>
            <w:r>
              <w:rPr>
                <w:rFonts w:ascii="Arial" w:cs="Arial" w:eastAsia="Arial" w:hAnsi="Arial"/>
                <w:sz w:val="16"/>
                <w:szCs w:val="16"/>
                <w:color w:val="auto"/>
                <w:w w:val="93"/>
              </w:rPr>
              <w:t>$54,019</w:t>
            </w:r>
          </w:p>
        </w:tc>
        <w:tc>
          <w:tcPr>
            <w:tcW w:w="120" w:type="dxa"/>
            <w:vAlign w:val="bottom"/>
          </w:tcPr>
          <w:p>
            <w:pPr>
              <w:spacing w:after="0"/>
              <w:rPr>
                <w:sz w:val="20"/>
                <w:szCs w:val="20"/>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89"/>
              </w:rPr>
              <w:t>$56,051</w:t>
            </w:r>
          </w:p>
        </w:tc>
        <w:tc>
          <w:tcPr>
            <w:tcW w:w="100" w:type="dxa"/>
            <w:vAlign w:val="bottom"/>
          </w:tcPr>
          <w:p>
            <w:pPr>
              <w:spacing w:after="0"/>
              <w:rPr>
                <w:sz w:val="20"/>
                <w:szCs w:val="20"/>
                <w:color w:val="auto"/>
              </w:rPr>
            </w:pPr>
          </w:p>
        </w:tc>
        <w:tc>
          <w:tcPr>
            <w:tcW w:w="1000" w:type="dxa"/>
            <w:vAlign w:val="bottom"/>
          </w:tcPr>
          <w:p>
            <w:pPr>
              <w:jc w:val="center"/>
              <w:spacing w:after="0"/>
              <w:rPr>
                <w:sz w:val="20"/>
                <w:szCs w:val="20"/>
                <w:color w:val="auto"/>
              </w:rPr>
            </w:pPr>
            <w:r>
              <w:rPr>
                <w:rFonts w:ascii="Arial" w:cs="Arial" w:eastAsia="Arial" w:hAnsi="Arial"/>
                <w:sz w:val="16"/>
                <w:szCs w:val="16"/>
                <w:color w:val="auto"/>
                <w:w w:val="89"/>
              </w:rPr>
              <w:t>$79,056</w:t>
            </w:r>
          </w:p>
        </w:tc>
        <w:tc>
          <w:tcPr>
            <w:tcW w:w="100" w:type="dxa"/>
            <w:vAlign w:val="bottom"/>
          </w:tcPr>
          <w:p>
            <w:pPr>
              <w:spacing w:after="0"/>
              <w:rPr>
                <w:sz w:val="20"/>
                <w:szCs w:val="20"/>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93"/>
              </w:rPr>
              <w:t>$74,588</w:t>
            </w:r>
          </w:p>
        </w:tc>
        <w:tc>
          <w:tcPr>
            <w:tcW w:w="120" w:type="dxa"/>
            <w:vAlign w:val="bottom"/>
          </w:tcPr>
          <w:p>
            <w:pPr>
              <w:spacing w:after="0"/>
              <w:rPr>
                <w:sz w:val="20"/>
                <w:szCs w:val="20"/>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93"/>
              </w:rPr>
              <w:t>$34,726</w:t>
            </w:r>
          </w:p>
        </w:tc>
      </w:tr>
      <w:tr>
        <w:trPr>
          <w:trHeight w:val="33"/>
        </w:trPr>
        <w:tc>
          <w:tcPr>
            <w:tcW w:w="5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60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Average total assets - at fair value</w:t>
            </w:r>
          </w:p>
        </w:tc>
        <w:tc>
          <w:tcPr>
            <w:tcW w:w="9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3"/>
              </w:rPr>
              <w:t>$63,674</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$67,007</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$96,956</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3"/>
              </w:rPr>
              <w:t>$86,172</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3"/>
              </w:rPr>
              <w:t>$38,548</w:t>
            </w:r>
          </w:p>
        </w:tc>
      </w:tr>
      <w:tr>
        <w:trPr>
          <w:trHeight w:val="237"/>
        </w:trPr>
        <w:tc>
          <w:tcPr>
            <w:tcW w:w="6060" w:type="dxa"/>
            <w:vAlign w:val="bottom"/>
            <w:gridSpan w:val="2"/>
          </w:tcPr>
          <w:p>
            <w:pPr>
              <w:ind w:left="40"/>
              <w:spacing w:after="0"/>
              <w:rPr>
                <w:sz w:val="20"/>
                <w:szCs w:val="20"/>
                <w:color w:val="auto"/>
              </w:rPr>
            </w:pPr>
            <w:r>
              <w:rPr>
                <w:rFonts w:ascii="Arial" w:cs="Arial" w:eastAsia="Arial" w:hAnsi="Arial"/>
                <w:sz w:val="16"/>
                <w:szCs w:val="16"/>
                <w:color w:val="auto"/>
              </w:rPr>
              <w:t xml:space="preserve">Net TBA dollar roll position - at par </w:t>
            </w:r>
            <w:r>
              <w:rPr>
                <w:rFonts w:ascii="Arial" w:cs="Arial" w:eastAsia="Arial" w:hAnsi="Arial"/>
                <w:sz w:val="16"/>
                <w:szCs w:val="16"/>
                <w:i w:val="1"/>
                <w:iCs w:val="1"/>
                <w:color w:val="auto"/>
              </w:rPr>
              <w:t>(as of period end)</w:t>
            </w:r>
          </w:p>
        </w:tc>
        <w:tc>
          <w:tcPr>
            <w:tcW w:w="980" w:type="dxa"/>
            <w:vAlign w:val="bottom"/>
          </w:tcPr>
          <w:p>
            <w:pPr>
              <w:jc w:val="center"/>
              <w:spacing w:after="0"/>
              <w:rPr>
                <w:sz w:val="20"/>
                <w:szCs w:val="20"/>
                <w:color w:val="auto"/>
              </w:rPr>
            </w:pPr>
            <w:r>
              <w:rPr>
                <w:rFonts w:ascii="Arial" w:cs="Arial" w:eastAsia="Arial" w:hAnsi="Arial"/>
                <w:sz w:val="16"/>
                <w:szCs w:val="16"/>
                <w:color w:val="auto"/>
                <w:w w:val="93"/>
              </w:rPr>
              <w:t>$7,295</w:t>
            </w:r>
          </w:p>
        </w:tc>
        <w:tc>
          <w:tcPr>
            <w:tcW w:w="120" w:type="dxa"/>
            <w:vAlign w:val="bottom"/>
          </w:tcPr>
          <w:p>
            <w:pPr>
              <w:spacing w:after="0"/>
              <w:rPr>
                <w:sz w:val="20"/>
                <w:szCs w:val="20"/>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89"/>
              </w:rPr>
              <w:t>$14,412</w:t>
            </w:r>
          </w:p>
        </w:tc>
        <w:tc>
          <w:tcPr>
            <w:tcW w:w="100" w:type="dxa"/>
            <w:vAlign w:val="bottom"/>
          </w:tcPr>
          <w:p>
            <w:pPr>
              <w:spacing w:after="0"/>
              <w:rPr>
                <w:sz w:val="20"/>
                <w:szCs w:val="20"/>
                <w:color w:val="auto"/>
              </w:rPr>
            </w:pPr>
          </w:p>
        </w:tc>
        <w:tc>
          <w:tcPr>
            <w:tcW w:w="1000" w:type="dxa"/>
            <w:vAlign w:val="bottom"/>
          </w:tcPr>
          <w:p>
            <w:pPr>
              <w:jc w:val="center"/>
              <w:spacing w:after="0"/>
              <w:rPr>
                <w:sz w:val="20"/>
                <w:szCs w:val="20"/>
                <w:color w:val="auto"/>
              </w:rPr>
            </w:pPr>
            <w:r>
              <w:rPr>
                <w:rFonts w:ascii="Arial" w:cs="Arial" w:eastAsia="Arial" w:hAnsi="Arial"/>
                <w:sz w:val="16"/>
                <w:szCs w:val="16"/>
                <w:color w:val="auto"/>
                <w:w w:val="89"/>
              </w:rPr>
              <w:t>$2,119</w:t>
            </w:r>
          </w:p>
        </w:tc>
        <w:tc>
          <w:tcPr>
            <w:tcW w:w="100" w:type="dxa"/>
            <w:vAlign w:val="bottom"/>
          </w:tcPr>
          <w:p>
            <w:pPr>
              <w:spacing w:after="0"/>
              <w:rPr>
                <w:sz w:val="20"/>
                <w:szCs w:val="20"/>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93"/>
              </w:rPr>
              <w:t>$12,477</w:t>
            </w:r>
          </w:p>
        </w:tc>
        <w:tc>
          <w:tcPr>
            <w:tcW w:w="120" w:type="dxa"/>
            <w:vAlign w:val="bottom"/>
          </w:tcPr>
          <w:p>
            <w:pPr>
              <w:spacing w:after="0"/>
              <w:rPr>
                <w:sz w:val="20"/>
                <w:szCs w:val="20"/>
                <w:color w:val="auto"/>
              </w:rPr>
            </w:pPr>
          </w:p>
        </w:tc>
        <w:tc>
          <w:tcPr>
            <w:tcW w:w="980" w:type="dxa"/>
            <w:vAlign w:val="bottom"/>
          </w:tcPr>
          <w:p>
            <w:pPr>
              <w:jc w:val="right"/>
              <w:ind w:right="279"/>
              <w:spacing w:after="0"/>
              <w:rPr>
                <w:sz w:val="20"/>
                <w:szCs w:val="20"/>
                <w:color w:val="auto"/>
              </w:rPr>
            </w:pPr>
            <w:r>
              <w:rPr>
                <w:rFonts w:ascii="Arial" w:cs="Arial" w:eastAsia="Arial" w:hAnsi="Arial"/>
                <w:sz w:val="16"/>
                <w:szCs w:val="16"/>
                <w:color w:val="auto"/>
              </w:rPr>
              <w:t>NM</w:t>
            </w:r>
          </w:p>
        </w:tc>
      </w:tr>
      <w:tr>
        <w:trPr>
          <w:trHeight w:val="33"/>
        </w:trPr>
        <w:tc>
          <w:tcPr>
            <w:tcW w:w="5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60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Net TBA dollar roll position - at cost </w:t>
            </w:r>
            <w:r>
              <w:rPr>
                <w:rFonts w:ascii="Arial" w:cs="Arial" w:eastAsia="Arial" w:hAnsi="Arial"/>
                <w:sz w:val="16"/>
                <w:szCs w:val="16"/>
                <w:i w:val="1"/>
                <w:iCs w:val="1"/>
                <w:color w:val="auto"/>
              </w:rPr>
              <w:t>(as of period end)</w:t>
            </w:r>
          </w:p>
        </w:tc>
        <w:tc>
          <w:tcPr>
            <w:tcW w:w="9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3"/>
              </w:rPr>
              <w:t>$7,430</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$14,576</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$2,276</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3"/>
              </w:rPr>
              <w:t>$12,775</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279"/>
              <w:spacing w:after="0"/>
              <w:rPr>
                <w:sz w:val="20"/>
                <w:szCs w:val="20"/>
                <w:color w:val="auto"/>
              </w:rPr>
            </w:pPr>
            <w:r>
              <w:rPr>
                <w:rFonts w:ascii="Arial" w:cs="Arial" w:eastAsia="Arial" w:hAnsi="Arial"/>
                <w:sz w:val="16"/>
                <w:szCs w:val="16"/>
                <w:color w:val="auto"/>
              </w:rPr>
              <w:t>NM</w:t>
            </w:r>
          </w:p>
        </w:tc>
      </w:tr>
      <w:tr>
        <w:trPr>
          <w:trHeight w:val="237"/>
        </w:trPr>
        <w:tc>
          <w:tcPr>
            <w:tcW w:w="6060" w:type="dxa"/>
            <w:vAlign w:val="bottom"/>
            <w:gridSpan w:val="2"/>
          </w:tcPr>
          <w:p>
            <w:pPr>
              <w:ind w:left="40"/>
              <w:spacing w:after="0"/>
              <w:rPr>
                <w:sz w:val="20"/>
                <w:szCs w:val="20"/>
                <w:color w:val="auto"/>
              </w:rPr>
            </w:pPr>
            <w:r>
              <w:rPr>
                <w:rFonts w:ascii="Arial" w:cs="Arial" w:eastAsia="Arial" w:hAnsi="Arial"/>
                <w:sz w:val="16"/>
                <w:szCs w:val="16"/>
                <w:color w:val="auto"/>
              </w:rPr>
              <w:t xml:space="preserve">Net TBA dollar roll position - at market value </w:t>
            </w:r>
            <w:r>
              <w:rPr>
                <w:rFonts w:ascii="Arial" w:cs="Arial" w:eastAsia="Arial" w:hAnsi="Arial"/>
                <w:sz w:val="16"/>
                <w:szCs w:val="16"/>
                <w:i w:val="1"/>
                <w:iCs w:val="1"/>
                <w:color w:val="auto"/>
              </w:rPr>
              <w:t>(as of period end)</w:t>
            </w:r>
          </w:p>
        </w:tc>
        <w:tc>
          <w:tcPr>
            <w:tcW w:w="980" w:type="dxa"/>
            <w:vAlign w:val="bottom"/>
          </w:tcPr>
          <w:p>
            <w:pPr>
              <w:jc w:val="center"/>
              <w:spacing w:after="0"/>
              <w:rPr>
                <w:sz w:val="20"/>
                <w:szCs w:val="20"/>
                <w:color w:val="auto"/>
              </w:rPr>
            </w:pPr>
            <w:r>
              <w:rPr>
                <w:rFonts w:ascii="Arial" w:cs="Arial" w:eastAsia="Arial" w:hAnsi="Arial"/>
                <w:sz w:val="16"/>
                <w:szCs w:val="16"/>
                <w:color w:val="auto"/>
                <w:w w:val="93"/>
              </w:rPr>
              <w:t>$7,444</w:t>
            </w:r>
          </w:p>
        </w:tc>
        <w:tc>
          <w:tcPr>
            <w:tcW w:w="120" w:type="dxa"/>
            <w:vAlign w:val="bottom"/>
          </w:tcPr>
          <w:p>
            <w:pPr>
              <w:spacing w:after="0"/>
              <w:rPr>
                <w:sz w:val="20"/>
                <w:szCs w:val="20"/>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89"/>
              </w:rPr>
              <w:t>$14,768</w:t>
            </w:r>
          </w:p>
        </w:tc>
        <w:tc>
          <w:tcPr>
            <w:tcW w:w="100" w:type="dxa"/>
            <w:vAlign w:val="bottom"/>
          </w:tcPr>
          <w:p>
            <w:pPr>
              <w:spacing w:after="0"/>
              <w:rPr>
                <w:sz w:val="20"/>
                <w:szCs w:val="20"/>
                <w:color w:val="auto"/>
              </w:rPr>
            </w:pPr>
          </w:p>
        </w:tc>
        <w:tc>
          <w:tcPr>
            <w:tcW w:w="1000" w:type="dxa"/>
            <w:vAlign w:val="bottom"/>
          </w:tcPr>
          <w:p>
            <w:pPr>
              <w:jc w:val="center"/>
              <w:spacing w:after="0"/>
              <w:rPr>
                <w:sz w:val="20"/>
                <w:szCs w:val="20"/>
                <w:color w:val="auto"/>
              </w:rPr>
            </w:pPr>
            <w:r>
              <w:rPr>
                <w:rFonts w:ascii="Arial" w:cs="Arial" w:eastAsia="Arial" w:hAnsi="Arial"/>
                <w:sz w:val="16"/>
                <w:szCs w:val="16"/>
                <w:color w:val="auto"/>
                <w:w w:val="89"/>
              </w:rPr>
              <w:t>$2,271</w:t>
            </w:r>
          </w:p>
        </w:tc>
        <w:tc>
          <w:tcPr>
            <w:tcW w:w="100" w:type="dxa"/>
            <w:vAlign w:val="bottom"/>
          </w:tcPr>
          <w:p>
            <w:pPr>
              <w:spacing w:after="0"/>
              <w:rPr>
                <w:sz w:val="20"/>
                <w:szCs w:val="20"/>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93"/>
              </w:rPr>
              <w:t>$12,870</w:t>
            </w:r>
          </w:p>
        </w:tc>
        <w:tc>
          <w:tcPr>
            <w:tcW w:w="120" w:type="dxa"/>
            <w:vAlign w:val="bottom"/>
          </w:tcPr>
          <w:p>
            <w:pPr>
              <w:spacing w:after="0"/>
              <w:rPr>
                <w:sz w:val="20"/>
                <w:szCs w:val="20"/>
                <w:color w:val="auto"/>
              </w:rPr>
            </w:pPr>
          </w:p>
        </w:tc>
        <w:tc>
          <w:tcPr>
            <w:tcW w:w="980" w:type="dxa"/>
            <w:vAlign w:val="bottom"/>
          </w:tcPr>
          <w:p>
            <w:pPr>
              <w:jc w:val="right"/>
              <w:ind w:right="279"/>
              <w:spacing w:after="0"/>
              <w:rPr>
                <w:sz w:val="20"/>
                <w:szCs w:val="20"/>
                <w:color w:val="auto"/>
              </w:rPr>
            </w:pPr>
            <w:r>
              <w:rPr>
                <w:rFonts w:ascii="Arial" w:cs="Arial" w:eastAsia="Arial" w:hAnsi="Arial"/>
                <w:sz w:val="16"/>
                <w:szCs w:val="16"/>
                <w:color w:val="auto"/>
              </w:rPr>
              <w:t>NM</w:t>
            </w:r>
          </w:p>
        </w:tc>
      </w:tr>
      <w:tr>
        <w:trPr>
          <w:trHeight w:val="33"/>
        </w:trPr>
        <w:tc>
          <w:tcPr>
            <w:tcW w:w="5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70"/>
        </w:trPr>
        <w:tc>
          <w:tcPr>
            <w:tcW w:w="60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Net TBA dollar roll position - at carrying value </w:t>
            </w:r>
            <w:r>
              <w:rPr>
                <w:rFonts w:ascii="Arial" w:cs="Arial" w:eastAsia="Arial" w:hAnsi="Arial"/>
                <w:sz w:val="16"/>
                <w:szCs w:val="16"/>
                <w:i w:val="1"/>
                <w:iCs w:val="1"/>
                <w:color w:val="auto"/>
              </w:rPr>
              <w:t>(as of period end)</w:t>
            </w:r>
            <w:r>
              <w:rPr>
                <w:rFonts w:ascii="Arial" w:cs="Arial" w:eastAsia="Arial" w:hAnsi="Arial"/>
                <w:sz w:val="16"/>
                <w:szCs w:val="16"/>
                <w:color w:val="auto"/>
              </w:rPr>
              <w:t xml:space="preserve"> </w:t>
            </w:r>
            <w:r>
              <w:rPr>
                <w:rFonts w:ascii="Arial" w:cs="Arial" w:eastAsia="Arial" w:hAnsi="Arial"/>
                <w:sz w:val="21"/>
                <w:szCs w:val="21"/>
                <w:color w:val="auto"/>
                <w:vertAlign w:val="superscript"/>
              </w:rPr>
              <w:t>3</w:t>
            </w: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7"/>
              </w:rPr>
              <w:t>$14</w:t>
            </w:r>
          </w:p>
        </w:tc>
        <w:tc>
          <w:tcPr>
            <w:tcW w:w="120" w:type="dxa"/>
            <w:vAlign w:val="bottom"/>
            <w:shd w:val="clear" w:color="auto" w:fill="CCEEFF"/>
          </w:tcPr>
          <w:p>
            <w:pPr>
              <w:spacing w:after="0"/>
              <w:rPr>
                <w:sz w:val="23"/>
                <w:szCs w:val="23"/>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$192</w:t>
            </w: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8"/>
              </w:rPr>
              <w:t>$(5)</w:t>
            </w:r>
          </w:p>
        </w:tc>
        <w:tc>
          <w:tcPr>
            <w:tcW w:w="100" w:type="dxa"/>
            <w:vAlign w:val="bottom"/>
            <w:shd w:val="clear" w:color="auto" w:fill="CCEEFF"/>
          </w:tcPr>
          <w:p>
            <w:pPr>
              <w:spacing w:after="0"/>
              <w:rPr>
                <w:sz w:val="23"/>
                <w:szCs w:val="23"/>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$95</w:t>
            </w:r>
          </w:p>
        </w:tc>
        <w:tc>
          <w:tcPr>
            <w:tcW w:w="120" w:type="dxa"/>
            <w:vAlign w:val="bottom"/>
            <w:shd w:val="clear" w:color="auto" w:fill="CCEEFF"/>
          </w:tcPr>
          <w:p>
            <w:pPr>
              <w:spacing w:after="0"/>
              <w:rPr>
                <w:sz w:val="23"/>
                <w:szCs w:val="23"/>
                <w:color w:val="auto"/>
              </w:rPr>
            </w:pPr>
          </w:p>
        </w:tc>
        <w:tc>
          <w:tcPr>
            <w:tcW w:w="980" w:type="dxa"/>
            <w:vAlign w:val="bottom"/>
            <w:shd w:val="clear" w:color="auto" w:fill="CCEEFF"/>
          </w:tcPr>
          <w:p>
            <w:pPr>
              <w:jc w:val="right"/>
              <w:ind w:right="279"/>
              <w:spacing w:after="0"/>
              <w:rPr>
                <w:sz w:val="20"/>
                <w:szCs w:val="20"/>
                <w:color w:val="auto"/>
              </w:rPr>
            </w:pPr>
            <w:r>
              <w:rPr>
                <w:rFonts w:ascii="Arial" w:cs="Arial" w:eastAsia="Arial" w:hAnsi="Arial"/>
                <w:sz w:val="16"/>
                <w:szCs w:val="16"/>
                <w:color w:val="auto"/>
              </w:rPr>
              <w:t>NM</w:t>
            </w:r>
          </w:p>
        </w:tc>
      </w:tr>
      <w:tr>
        <w:trPr>
          <w:trHeight w:val="237"/>
        </w:trPr>
        <w:tc>
          <w:tcPr>
            <w:tcW w:w="6060" w:type="dxa"/>
            <w:vAlign w:val="bottom"/>
            <w:gridSpan w:val="2"/>
          </w:tcPr>
          <w:p>
            <w:pPr>
              <w:ind w:left="40"/>
              <w:spacing w:after="0"/>
              <w:rPr>
                <w:sz w:val="20"/>
                <w:szCs w:val="20"/>
                <w:color w:val="auto"/>
              </w:rPr>
            </w:pPr>
            <w:r>
              <w:rPr>
                <w:rFonts w:ascii="Arial" w:cs="Arial" w:eastAsia="Arial" w:hAnsi="Arial"/>
                <w:sz w:val="16"/>
                <w:szCs w:val="16"/>
                <w:color w:val="auto"/>
              </w:rPr>
              <w:t>Average net TBA portfolio - at cost</w:t>
            </w:r>
          </w:p>
        </w:tc>
        <w:tc>
          <w:tcPr>
            <w:tcW w:w="980" w:type="dxa"/>
            <w:vAlign w:val="bottom"/>
          </w:tcPr>
          <w:p>
            <w:pPr>
              <w:jc w:val="center"/>
              <w:spacing w:after="0"/>
              <w:rPr>
                <w:sz w:val="20"/>
                <w:szCs w:val="20"/>
                <w:color w:val="auto"/>
              </w:rPr>
            </w:pPr>
            <w:r>
              <w:rPr>
                <w:rFonts w:ascii="Arial" w:cs="Arial" w:eastAsia="Arial" w:hAnsi="Arial"/>
                <w:sz w:val="16"/>
                <w:szCs w:val="16"/>
                <w:color w:val="auto"/>
                <w:w w:val="93"/>
              </w:rPr>
              <w:t>$7,547</w:t>
            </w:r>
          </w:p>
        </w:tc>
        <w:tc>
          <w:tcPr>
            <w:tcW w:w="120" w:type="dxa"/>
            <w:vAlign w:val="bottom"/>
          </w:tcPr>
          <w:p>
            <w:pPr>
              <w:spacing w:after="0"/>
              <w:rPr>
                <w:sz w:val="20"/>
                <w:szCs w:val="20"/>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89"/>
              </w:rPr>
              <w:t>$13,212</w:t>
            </w:r>
          </w:p>
        </w:tc>
        <w:tc>
          <w:tcPr>
            <w:tcW w:w="100" w:type="dxa"/>
            <w:vAlign w:val="bottom"/>
          </w:tcPr>
          <w:p>
            <w:pPr>
              <w:spacing w:after="0"/>
              <w:rPr>
                <w:sz w:val="20"/>
                <w:szCs w:val="20"/>
                <w:color w:val="auto"/>
              </w:rPr>
            </w:pPr>
          </w:p>
        </w:tc>
        <w:tc>
          <w:tcPr>
            <w:tcW w:w="1000" w:type="dxa"/>
            <w:vAlign w:val="bottom"/>
          </w:tcPr>
          <w:p>
            <w:pPr>
              <w:jc w:val="center"/>
              <w:spacing w:after="0"/>
              <w:rPr>
                <w:sz w:val="20"/>
                <w:szCs w:val="20"/>
                <w:color w:val="auto"/>
              </w:rPr>
            </w:pPr>
            <w:r>
              <w:rPr>
                <w:rFonts w:ascii="Arial" w:cs="Arial" w:eastAsia="Arial" w:hAnsi="Arial"/>
                <w:sz w:val="16"/>
                <w:szCs w:val="16"/>
                <w:color w:val="auto"/>
                <w:w w:val="89"/>
              </w:rPr>
              <w:t>$11,383</w:t>
            </w:r>
          </w:p>
        </w:tc>
        <w:tc>
          <w:tcPr>
            <w:tcW w:w="100" w:type="dxa"/>
            <w:vAlign w:val="bottom"/>
          </w:tcPr>
          <w:p>
            <w:pPr>
              <w:spacing w:after="0"/>
              <w:rPr>
                <w:sz w:val="20"/>
                <w:szCs w:val="20"/>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89"/>
              </w:rPr>
              <w:t>$3,294</w:t>
            </w:r>
          </w:p>
        </w:tc>
        <w:tc>
          <w:tcPr>
            <w:tcW w:w="120" w:type="dxa"/>
            <w:vAlign w:val="bottom"/>
          </w:tcPr>
          <w:p>
            <w:pPr>
              <w:spacing w:after="0"/>
              <w:rPr>
                <w:sz w:val="20"/>
                <w:szCs w:val="20"/>
                <w:color w:val="auto"/>
              </w:rPr>
            </w:pPr>
          </w:p>
        </w:tc>
        <w:tc>
          <w:tcPr>
            <w:tcW w:w="980" w:type="dxa"/>
            <w:vAlign w:val="bottom"/>
          </w:tcPr>
          <w:p>
            <w:pPr>
              <w:jc w:val="right"/>
              <w:ind w:right="279"/>
              <w:spacing w:after="0"/>
              <w:rPr>
                <w:sz w:val="20"/>
                <w:szCs w:val="20"/>
                <w:color w:val="auto"/>
              </w:rPr>
            </w:pPr>
            <w:r>
              <w:rPr>
                <w:rFonts w:ascii="Arial" w:cs="Arial" w:eastAsia="Arial" w:hAnsi="Arial"/>
                <w:sz w:val="16"/>
                <w:szCs w:val="16"/>
                <w:color w:val="auto"/>
              </w:rPr>
              <w:t>NM</w:t>
            </w:r>
          </w:p>
        </w:tc>
      </w:tr>
      <w:tr>
        <w:trPr>
          <w:trHeight w:val="33"/>
        </w:trPr>
        <w:tc>
          <w:tcPr>
            <w:tcW w:w="5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70"/>
        </w:trPr>
        <w:tc>
          <w:tcPr>
            <w:tcW w:w="60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Average mortgage borrowings outstanding </w:t>
            </w:r>
            <w:r>
              <w:rPr>
                <w:rFonts w:ascii="Arial" w:cs="Arial" w:eastAsia="Arial" w:hAnsi="Arial"/>
                <w:sz w:val="21"/>
                <w:szCs w:val="21"/>
                <w:color w:val="auto"/>
                <w:vertAlign w:val="superscript"/>
              </w:rPr>
              <w:t>4</w:t>
            </w: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$48,641</w:t>
            </w:r>
          </w:p>
        </w:tc>
        <w:tc>
          <w:tcPr>
            <w:tcW w:w="120" w:type="dxa"/>
            <w:vAlign w:val="bottom"/>
            <w:shd w:val="clear" w:color="auto" w:fill="CCEEFF"/>
          </w:tcPr>
          <w:p>
            <w:pPr>
              <w:spacing w:after="0"/>
              <w:rPr>
                <w:sz w:val="23"/>
                <w:szCs w:val="23"/>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$50,015</w:t>
            </w: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$71,753</w:t>
            </w:r>
          </w:p>
        </w:tc>
        <w:tc>
          <w:tcPr>
            <w:tcW w:w="100" w:type="dxa"/>
            <w:vAlign w:val="bottom"/>
            <w:shd w:val="clear" w:color="auto" w:fill="CCEEFF"/>
          </w:tcPr>
          <w:p>
            <w:pPr>
              <w:spacing w:after="0"/>
              <w:rPr>
                <w:sz w:val="23"/>
                <w:szCs w:val="23"/>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$68,810</w:t>
            </w:r>
          </w:p>
        </w:tc>
        <w:tc>
          <w:tcPr>
            <w:tcW w:w="120" w:type="dxa"/>
            <w:vAlign w:val="bottom"/>
            <w:shd w:val="clear" w:color="auto" w:fill="CCEEFF"/>
          </w:tcPr>
          <w:p>
            <w:pPr>
              <w:spacing w:after="0"/>
              <w:rPr>
                <w:sz w:val="23"/>
                <w:szCs w:val="23"/>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$31,840</w:t>
            </w:r>
          </w:p>
        </w:tc>
      </w:tr>
      <w:tr>
        <w:trPr>
          <w:trHeight w:val="270"/>
        </w:trPr>
        <w:tc>
          <w:tcPr>
            <w:tcW w:w="6060" w:type="dxa"/>
            <w:vAlign w:val="bottom"/>
            <w:gridSpan w:val="2"/>
          </w:tcPr>
          <w:p>
            <w:pPr>
              <w:ind w:left="40"/>
              <w:spacing w:after="0"/>
              <w:rPr>
                <w:sz w:val="20"/>
                <w:szCs w:val="20"/>
                <w:color w:val="auto"/>
              </w:rPr>
            </w:pPr>
            <w:r>
              <w:rPr>
                <w:rFonts w:ascii="Arial" w:cs="Arial" w:eastAsia="Arial" w:hAnsi="Arial"/>
                <w:sz w:val="16"/>
                <w:szCs w:val="16"/>
                <w:color w:val="auto"/>
              </w:rPr>
              <w:t xml:space="preserve">Average stockholders' equity </w:t>
            </w:r>
            <w:r>
              <w:rPr>
                <w:rFonts w:ascii="Arial" w:cs="Arial" w:eastAsia="Arial" w:hAnsi="Arial"/>
                <w:sz w:val="21"/>
                <w:szCs w:val="21"/>
                <w:color w:val="auto"/>
                <w:vertAlign w:val="superscript"/>
              </w:rPr>
              <w:t>5</w:t>
            </w:r>
          </w:p>
        </w:tc>
        <w:tc>
          <w:tcPr>
            <w:tcW w:w="980" w:type="dxa"/>
            <w:vAlign w:val="bottom"/>
          </w:tcPr>
          <w:p>
            <w:pPr>
              <w:jc w:val="center"/>
              <w:spacing w:after="0"/>
              <w:rPr>
                <w:sz w:val="20"/>
                <w:szCs w:val="20"/>
                <w:color w:val="auto"/>
              </w:rPr>
            </w:pPr>
            <w:r>
              <w:rPr>
                <w:rFonts w:ascii="Arial" w:cs="Arial" w:eastAsia="Arial" w:hAnsi="Arial"/>
                <w:sz w:val="16"/>
                <w:szCs w:val="16"/>
                <w:color w:val="auto"/>
                <w:w w:val="93"/>
              </w:rPr>
              <w:t>$8,817</w:t>
            </w:r>
          </w:p>
        </w:tc>
        <w:tc>
          <w:tcPr>
            <w:tcW w:w="120" w:type="dxa"/>
            <w:vAlign w:val="bottom"/>
          </w:tcPr>
          <w:p>
            <w:pPr>
              <w:spacing w:after="0"/>
              <w:rPr>
                <w:sz w:val="23"/>
                <w:szCs w:val="23"/>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89"/>
              </w:rPr>
              <w:t>$9,295</w:t>
            </w:r>
          </w:p>
        </w:tc>
        <w:tc>
          <w:tcPr>
            <w:tcW w:w="100" w:type="dxa"/>
            <w:vAlign w:val="bottom"/>
          </w:tcPr>
          <w:p>
            <w:pPr>
              <w:spacing w:after="0"/>
              <w:rPr>
                <w:sz w:val="23"/>
                <w:szCs w:val="23"/>
                <w:color w:val="auto"/>
              </w:rPr>
            </w:pPr>
          </w:p>
        </w:tc>
        <w:tc>
          <w:tcPr>
            <w:tcW w:w="1000" w:type="dxa"/>
            <w:vAlign w:val="bottom"/>
          </w:tcPr>
          <w:p>
            <w:pPr>
              <w:jc w:val="center"/>
              <w:spacing w:after="0"/>
              <w:rPr>
                <w:sz w:val="20"/>
                <w:szCs w:val="20"/>
                <w:color w:val="auto"/>
              </w:rPr>
            </w:pPr>
            <w:r>
              <w:rPr>
                <w:rFonts w:ascii="Arial" w:cs="Arial" w:eastAsia="Arial" w:hAnsi="Arial"/>
                <w:sz w:val="16"/>
                <w:szCs w:val="16"/>
                <w:color w:val="auto"/>
                <w:w w:val="89"/>
              </w:rPr>
              <w:t>$10,394</w:t>
            </w:r>
          </w:p>
        </w:tc>
        <w:tc>
          <w:tcPr>
            <w:tcW w:w="100" w:type="dxa"/>
            <w:vAlign w:val="bottom"/>
          </w:tcPr>
          <w:p>
            <w:pPr>
              <w:spacing w:after="0"/>
              <w:rPr>
                <w:sz w:val="23"/>
                <w:szCs w:val="23"/>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89"/>
              </w:rPr>
              <w:t>$9,473</w:t>
            </w:r>
          </w:p>
        </w:tc>
        <w:tc>
          <w:tcPr>
            <w:tcW w:w="120" w:type="dxa"/>
            <w:vAlign w:val="bottom"/>
          </w:tcPr>
          <w:p>
            <w:pPr>
              <w:spacing w:after="0"/>
              <w:rPr>
                <w:sz w:val="23"/>
                <w:szCs w:val="23"/>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89"/>
              </w:rPr>
              <w:t>$4,169</w:t>
            </w:r>
          </w:p>
        </w:tc>
      </w:tr>
      <w:tr>
        <w:trPr>
          <w:trHeight w:val="270"/>
        </w:trPr>
        <w:tc>
          <w:tcPr>
            <w:tcW w:w="60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Average coupon </w:t>
            </w:r>
            <w:r>
              <w:rPr>
                <w:rFonts w:ascii="Arial" w:cs="Arial" w:eastAsia="Arial" w:hAnsi="Arial"/>
                <w:sz w:val="21"/>
                <w:szCs w:val="21"/>
                <w:color w:val="auto"/>
                <w:vertAlign w:val="superscript"/>
              </w:rPr>
              <w:t>6</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3.62 %</w:t>
            </w:r>
          </w:p>
        </w:tc>
        <w:tc>
          <w:tcPr>
            <w:tcW w:w="120" w:type="dxa"/>
            <w:vAlign w:val="bottom"/>
            <w:shd w:val="clear" w:color="auto" w:fill="CCEEFF"/>
          </w:tcPr>
          <w:p>
            <w:pPr>
              <w:spacing w:after="0"/>
              <w:rPr>
                <w:sz w:val="23"/>
                <w:szCs w:val="23"/>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3.63 %</w:t>
            </w: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3.59 %</w:t>
            </w:r>
          </w:p>
        </w:tc>
        <w:tc>
          <w:tcPr>
            <w:tcW w:w="100" w:type="dxa"/>
            <w:vAlign w:val="bottom"/>
            <w:shd w:val="clear" w:color="auto" w:fill="CCEEFF"/>
          </w:tcPr>
          <w:p>
            <w:pPr>
              <w:spacing w:after="0"/>
              <w:rPr>
                <w:sz w:val="23"/>
                <w:szCs w:val="23"/>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3.90 %</w:t>
            </w:r>
          </w:p>
        </w:tc>
        <w:tc>
          <w:tcPr>
            <w:tcW w:w="120" w:type="dxa"/>
            <w:vAlign w:val="bottom"/>
            <w:shd w:val="clear" w:color="auto" w:fill="CCEEFF"/>
          </w:tcPr>
          <w:p>
            <w:pPr>
              <w:spacing w:after="0"/>
              <w:rPr>
                <w:sz w:val="23"/>
                <w:szCs w:val="23"/>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4.42 %</w:t>
            </w:r>
          </w:p>
        </w:tc>
      </w:tr>
      <w:tr>
        <w:trPr>
          <w:trHeight w:val="270"/>
        </w:trPr>
        <w:tc>
          <w:tcPr>
            <w:tcW w:w="6060" w:type="dxa"/>
            <w:vAlign w:val="bottom"/>
            <w:gridSpan w:val="2"/>
          </w:tcPr>
          <w:p>
            <w:pPr>
              <w:ind w:left="40"/>
              <w:spacing w:after="0"/>
              <w:rPr>
                <w:sz w:val="20"/>
                <w:szCs w:val="20"/>
                <w:color w:val="auto"/>
              </w:rPr>
            </w:pPr>
            <w:r>
              <w:rPr>
                <w:rFonts w:ascii="Arial" w:cs="Arial" w:eastAsia="Arial" w:hAnsi="Arial"/>
                <w:sz w:val="16"/>
                <w:szCs w:val="16"/>
                <w:color w:val="auto"/>
              </w:rPr>
              <w:t xml:space="preserve">Average asset yield </w:t>
            </w:r>
            <w:r>
              <w:rPr>
                <w:rFonts w:ascii="Arial" w:cs="Arial" w:eastAsia="Arial" w:hAnsi="Arial"/>
                <w:sz w:val="21"/>
                <w:szCs w:val="21"/>
                <w:color w:val="auto"/>
                <w:vertAlign w:val="superscript"/>
              </w:rPr>
              <w:t>7</w:t>
            </w:r>
          </w:p>
        </w:tc>
        <w:tc>
          <w:tcPr>
            <w:tcW w:w="980" w:type="dxa"/>
            <w:vAlign w:val="bottom"/>
          </w:tcPr>
          <w:p>
            <w:pPr>
              <w:jc w:val="right"/>
              <w:spacing w:after="0"/>
              <w:rPr>
                <w:sz w:val="20"/>
                <w:szCs w:val="20"/>
                <w:color w:val="auto"/>
              </w:rPr>
            </w:pPr>
            <w:r>
              <w:rPr>
                <w:rFonts w:ascii="Arial" w:cs="Arial" w:eastAsia="Arial" w:hAnsi="Arial"/>
                <w:sz w:val="16"/>
                <w:szCs w:val="16"/>
                <w:color w:val="auto"/>
              </w:rPr>
              <w:t>2.71 %</w:t>
            </w:r>
          </w:p>
        </w:tc>
        <w:tc>
          <w:tcPr>
            <w:tcW w:w="12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2.63 %</w:t>
            </w:r>
          </w:p>
        </w:tc>
        <w:tc>
          <w:tcPr>
            <w:tcW w:w="10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2.77 %</w:t>
            </w:r>
          </w:p>
        </w:tc>
        <w:tc>
          <w:tcPr>
            <w:tcW w:w="10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2.82 %</w:t>
            </w:r>
          </w:p>
        </w:tc>
        <w:tc>
          <w:tcPr>
            <w:tcW w:w="12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3.19 %</w:t>
            </w:r>
          </w:p>
        </w:tc>
      </w:tr>
      <w:tr>
        <w:trPr>
          <w:trHeight w:val="270"/>
        </w:trPr>
        <w:tc>
          <w:tcPr>
            <w:tcW w:w="60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Average cost of funds </w:t>
            </w:r>
            <w:r>
              <w:rPr>
                <w:rFonts w:ascii="Arial" w:cs="Arial" w:eastAsia="Arial" w:hAnsi="Arial"/>
                <w:sz w:val="21"/>
                <w:szCs w:val="21"/>
                <w:color w:val="auto"/>
                <w:vertAlign w:val="superscript"/>
              </w:rPr>
              <w:t>8</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(1.49)%</w:t>
            </w:r>
          </w:p>
        </w:tc>
        <w:tc>
          <w:tcPr>
            <w:tcW w:w="120" w:type="dxa"/>
            <w:vAlign w:val="bottom"/>
            <w:shd w:val="clear" w:color="auto" w:fill="CCEEFF"/>
          </w:tcPr>
          <w:p>
            <w:pPr>
              <w:spacing w:after="0"/>
              <w:rPr>
                <w:sz w:val="23"/>
                <w:szCs w:val="23"/>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(1.40)%</w:t>
            </w: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(1.34)%</w:t>
            </w:r>
          </w:p>
        </w:tc>
        <w:tc>
          <w:tcPr>
            <w:tcW w:w="100" w:type="dxa"/>
            <w:vAlign w:val="bottom"/>
            <w:shd w:val="clear" w:color="auto" w:fill="CCEEFF"/>
          </w:tcPr>
          <w:p>
            <w:pPr>
              <w:spacing w:after="0"/>
              <w:rPr>
                <w:sz w:val="23"/>
                <w:szCs w:val="23"/>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(1.11)%</w:t>
            </w:r>
          </w:p>
        </w:tc>
        <w:tc>
          <w:tcPr>
            <w:tcW w:w="120" w:type="dxa"/>
            <w:vAlign w:val="bottom"/>
            <w:shd w:val="clear" w:color="auto" w:fill="CCEEFF"/>
          </w:tcPr>
          <w:p>
            <w:pPr>
              <w:spacing w:after="0"/>
              <w:rPr>
                <w:sz w:val="23"/>
                <w:szCs w:val="23"/>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(1.00)%</w:t>
            </w:r>
          </w:p>
        </w:tc>
      </w:tr>
      <w:tr>
        <w:trPr>
          <w:trHeight w:val="237"/>
        </w:trPr>
        <w:tc>
          <w:tcPr>
            <w:tcW w:w="6060" w:type="dxa"/>
            <w:vAlign w:val="bottom"/>
            <w:gridSpan w:val="2"/>
          </w:tcPr>
          <w:p>
            <w:pPr>
              <w:ind w:left="40"/>
              <w:spacing w:after="0"/>
              <w:rPr>
                <w:sz w:val="20"/>
                <w:szCs w:val="20"/>
                <w:color w:val="auto"/>
              </w:rPr>
            </w:pPr>
            <w:r>
              <w:rPr>
                <w:rFonts w:ascii="Arial" w:cs="Arial" w:eastAsia="Arial" w:hAnsi="Arial"/>
                <w:sz w:val="16"/>
                <w:szCs w:val="16"/>
                <w:color w:val="auto"/>
              </w:rPr>
              <w:t>Average net interest rate spread</w:t>
            </w:r>
          </w:p>
        </w:tc>
        <w:tc>
          <w:tcPr>
            <w:tcW w:w="980" w:type="dxa"/>
            <w:vAlign w:val="bottom"/>
          </w:tcPr>
          <w:p>
            <w:pPr>
              <w:jc w:val="right"/>
              <w:spacing w:after="0"/>
              <w:rPr>
                <w:sz w:val="20"/>
                <w:szCs w:val="20"/>
                <w:color w:val="auto"/>
              </w:rPr>
            </w:pPr>
            <w:r>
              <w:rPr>
                <w:rFonts w:ascii="Arial" w:cs="Arial" w:eastAsia="Arial" w:hAnsi="Arial"/>
                <w:sz w:val="16"/>
                <w:szCs w:val="16"/>
                <w:color w:val="auto"/>
              </w:rPr>
              <w:t>1.22 %</w:t>
            </w:r>
          </w:p>
        </w:tc>
        <w:tc>
          <w:tcPr>
            <w:tcW w:w="12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1.23 %</w:t>
            </w:r>
          </w:p>
        </w:tc>
        <w:tc>
          <w:tcPr>
            <w:tcW w:w="10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1.43 %</w:t>
            </w:r>
          </w:p>
        </w:tc>
        <w:tc>
          <w:tcPr>
            <w:tcW w:w="10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1.71 %</w:t>
            </w:r>
          </w:p>
        </w:tc>
        <w:tc>
          <w:tcPr>
            <w:tcW w:w="12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2.19 %</w:t>
            </w:r>
          </w:p>
        </w:tc>
      </w:tr>
      <w:tr>
        <w:trPr>
          <w:trHeight w:val="33"/>
        </w:trPr>
        <w:tc>
          <w:tcPr>
            <w:tcW w:w="5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70"/>
        </w:trPr>
        <w:tc>
          <w:tcPr>
            <w:tcW w:w="60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Average net interest rate spread, including estimated TBA dollar roll income </w:t>
            </w:r>
            <w:r>
              <w:rPr>
                <w:rFonts w:ascii="Arial" w:cs="Arial" w:eastAsia="Arial" w:hAnsi="Arial"/>
                <w:sz w:val="21"/>
                <w:szCs w:val="21"/>
                <w:color w:val="auto"/>
                <w:vertAlign w:val="superscript"/>
              </w:rPr>
              <w:t>9</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1.48 %</w:t>
            </w:r>
          </w:p>
        </w:tc>
        <w:tc>
          <w:tcPr>
            <w:tcW w:w="120" w:type="dxa"/>
            <w:vAlign w:val="bottom"/>
            <w:shd w:val="clear" w:color="auto" w:fill="CCEEFF"/>
          </w:tcPr>
          <w:p>
            <w:pPr>
              <w:spacing w:after="0"/>
              <w:rPr>
                <w:sz w:val="23"/>
                <w:szCs w:val="23"/>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1.75 %</w:t>
            </w: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1.63 %</w:t>
            </w:r>
          </w:p>
        </w:tc>
        <w:tc>
          <w:tcPr>
            <w:tcW w:w="100" w:type="dxa"/>
            <w:vAlign w:val="bottom"/>
            <w:shd w:val="clear" w:color="auto" w:fill="CCEEFF"/>
          </w:tcPr>
          <w:p>
            <w:pPr>
              <w:spacing w:after="0"/>
              <w:rPr>
                <w:sz w:val="23"/>
                <w:szCs w:val="23"/>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1.77 %</w:t>
            </w:r>
          </w:p>
        </w:tc>
        <w:tc>
          <w:tcPr>
            <w:tcW w:w="120" w:type="dxa"/>
            <w:vAlign w:val="bottom"/>
            <w:shd w:val="clear" w:color="auto" w:fill="CCEEFF"/>
          </w:tcPr>
          <w:p>
            <w:pPr>
              <w:spacing w:after="0"/>
              <w:rPr>
                <w:sz w:val="23"/>
                <w:szCs w:val="23"/>
                <w:color w:val="auto"/>
              </w:rPr>
            </w:pPr>
          </w:p>
        </w:tc>
        <w:tc>
          <w:tcPr>
            <w:tcW w:w="980" w:type="dxa"/>
            <w:vAlign w:val="bottom"/>
            <w:shd w:val="clear" w:color="auto" w:fill="CCEEFF"/>
          </w:tcPr>
          <w:p>
            <w:pPr>
              <w:jc w:val="right"/>
              <w:ind w:right="279"/>
              <w:spacing w:after="0"/>
              <w:rPr>
                <w:sz w:val="20"/>
                <w:szCs w:val="20"/>
                <w:color w:val="auto"/>
              </w:rPr>
            </w:pPr>
            <w:r>
              <w:rPr>
                <w:rFonts w:ascii="Arial" w:cs="Arial" w:eastAsia="Arial" w:hAnsi="Arial"/>
                <w:sz w:val="16"/>
                <w:szCs w:val="16"/>
                <w:color w:val="auto"/>
              </w:rPr>
              <w:t>NM</w:t>
            </w:r>
          </w:p>
        </w:tc>
      </w:tr>
      <w:tr>
        <w:trPr>
          <w:trHeight w:val="237"/>
        </w:trPr>
        <w:tc>
          <w:tcPr>
            <w:tcW w:w="6060" w:type="dxa"/>
            <w:vAlign w:val="bottom"/>
            <w:gridSpan w:val="2"/>
          </w:tcPr>
          <w:p>
            <w:pPr>
              <w:ind w:left="40"/>
              <w:spacing w:after="0"/>
              <w:rPr>
                <w:sz w:val="20"/>
                <w:szCs w:val="20"/>
                <w:color w:val="auto"/>
              </w:rPr>
            </w:pPr>
            <w:r>
              <w:rPr>
                <w:rFonts w:ascii="Arial" w:cs="Arial" w:eastAsia="Arial" w:hAnsi="Arial"/>
                <w:sz w:val="16"/>
                <w:szCs w:val="16"/>
                <w:color w:val="auto"/>
              </w:rPr>
              <w:t xml:space="preserve">Average coupon </w:t>
            </w:r>
            <w:r>
              <w:rPr>
                <w:rFonts w:ascii="Arial" w:cs="Arial" w:eastAsia="Arial" w:hAnsi="Arial"/>
                <w:sz w:val="16"/>
                <w:szCs w:val="16"/>
                <w:i w:val="1"/>
                <w:iCs w:val="1"/>
                <w:color w:val="auto"/>
              </w:rPr>
              <w:t>(as of period end)</w:t>
            </w:r>
          </w:p>
        </w:tc>
        <w:tc>
          <w:tcPr>
            <w:tcW w:w="980" w:type="dxa"/>
            <w:vAlign w:val="bottom"/>
          </w:tcPr>
          <w:p>
            <w:pPr>
              <w:jc w:val="right"/>
              <w:spacing w:after="0"/>
              <w:rPr>
                <w:sz w:val="20"/>
                <w:szCs w:val="20"/>
                <w:color w:val="auto"/>
              </w:rPr>
            </w:pPr>
            <w:r>
              <w:rPr>
                <w:rFonts w:ascii="Arial" w:cs="Arial" w:eastAsia="Arial" w:hAnsi="Arial"/>
                <w:sz w:val="16"/>
                <w:szCs w:val="16"/>
                <w:color w:val="auto"/>
              </w:rPr>
              <w:t>3.63 %</w:t>
            </w:r>
          </w:p>
        </w:tc>
        <w:tc>
          <w:tcPr>
            <w:tcW w:w="12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3.65 %</w:t>
            </w:r>
          </w:p>
        </w:tc>
        <w:tc>
          <w:tcPr>
            <w:tcW w:w="10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3.58 %</w:t>
            </w:r>
          </w:p>
        </w:tc>
        <w:tc>
          <w:tcPr>
            <w:tcW w:w="10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3.69 %</w:t>
            </w:r>
          </w:p>
        </w:tc>
        <w:tc>
          <w:tcPr>
            <w:tcW w:w="12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4.23 %</w:t>
            </w:r>
          </w:p>
        </w:tc>
      </w:tr>
      <w:tr>
        <w:trPr>
          <w:trHeight w:val="33"/>
        </w:trPr>
        <w:tc>
          <w:tcPr>
            <w:tcW w:w="5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60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Average asset yield </w:t>
            </w:r>
            <w:r>
              <w:rPr>
                <w:rFonts w:ascii="Arial" w:cs="Arial" w:eastAsia="Arial" w:hAnsi="Arial"/>
                <w:sz w:val="16"/>
                <w:szCs w:val="16"/>
                <w:i w:val="1"/>
                <w:iCs w:val="1"/>
                <w:color w:val="auto"/>
              </w:rPr>
              <w:t>(as of period end)</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2.78 %</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2.74 %</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2.70 %</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2.61 %</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3.07 %</w:t>
            </w:r>
          </w:p>
        </w:tc>
      </w:tr>
      <w:tr>
        <w:trPr>
          <w:trHeight w:val="270"/>
        </w:trPr>
        <w:tc>
          <w:tcPr>
            <w:tcW w:w="6060" w:type="dxa"/>
            <w:vAlign w:val="bottom"/>
            <w:gridSpan w:val="2"/>
          </w:tcPr>
          <w:p>
            <w:pPr>
              <w:ind w:left="40"/>
              <w:spacing w:after="0"/>
              <w:rPr>
                <w:sz w:val="20"/>
                <w:szCs w:val="20"/>
                <w:color w:val="auto"/>
              </w:rPr>
            </w:pPr>
            <w:r>
              <w:rPr>
                <w:rFonts w:ascii="Arial" w:cs="Arial" w:eastAsia="Arial" w:hAnsi="Arial"/>
                <w:sz w:val="16"/>
                <w:szCs w:val="16"/>
                <w:color w:val="auto"/>
              </w:rPr>
              <w:t xml:space="preserve">Average cost of funds </w:t>
            </w:r>
            <w:r>
              <w:rPr>
                <w:rFonts w:ascii="Arial" w:cs="Arial" w:eastAsia="Arial" w:hAnsi="Arial"/>
                <w:sz w:val="16"/>
                <w:szCs w:val="16"/>
                <w:i w:val="1"/>
                <w:iCs w:val="1"/>
                <w:color w:val="auto"/>
              </w:rPr>
              <w:t>(as of period end)</w:t>
            </w:r>
            <w:r>
              <w:rPr>
                <w:rFonts w:ascii="Arial" w:cs="Arial" w:eastAsia="Arial" w:hAnsi="Arial"/>
                <w:sz w:val="16"/>
                <w:szCs w:val="16"/>
                <w:color w:val="auto"/>
              </w:rPr>
              <w:t xml:space="preserve"> </w:t>
            </w:r>
            <w:r>
              <w:rPr>
                <w:rFonts w:ascii="Arial" w:cs="Arial" w:eastAsia="Arial" w:hAnsi="Arial"/>
                <w:sz w:val="21"/>
                <w:szCs w:val="21"/>
                <w:color w:val="auto"/>
                <w:vertAlign w:val="superscript"/>
              </w:rPr>
              <w:t>10</w:t>
            </w:r>
          </w:p>
        </w:tc>
        <w:tc>
          <w:tcPr>
            <w:tcW w:w="980" w:type="dxa"/>
            <w:vAlign w:val="bottom"/>
          </w:tcPr>
          <w:p>
            <w:pPr>
              <w:jc w:val="right"/>
              <w:spacing w:after="0"/>
              <w:rPr>
                <w:sz w:val="20"/>
                <w:szCs w:val="20"/>
                <w:color w:val="auto"/>
              </w:rPr>
            </w:pPr>
            <w:r>
              <w:rPr>
                <w:rFonts w:ascii="Arial" w:cs="Arial" w:eastAsia="Arial" w:hAnsi="Arial"/>
                <w:sz w:val="16"/>
                <w:szCs w:val="16"/>
                <w:color w:val="auto"/>
              </w:rPr>
              <w:t>(1.65)%</w:t>
            </w:r>
          </w:p>
        </w:tc>
        <w:tc>
          <w:tcPr>
            <w:tcW w:w="12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(1.40)%</w:t>
            </w:r>
          </w:p>
        </w:tc>
        <w:tc>
          <w:tcPr>
            <w:tcW w:w="10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(1.31)%</w:t>
            </w:r>
          </w:p>
        </w:tc>
        <w:tc>
          <w:tcPr>
            <w:tcW w:w="10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(1.22)%</w:t>
            </w:r>
          </w:p>
        </w:tc>
        <w:tc>
          <w:tcPr>
            <w:tcW w:w="12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(1.13)%</w:t>
            </w:r>
          </w:p>
        </w:tc>
      </w:tr>
      <w:tr>
        <w:trPr>
          <w:trHeight w:val="250"/>
        </w:trPr>
        <w:tc>
          <w:tcPr>
            <w:tcW w:w="60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Average net interest rate spread </w:t>
            </w:r>
            <w:r>
              <w:rPr>
                <w:rFonts w:ascii="Arial" w:cs="Arial" w:eastAsia="Arial" w:hAnsi="Arial"/>
                <w:sz w:val="16"/>
                <w:szCs w:val="16"/>
                <w:i w:val="1"/>
                <w:iCs w:val="1"/>
                <w:color w:val="auto"/>
              </w:rPr>
              <w:t>(as of period end)</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1.13 %</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1.34 %</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1.39 %</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1.39 %</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1.94 %</w:t>
            </w:r>
          </w:p>
        </w:tc>
      </w:tr>
      <w:tr>
        <w:trPr>
          <w:trHeight w:val="270"/>
        </w:trPr>
        <w:tc>
          <w:tcPr>
            <w:tcW w:w="6060" w:type="dxa"/>
            <w:vAlign w:val="bottom"/>
            <w:gridSpan w:val="2"/>
          </w:tcPr>
          <w:p>
            <w:pPr>
              <w:ind w:left="40"/>
              <w:spacing w:after="0"/>
              <w:rPr>
                <w:sz w:val="20"/>
                <w:szCs w:val="20"/>
                <w:color w:val="auto"/>
              </w:rPr>
            </w:pPr>
            <w:r>
              <w:rPr>
                <w:rFonts w:ascii="Arial" w:cs="Arial" w:eastAsia="Arial" w:hAnsi="Arial"/>
                <w:sz w:val="16"/>
                <w:szCs w:val="16"/>
                <w:color w:val="auto"/>
              </w:rPr>
              <w:t>Net comprehensive income (loss) return on average common equity</w:t>
            </w:r>
            <w:r>
              <w:rPr>
                <w:rFonts w:ascii="Arial" w:cs="Arial" w:eastAsia="Arial" w:hAnsi="Arial"/>
                <w:sz w:val="21"/>
                <w:szCs w:val="21"/>
                <w:color w:val="auto"/>
                <w:vertAlign w:val="superscript"/>
              </w:rPr>
              <w:t>11</w:t>
            </w:r>
          </w:p>
        </w:tc>
        <w:tc>
          <w:tcPr>
            <w:tcW w:w="980" w:type="dxa"/>
            <w:vAlign w:val="bottom"/>
          </w:tcPr>
          <w:p>
            <w:pPr>
              <w:jc w:val="right"/>
              <w:spacing w:after="0"/>
              <w:rPr>
                <w:sz w:val="20"/>
                <w:szCs w:val="20"/>
                <w:color w:val="auto"/>
              </w:rPr>
            </w:pPr>
            <w:r>
              <w:rPr>
                <w:rFonts w:ascii="Arial" w:cs="Arial" w:eastAsia="Arial" w:hAnsi="Arial"/>
                <w:sz w:val="16"/>
                <w:szCs w:val="16"/>
                <w:color w:val="auto"/>
              </w:rPr>
              <w:t>(3.6)%</w:t>
            </w:r>
          </w:p>
        </w:tc>
        <w:tc>
          <w:tcPr>
            <w:tcW w:w="12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17.3 %</w:t>
            </w:r>
          </w:p>
        </w:tc>
        <w:tc>
          <w:tcPr>
            <w:tcW w:w="10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(16.6)%</w:t>
            </w:r>
          </w:p>
        </w:tc>
        <w:tc>
          <w:tcPr>
            <w:tcW w:w="10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26.9 %</w:t>
            </w:r>
          </w:p>
        </w:tc>
        <w:tc>
          <w:tcPr>
            <w:tcW w:w="12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27.6 %</w:t>
            </w:r>
          </w:p>
        </w:tc>
      </w:tr>
      <w:tr>
        <w:trPr>
          <w:trHeight w:val="270"/>
        </w:trPr>
        <w:tc>
          <w:tcPr>
            <w:tcW w:w="60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Economic return (loss) on common equity </w:t>
            </w:r>
            <w:r>
              <w:rPr>
                <w:rFonts w:ascii="Arial" w:cs="Arial" w:eastAsia="Arial" w:hAnsi="Arial"/>
                <w:sz w:val="21"/>
                <w:szCs w:val="21"/>
                <w:color w:val="auto"/>
                <w:vertAlign w:val="superscript"/>
              </w:rPr>
              <w:t>12</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w:t>
            </w:r>
          </w:p>
        </w:tc>
        <w:tc>
          <w:tcPr>
            <w:tcW w:w="120" w:type="dxa"/>
            <w:vAlign w:val="bottom"/>
            <w:shd w:val="clear" w:color="auto" w:fill="CCEEFF"/>
          </w:tcPr>
          <w:p>
            <w:pPr>
              <w:spacing w:after="0"/>
              <w:rPr>
                <w:sz w:val="23"/>
                <w:szCs w:val="23"/>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18.5 %</w:t>
            </w: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(12.5)%</w:t>
            </w:r>
          </w:p>
        </w:tc>
        <w:tc>
          <w:tcPr>
            <w:tcW w:w="100" w:type="dxa"/>
            <w:vAlign w:val="bottom"/>
            <w:shd w:val="clear" w:color="auto" w:fill="CCEEFF"/>
          </w:tcPr>
          <w:p>
            <w:pPr>
              <w:spacing w:after="0"/>
              <w:rPr>
                <w:sz w:val="23"/>
                <w:szCs w:val="23"/>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32.2 %</w:t>
            </w:r>
          </w:p>
        </w:tc>
        <w:tc>
          <w:tcPr>
            <w:tcW w:w="120" w:type="dxa"/>
            <w:vAlign w:val="bottom"/>
            <w:shd w:val="clear" w:color="auto" w:fill="CCEEFF"/>
          </w:tcPr>
          <w:p>
            <w:pPr>
              <w:spacing w:after="0"/>
              <w:rPr>
                <w:sz w:val="23"/>
                <w:szCs w:val="23"/>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37.4 %</w:t>
            </w:r>
          </w:p>
        </w:tc>
      </w:tr>
      <w:tr>
        <w:trPr>
          <w:trHeight w:val="270"/>
        </w:trPr>
        <w:tc>
          <w:tcPr>
            <w:tcW w:w="6060" w:type="dxa"/>
            <w:vAlign w:val="bottom"/>
            <w:gridSpan w:val="2"/>
          </w:tcPr>
          <w:p>
            <w:pPr>
              <w:ind w:left="40"/>
              <w:spacing w:after="0"/>
              <w:rPr>
                <w:sz w:val="20"/>
                <w:szCs w:val="20"/>
                <w:color w:val="auto"/>
              </w:rPr>
            </w:pPr>
            <w:r>
              <w:rPr>
                <w:rFonts w:ascii="Arial" w:cs="Arial" w:eastAsia="Arial" w:hAnsi="Arial"/>
                <w:sz w:val="16"/>
                <w:szCs w:val="16"/>
                <w:color w:val="auto"/>
              </w:rPr>
              <w:t xml:space="preserve">Average leverage </w:t>
            </w:r>
            <w:r>
              <w:rPr>
                <w:rFonts w:ascii="Arial" w:cs="Arial" w:eastAsia="Arial" w:hAnsi="Arial"/>
                <w:sz w:val="21"/>
                <w:szCs w:val="21"/>
                <w:color w:val="auto"/>
                <w:vertAlign w:val="superscript"/>
              </w:rPr>
              <w:t>13</w:t>
            </w:r>
          </w:p>
        </w:tc>
        <w:tc>
          <w:tcPr>
            <w:tcW w:w="980" w:type="dxa"/>
            <w:vAlign w:val="bottom"/>
          </w:tcPr>
          <w:p>
            <w:pPr>
              <w:jc w:val="right"/>
              <w:ind w:right="139"/>
              <w:spacing w:after="0"/>
              <w:rPr>
                <w:sz w:val="20"/>
                <w:szCs w:val="20"/>
                <w:color w:val="auto"/>
              </w:rPr>
            </w:pPr>
            <w:r>
              <w:rPr>
                <w:rFonts w:ascii="Arial" w:cs="Arial" w:eastAsia="Arial" w:hAnsi="Arial"/>
                <w:sz w:val="16"/>
                <w:szCs w:val="16"/>
                <w:color w:val="auto"/>
              </w:rPr>
              <w:t>5.6:1</w:t>
            </w:r>
          </w:p>
        </w:tc>
        <w:tc>
          <w:tcPr>
            <w:tcW w:w="120" w:type="dxa"/>
            <w:vAlign w:val="bottom"/>
          </w:tcPr>
          <w:p>
            <w:pPr>
              <w:spacing w:after="0"/>
              <w:rPr>
                <w:sz w:val="23"/>
                <w:szCs w:val="23"/>
                <w:color w:val="auto"/>
              </w:rPr>
            </w:pPr>
          </w:p>
        </w:tc>
        <w:tc>
          <w:tcPr>
            <w:tcW w:w="980" w:type="dxa"/>
            <w:vAlign w:val="bottom"/>
          </w:tcPr>
          <w:p>
            <w:pPr>
              <w:jc w:val="right"/>
              <w:ind w:right="139"/>
              <w:spacing w:after="0"/>
              <w:rPr>
                <w:sz w:val="20"/>
                <w:szCs w:val="20"/>
                <w:color w:val="auto"/>
              </w:rPr>
            </w:pPr>
            <w:r>
              <w:rPr>
                <w:rFonts w:ascii="Arial" w:cs="Arial" w:eastAsia="Arial" w:hAnsi="Arial"/>
                <w:sz w:val="16"/>
                <w:szCs w:val="16"/>
                <w:color w:val="auto"/>
              </w:rPr>
              <w:t>5.5:1</w:t>
            </w:r>
          </w:p>
        </w:tc>
        <w:tc>
          <w:tcPr>
            <w:tcW w:w="100" w:type="dxa"/>
            <w:vAlign w:val="bottom"/>
          </w:tcPr>
          <w:p>
            <w:pPr>
              <w:spacing w:after="0"/>
              <w:rPr>
                <w:sz w:val="23"/>
                <w:szCs w:val="23"/>
                <w:color w:val="auto"/>
              </w:rPr>
            </w:pPr>
          </w:p>
        </w:tc>
        <w:tc>
          <w:tcPr>
            <w:tcW w:w="1000" w:type="dxa"/>
            <w:vAlign w:val="bottom"/>
          </w:tcPr>
          <w:p>
            <w:pPr>
              <w:jc w:val="right"/>
              <w:ind w:right="140"/>
              <w:spacing w:after="0"/>
              <w:rPr>
                <w:sz w:val="20"/>
                <w:szCs w:val="20"/>
                <w:color w:val="auto"/>
              </w:rPr>
            </w:pPr>
            <w:r>
              <w:rPr>
                <w:rFonts w:ascii="Arial" w:cs="Arial" w:eastAsia="Arial" w:hAnsi="Arial"/>
                <w:sz w:val="16"/>
                <w:szCs w:val="16"/>
                <w:color w:val="auto"/>
              </w:rPr>
              <w:t>6.9:1</w:t>
            </w:r>
          </w:p>
        </w:tc>
        <w:tc>
          <w:tcPr>
            <w:tcW w:w="100" w:type="dxa"/>
            <w:vAlign w:val="bottom"/>
          </w:tcPr>
          <w:p>
            <w:pPr>
              <w:spacing w:after="0"/>
              <w:rPr>
                <w:sz w:val="23"/>
                <w:szCs w:val="23"/>
                <w:color w:val="auto"/>
              </w:rPr>
            </w:pPr>
          </w:p>
        </w:tc>
        <w:tc>
          <w:tcPr>
            <w:tcW w:w="980" w:type="dxa"/>
            <w:vAlign w:val="bottom"/>
          </w:tcPr>
          <w:p>
            <w:pPr>
              <w:jc w:val="right"/>
              <w:ind w:right="119"/>
              <w:spacing w:after="0"/>
              <w:rPr>
                <w:sz w:val="20"/>
                <w:szCs w:val="20"/>
                <w:color w:val="auto"/>
              </w:rPr>
            </w:pPr>
            <w:r>
              <w:rPr>
                <w:rFonts w:ascii="Arial" w:cs="Arial" w:eastAsia="Arial" w:hAnsi="Arial"/>
                <w:sz w:val="16"/>
                <w:szCs w:val="16"/>
                <w:color w:val="auto"/>
              </w:rPr>
              <w:t>7.3:1</w:t>
            </w:r>
          </w:p>
        </w:tc>
        <w:tc>
          <w:tcPr>
            <w:tcW w:w="120" w:type="dxa"/>
            <w:vAlign w:val="bottom"/>
          </w:tcPr>
          <w:p>
            <w:pPr>
              <w:spacing w:after="0"/>
              <w:rPr>
                <w:sz w:val="23"/>
                <w:szCs w:val="23"/>
                <w:color w:val="auto"/>
              </w:rPr>
            </w:pPr>
          </w:p>
        </w:tc>
        <w:tc>
          <w:tcPr>
            <w:tcW w:w="980" w:type="dxa"/>
            <w:vAlign w:val="bottom"/>
          </w:tcPr>
          <w:p>
            <w:pPr>
              <w:jc w:val="right"/>
              <w:ind w:right="139"/>
              <w:spacing w:after="0"/>
              <w:rPr>
                <w:sz w:val="20"/>
                <w:szCs w:val="20"/>
                <w:color w:val="auto"/>
              </w:rPr>
            </w:pPr>
            <w:r>
              <w:rPr>
                <w:rFonts w:ascii="Arial" w:cs="Arial" w:eastAsia="Arial" w:hAnsi="Arial"/>
                <w:sz w:val="16"/>
                <w:szCs w:val="16"/>
                <w:color w:val="auto"/>
              </w:rPr>
              <w:t>7.6:1</w:t>
            </w:r>
          </w:p>
        </w:tc>
      </w:tr>
      <w:tr>
        <w:trPr>
          <w:trHeight w:val="270"/>
        </w:trPr>
        <w:tc>
          <w:tcPr>
            <w:tcW w:w="60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Average "at risk" leverage, inclusive of the net TBA position </w:t>
            </w:r>
            <w:r>
              <w:rPr>
                <w:rFonts w:ascii="Arial" w:cs="Arial" w:eastAsia="Arial" w:hAnsi="Arial"/>
                <w:sz w:val="21"/>
                <w:szCs w:val="21"/>
                <w:color w:val="auto"/>
                <w:vertAlign w:val="superscript"/>
              </w:rPr>
              <w:t>14</w:t>
            </w:r>
          </w:p>
        </w:tc>
        <w:tc>
          <w:tcPr>
            <w:tcW w:w="98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6.4:1</w:t>
            </w:r>
          </w:p>
        </w:tc>
        <w:tc>
          <w:tcPr>
            <w:tcW w:w="120" w:type="dxa"/>
            <w:vAlign w:val="bottom"/>
            <w:shd w:val="clear" w:color="auto" w:fill="CCEEFF"/>
          </w:tcPr>
          <w:p>
            <w:pPr>
              <w:spacing w:after="0"/>
              <w:rPr>
                <w:sz w:val="23"/>
                <w:szCs w:val="23"/>
                <w:color w:val="auto"/>
              </w:rPr>
            </w:pPr>
          </w:p>
        </w:tc>
        <w:tc>
          <w:tcPr>
            <w:tcW w:w="98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7.0:1</w:t>
            </w: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140"/>
              <w:spacing w:after="0"/>
              <w:rPr>
                <w:sz w:val="20"/>
                <w:szCs w:val="20"/>
                <w:color w:val="auto"/>
              </w:rPr>
            </w:pPr>
            <w:r>
              <w:rPr>
                <w:rFonts w:ascii="Arial" w:cs="Arial" w:eastAsia="Arial" w:hAnsi="Arial"/>
                <w:sz w:val="16"/>
                <w:szCs w:val="16"/>
                <w:color w:val="auto"/>
              </w:rPr>
              <w:t>8.0:1</w:t>
            </w:r>
          </w:p>
        </w:tc>
        <w:tc>
          <w:tcPr>
            <w:tcW w:w="100" w:type="dxa"/>
            <w:vAlign w:val="bottom"/>
            <w:shd w:val="clear" w:color="auto" w:fill="CCEEFF"/>
          </w:tcPr>
          <w:p>
            <w:pPr>
              <w:spacing w:after="0"/>
              <w:rPr>
                <w:sz w:val="23"/>
                <w:szCs w:val="23"/>
                <w:color w:val="auto"/>
              </w:rPr>
            </w:pPr>
          </w:p>
        </w:tc>
        <w:tc>
          <w:tcPr>
            <w:tcW w:w="98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7.6:1</w:t>
            </w:r>
          </w:p>
        </w:tc>
        <w:tc>
          <w:tcPr>
            <w:tcW w:w="120" w:type="dxa"/>
            <w:vAlign w:val="bottom"/>
            <w:shd w:val="clear" w:color="auto" w:fill="CCEEFF"/>
          </w:tcPr>
          <w:p>
            <w:pPr>
              <w:spacing w:after="0"/>
              <w:rPr>
                <w:sz w:val="23"/>
                <w:szCs w:val="23"/>
                <w:color w:val="auto"/>
              </w:rPr>
            </w:pPr>
          </w:p>
        </w:tc>
        <w:tc>
          <w:tcPr>
            <w:tcW w:w="980" w:type="dxa"/>
            <w:vAlign w:val="bottom"/>
            <w:shd w:val="clear" w:color="auto" w:fill="CCEEFF"/>
          </w:tcPr>
          <w:p>
            <w:pPr>
              <w:jc w:val="right"/>
              <w:ind w:right="279"/>
              <w:spacing w:after="0"/>
              <w:rPr>
                <w:sz w:val="20"/>
                <w:szCs w:val="20"/>
                <w:color w:val="auto"/>
              </w:rPr>
            </w:pPr>
            <w:r>
              <w:rPr>
                <w:rFonts w:ascii="Arial" w:cs="Arial" w:eastAsia="Arial" w:hAnsi="Arial"/>
                <w:sz w:val="16"/>
                <w:szCs w:val="16"/>
                <w:color w:val="auto"/>
              </w:rPr>
              <w:t>NM</w:t>
            </w:r>
          </w:p>
        </w:tc>
      </w:tr>
      <w:tr>
        <w:trPr>
          <w:trHeight w:val="270"/>
        </w:trPr>
        <w:tc>
          <w:tcPr>
            <w:tcW w:w="6060" w:type="dxa"/>
            <w:vAlign w:val="bottom"/>
            <w:gridSpan w:val="2"/>
          </w:tcPr>
          <w:p>
            <w:pPr>
              <w:ind w:left="40"/>
              <w:spacing w:after="0"/>
              <w:rPr>
                <w:sz w:val="20"/>
                <w:szCs w:val="20"/>
                <w:color w:val="auto"/>
              </w:rPr>
            </w:pPr>
            <w:r>
              <w:rPr>
                <w:rFonts w:ascii="Arial" w:cs="Arial" w:eastAsia="Arial" w:hAnsi="Arial"/>
                <w:sz w:val="16"/>
                <w:szCs w:val="16"/>
                <w:color w:val="auto"/>
              </w:rPr>
              <w:t xml:space="preserve">Leverage </w:t>
            </w:r>
            <w:r>
              <w:rPr>
                <w:rFonts w:ascii="Arial" w:cs="Arial" w:eastAsia="Arial" w:hAnsi="Arial"/>
                <w:sz w:val="16"/>
                <w:szCs w:val="16"/>
                <w:i w:val="1"/>
                <w:iCs w:val="1"/>
                <w:color w:val="auto"/>
              </w:rPr>
              <w:t>(as of period end)</w:t>
            </w:r>
            <w:r>
              <w:rPr>
                <w:rFonts w:ascii="Arial" w:cs="Arial" w:eastAsia="Arial" w:hAnsi="Arial"/>
                <w:sz w:val="16"/>
                <w:szCs w:val="16"/>
                <w:color w:val="auto"/>
              </w:rPr>
              <w:t xml:space="preserve"> </w:t>
            </w:r>
            <w:r>
              <w:rPr>
                <w:rFonts w:ascii="Arial" w:cs="Arial" w:eastAsia="Arial" w:hAnsi="Arial"/>
                <w:sz w:val="21"/>
                <w:szCs w:val="21"/>
                <w:color w:val="auto"/>
                <w:vertAlign w:val="superscript"/>
              </w:rPr>
              <w:t>15</w:t>
            </w:r>
          </w:p>
        </w:tc>
        <w:tc>
          <w:tcPr>
            <w:tcW w:w="980" w:type="dxa"/>
            <w:vAlign w:val="bottom"/>
          </w:tcPr>
          <w:p>
            <w:pPr>
              <w:jc w:val="right"/>
              <w:ind w:right="139"/>
              <w:spacing w:after="0"/>
              <w:rPr>
                <w:sz w:val="20"/>
                <w:szCs w:val="20"/>
                <w:color w:val="auto"/>
              </w:rPr>
            </w:pPr>
            <w:r>
              <w:rPr>
                <w:rFonts w:ascii="Arial" w:cs="Arial" w:eastAsia="Arial" w:hAnsi="Arial"/>
                <w:sz w:val="16"/>
                <w:szCs w:val="16"/>
                <w:color w:val="auto"/>
              </w:rPr>
              <w:t>5.8:1</w:t>
            </w:r>
          </w:p>
        </w:tc>
        <w:tc>
          <w:tcPr>
            <w:tcW w:w="120" w:type="dxa"/>
            <w:vAlign w:val="bottom"/>
          </w:tcPr>
          <w:p>
            <w:pPr>
              <w:spacing w:after="0"/>
              <w:rPr>
                <w:sz w:val="23"/>
                <w:szCs w:val="23"/>
                <w:color w:val="auto"/>
              </w:rPr>
            </w:pPr>
          </w:p>
        </w:tc>
        <w:tc>
          <w:tcPr>
            <w:tcW w:w="980" w:type="dxa"/>
            <w:vAlign w:val="bottom"/>
          </w:tcPr>
          <w:p>
            <w:pPr>
              <w:jc w:val="right"/>
              <w:ind w:right="139"/>
              <w:spacing w:after="0"/>
              <w:rPr>
                <w:sz w:val="20"/>
                <w:szCs w:val="20"/>
                <w:color w:val="auto"/>
              </w:rPr>
            </w:pPr>
            <w:r>
              <w:rPr>
                <w:rFonts w:ascii="Arial" w:cs="Arial" w:eastAsia="Arial" w:hAnsi="Arial"/>
                <w:sz w:val="16"/>
                <w:szCs w:val="16"/>
                <w:color w:val="auto"/>
              </w:rPr>
              <w:t>5.3:1</w:t>
            </w:r>
          </w:p>
        </w:tc>
        <w:tc>
          <w:tcPr>
            <w:tcW w:w="100" w:type="dxa"/>
            <w:vAlign w:val="bottom"/>
          </w:tcPr>
          <w:p>
            <w:pPr>
              <w:spacing w:after="0"/>
              <w:rPr>
                <w:sz w:val="23"/>
                <w:szCs w:val="23"/>
                <w:color w:val="auto"/>
              </w:rPr>
            </w:pPr>
          </w:p>
        </w:tc>
        <w:tc>
          <w:tcPr>
            <w:tcW w:w="1000" w:type="dxa"/>
            <w:vAlign w:val="bottom"/>
          </w:tcPr>
          <w:p>
            <w:pPr>
              <w:jc w:val="right"/>
              <w:ind w:right="140"/>
              <w:spacing w:after="0"/>
              <w:rPr>
                <w:sz w:val="20"/>
                <w:szCs w:val="20"/>
                <w:color w:val="auto"/>
              </w:rPr>
            </w:pPr>
            <w:r>
              <w:rPr>
                <w:rFonts w:ascii="Arial" w:cs="Arial" w:eastAsia="Arial" w:hAnsi="Arial"/>
                <w:sz w:val="16"/>
                <w:szCs w:val="16"/>
                <w:color w:val="auto"/>
              </w:rPr>
              <w:t>7.3:1</w:t>
            </w:r>
          </w:p>
        </w:tc>
        <w:tc>
          <w:tcPr>
            <w:tcW w:w="100" w:type="dxa"/>
            <w:vAlign w:val="bottom"/>
          </w:tcPr>
          <w:p>
            <w:pPr>
              <w:spacing w:after="0"/>
              <w:rPr>
                <w:sz w:val="23"/>
                <w:szCs w:val="23"/>
                <w:color w:val="auto"/>
              </w:rPr>
            </w:pPr>
          </w:p>
        </w:tc>
        <w:tc>
          <w:tcPr>
            <w:tcW w:w="980" w:type="dxa"/>
            <w:vAlign w:val="bottom"/>
          </w:tcPr>
          <w:p>
            <w:pPr>
              <w:jc w:val="right"/>
              <w:ind w:right="119"/>
              <w:spacing w:after="0"/>
              <w:rPr>
                <w:sz w:val="20"/>
                <w:szCs w:val="20"/>
                <w:color w:val="auto"/>
              </w:rPr>
            </w:pPr>
            <w:r>
              <w:rPr>
                <w:rFonts w:ascii="Arial" w:cs="Arial" w:eastAsia="Arial" w:hAnsi="Arial"/>
                <w:sz w:val="16"/>
                <w:szCs w:val="16"/>
                <w:color w:val="auto"/>
              </w:rPr>
              <w:t>7.0:1</w:t>
            </w:r>
          </w:p>
        </w:tc>
        <w:tc>
          <w:tcPr>
            <w:tcW w:w="120" w:type="dxa"/>
            <w:vAlign w:val="bottom"/>
          </w:tcPr>
          <w:p>
            <w:pPr>
              <w:spacing w:after="0"/>
              <w:rPr>
                <w:sz w:val="23"/>
                <w:szCs w:val="23"/>
                <w:color w:val="auto"/>
              </w:rPr>
            </w:pPr>
          </w:p>
        </w:tc>
        <w:tc>
          <w:tcPr>
            <w:tcW w:w="980" w:type="dxa"/>
            <w:vAlign w:val="bottom"/>
          </w:tcPr>
          <w:p>
            <w:pPr>
              <w:jc w:val="right"/>
              <w:ind w:right="139"/>
              <w:spacing w:after="0"/>
              <w:rPr>
                <w:sz w:val="20"/>
                <w:szCs w:val="20"/>
                <w:color w:val="auto"/>
              </w:rPr>
            </w:pPr>
            <w:r>
              <w:rPr>
                <w:rFonts w:ascii="Arial" w:cs="Arial" w:eastAsia="Arial" w:hAnsi="Arial"/>
                <w:sz w:val="16"/>
                <w:szCs w:val="16"/>
                <w:color w:val="auto"/>
              </w:rPr>
              <w:t>7.9:1</w:t>
            </w:r>
          </w:p>
        </w:tc>
      </w:tr>
      <w:tr>
        <w:trPr>
          <w:trHeight w:val="270"/>
        </w:trPr>
        <w:tc>
          <w:tcPr>
            <w:tcW w:w="60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"At risk" leverage, inclusive of net TBA position </w:t>
            </w:r>
            <w:r>
              <w:rPr>
                <w:rFonts w:ascii="Arial" w:cs="Arial" w:eastAsia="Arial" w:hAnsi="Arial"/>
                <w:sz w:val="16"/>
                <w:szCs w:val="16"/>
                <w:i w:val="1"/>
                <w:iCs w:val="1"/>
                <w:color w:val="auto"/>
              </w:rPr>
              <w:t>(as of period end)</w:t>
            </w:r>
            <w:r>
              <w:rPr>
                <w:rFonts w:ascii="Arial" w:cs="Arial" w:eastAsia="Arial" w:hAnsi="Arial"/>
                <w:sz w:val="16"/>
                <w:szCs w:val="16"/>
                <w:color w:val="auto"/>
              </w:rPr>
              <w:t xml:space="preserve"> </w:t>
            </w:r>
            <w:r>
              <w:rPr>
                <w:rFonts w:ascii="Arial" w:cs="Arial" w:eastAsia="Arial" w:hAnsi="Arial"/>
                <w:sz w:val="21"/>
                <w:szCs w:val="21"/>
                <w:color w:val="auto"/>
                <w:vertAlign w:val="superscript"/>
              </w:rPr>
              <w:t>16</w:t>
            </w:r>
          </w:p>
        </w:tc>
        <w:tc>
          <w:tcPr>
            <w:tcW w:w="98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6.8:1</w:t>
            </w:r>
          </w:p>
        </w:tc>
        <w:tc>
          <w:tcPr>
            <w:tcW w:w="120" w:type="dxa"/>
            <w:vAlign w:val="bottom"/>
            <w:shd w:val="clear" w:color="auto" w:fill="CCEEFF"/>
          </w:tcPr>
          <w:p>
            <w:pPr>
              <w:spacing w:after="0"/>
              <w:rPr>
                <w:sz w:val="23"/>
                <w:szCs w:val="23"/>
                <w:color w:val="auto"/>
              </w:rPr>
            </w:pPr>
          </w:p>
        </w:tc>
        <w:tc>
          <w:tcPr>
            <w:tcW w:w="98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6.9:1</w:t>
            </w: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140"/>
              <w:spacing w:after="0"/>
              <w:rPr>
                <w:sz w:val="20"/>
                <w:szCs w:val="20"/>
                <w:color w:val="auto"/>
              </w:rPr>
            </w:pPr>
            <w:r>
              <w:rPr>
                <w:rFonts w:ascii="Arial" w:cs="Arial" w:eastAsia="Arial" w:hAnsi="Arial"/>
                <w:sz w:val="16"/>
                <w:szCs w:val="16"/>
                <w:color w:val="auto"/>
              </w:rPr>
              <w:t>7.5:1</w:t>
            </w:r>
          </w:p>
        </w:tc>
        <w:tc>
          <w:tcPr>
            <w:tcW w:w="100" w:type="dxa"/>
            <w:vAlign w:val="bottom"/>
            <w:shd w:val="clear" w:color="auto" w:fill="CCEEFF"/>
          </w:tcPr>
          <w:p>
            <w:pPr>
              <w:spacing w:after="0"/>
              <w:rPr>
                <w:sz w:val="23"/>
                <w:szCs w:val="23"/>
                <w:color w:val="auto"/>
              </w:rPr>
            </w:pPr>
          </w:p>
        </w:tc>
        <w:tc>
          <w:tcPr>
            <w:tcW w:w="98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8.2:1</w:t>
            </w:r>
          </w:p>
        </w:tc>
        <w:tc>
          <w:tcPr>
            <w:tcW w:w="120" w:type="dxa"/>
            <w:vAlign w:val="bottom"/>
            <w:shd w:val="clear" w:color="auto" w:fill="CCEEFF"/>
          </w:tcPr>
          <w:p>
            <w:pPr>
              <w:spacing w:after="0"/>
              <w:rPr>
                <w:sz w:val="23"/>
                <w:szCs w:val="23"/>
                <w:color w:val="auto"/>
              </w:rPr>
            </w:pPr>
          </w:p>
        </w:tc>
        <w:tc>
          <w:tcPr>
            <w:tcW w:w="980" w:type="dxa"/>
            <w:vAlign w:val="bottom"/>
            <w:shd w:val="clear" w:color="auto" w:fill="CCEEFF"/>
          </w:tcPr>
          <w:p>
            <w:pPr>
              <w:jc w:val="right"/>
              <w:ind w:right="279"/>
              <w:spacing w:after="0"/>
              <w:rPr>
                <w:sz w:val="20"/>
                <w:szCs w:val="20"/>
                <w:color w:val="auto"/>
              </w:rPr>
            </w:pPr>
            <w:r>
              <w:rPr>
                <w:rFonts w:ascii="Arial" w:cs="Arial" w:eastAsia="Arial" w:hAnsi="Arial"/>
                <w:sz w:val="16"/>
                <w:szCs w:val="16"/>
                <w:color w:val="auto"/>
              </w:rPr>
              <w:t>NM</w:t>
            </w:r>
          </w:p>
        </w:tc>
      </w:tr>
      <w:tr>
        <w:trPr>
          <w:trHeight w:val="237"/>
        </w:trPr>
        <w:tc>
          <w:tcPr>
            <w:tcW w:w="6060" w:type="dxa"/>
            <w:vAlign w:val="bottom"/>
            <w:gridSpan w:val="2"/>
          </w:tcPr>
          <w:p>
            <w:pPr>
              <w:ind w:left="40"/>
              <w:spacing w:after="0"/>
              <w:rPr>
                <w:sz w:val="20"/>
                <w:szCs w:val="20"/>
                <w:color w:val="auto"/>
              </w:rPr>
            </w:pPr>
            <w:r>
              <w:rPr>
                <w:rFonts w:ascii="Arial" w:cs="Arial" w:eastAsia="Arial" w:hAnsi="Arial"/>
                <w:sz w:val="16"/>
                <w:szCs w:val="16"/>
                <w:color w:val="auto"/>
              </w:rPr>
              <w:t>Expenses % of average total assets</w:t>
            </w:r>
          </w:p>
        </w:tc>
        <w:tc>
          <w:tcPr>
            <w:tcW w:w="980" w:type="dxa"/>
            <w:vAlign w:val="bottom"/>
          </w:tcPr>
          <w:p>
            <w:pPr>
              <w:jc w:val="right"/>
              <w:spacing w:after="0"/>
              <w:rPr>
                <w:sz w:val="20"/>
                <w:szCs w:val="20"/>
                <w:color w:val="auto"/>
              </w:rPr>
            </w:pPr>
            <w:r>
              <w:rPr>
                <w:rFonts w:ascii="Arial" w:cs="Arial" w:eastAsia="Arial" w:hAnsi="Arial"/>
                <w:sz w:val="16"/>
                <w:szCs w:val="16"/>
                <w:color w:val="auto"/>
              </w:rPr>
              <w:t>0.22 %</w:t>
            </w:r>
          </w:p>
        </w:tc>
        <w:tc>
          <w:tcPr>
            <w:tcW w:w="12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0.21 %</w:t>
            </w:r>
          </w:p>
        </w:tc>
        <w:tc>
          <w:tcPr>
            <w:tcW w:w="10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0.17 %</w:t>
            </w:r>
          </w:p>
        </w:tc>
        <w:tc>
          <w:tcPr>
            <w:tcW w:w="10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0.17 %</w:t>
            </w:r>
          </w:p>
        </w:tc>
        <w:tc>
          <w:tcPr>
            <w:tcW w:w="12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0.19 %</w:t>
            </w:r>
          </w:p>
        </w:tc>
      </w:tr>
      <w:tr>
        <w:trPr>
          <w:trHeight w:val="33"/>
        </w:trPr>
        <w:tc>
          <w:tcPr>
            <w:tcW w:w="5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60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Expenses % of average assets, including average net TBA position</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0.20 %</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0.18 %</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0.15 %</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0.16 %</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279"/>
              <w:spacing w:after="0"/>
              <w:rPr>
                <w:sz w:val="20"/>
                <w:szCs w:val="20"/>
                <w:color w:val="auto"/>
              </w:rPr>
            </w:pPr>
            <w:r>
              <w:rPr>
                <w:rFonts w:ascii="Arial" w:cs="Arial" w:eastAsia="Arial" w:hAnsi="Arial"/>
                <w:sz w:val="16"/>
                <w:szCs w:val="16"/>
                <w:color w:val="auto"/>
              </w:rPr>
              <w:t>NM</w:t>
            </w:r>
          </w:p>
        </w:tc>
      </w:tr>
      <w:tr>
        <w:trPr>
          <w:trHeight w:val="237"/>
        </w:trPr>
        <w:tc>
          <w:tcPr>
            <w:tcW w:w="6060" w:type="dxa"/>
            <w:vAlign w:val="bottom"/>
            <w:gridSpan w:val="2"/>
          </w:tcPr>
          <w:p>
            <w:pPr>
              <w:ind w:left="40"/>
              <w:spacing w:after="0"/>
              <w:rPr>
                <w:sz w:val="20"/>
                <w:szCs w:val="20"/>
                <w:color w:val="auto"/>
              </w:rPr>
            </w:pPr>
            <w:r>
              <w:rPr>
                <w:rFonts w:ascii="Arial" w:cs="Arial" w:eastAsia="Arial" w:hAnsi="Arial"/>
                <w:sz w:val="16"/>
                <w:szCs w:val="16"/>
                <w:color w:val="auto"/>
              </w:rPr>
              <w:t>Expenses % of average stockholders' equity</w:t>
            </w:r>
          </w:p>
        </w:tc>
        <w:tc>
          <w:tcPr>
            <w:tcW w:w="980" w:type="dxa"/>
            <w:vAlign w:val="bottom"/>
          </w:tcPr>
          <w:p>
            <w:pPr>
              <w:jc w:val="right"/>
              <w:spacing w:after="0"/>
              <w:rPr>
                <w:sz w:val="20"/>
                <w:szCs w:val="20"/>
                <w:color w:val="auto"/>
              </w:rPr>
            </w:pPr>
            <w:r>
              <w:rPr>
                <w:rFonts w:ascii="Arial" w:cs="Arial" w:eastAsia="Arial" w:hAnsi="Arial"/>
                <w:sz w:val="16"/>
                <w:szCs w:val="16"/>
                <w:color w:val="auto"/>
              </w:rPr>
              <w:t>1.58 %</w:t>
            </w:r>
          </w:p>
        </w:tc>
        <w:tc>
          <w:tcPr>
            <w:tcW w:w="12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1.52 %</w:t>
            </w:r>
          </w:p>
        </w:tc>
        <w:tc>
          <w:tcPr>
            <w:tcW w:w="10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1.61 %</w:t>
            </w:r>
          </w:p>
        </w:tc>
        <w:tc>
          <w:tcPr>
            <w:tcW w:w="10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1.52 %</w:t>
            </w:r>
          </w:p>
        </w:tc>
        <w:tc>
          <w:tcPr>
            <w:tcW w:w="12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1.77 %</w:t>
            </w:r>
          </w:p>
        </w:tc>
      </w:tr>
      <w:tr>
        <w:trPr>
          <w:trHeight w:val="242"/>
        </w:trPr>
        <w:tc>
          <w:tcPr>
            <w:tcW w:w="5960" w:type="dxa"/>
            <w:vAlign w:val="bottom"/>
          </w:tcPr>
          <w:p>
            <w:pPr>
              <w:spacing w:after="0"/>
              <w:rPr>
                <w:sz w:val="20"/>
                <w:szCs w:val="20"/>
                <w:color w:val="auto"/>
              </w:rPr>
            </w:pPr>
            <w:r>
              <w:rPr>
                <w:rFonts w:ascii="Arial" w:cs="Arial" w:eastAsia="Arial" w:hAnsi="Arial"/>
                <w:sz w:val="14"/>
                <w:szCs w:val="14"/>
                <w:color w:val="auto"/>
              </w:rPr>
              <w:t>_______________________</w:t>
            </w:r>
          </w:p>
        </w:tc>
        <w:tc>
          <w:tcPr>
            <w:tcW w:w="1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tcPr>
          <w:p>
            <w:pPr>
              <w:spacing w:after="0"/>
              <w:rPr>
                <w:sz w:val="21"/>
                <w:szCs w:val="21"/>
                <w:color w:val="auto"/>
              </w:rPr>
            </w:pPr>
          </w:p>
        </w:tc>
      </w:tr>
    </w:tbl>
    <w:p>
      <w:pPr>
        <w:ind w:left="340"/>
        <w:spacing w:after="0"/>
        <w:rPr>
          <w:sz w:val="20"/>
          <w:szCs w:val="20"/>
          <w:color w:val="auto"/>
        </w:rPr>
      </w:pPr>
      <w:r>
        <w:rPr>
          <w:rFonts w:ascii="Arial" w:cs="Arial" w:eastAsia="Arial" w:hAnsi="Arial"/>
          <w:sz w:val="14"/>
          <w:szCs w:val="14"/>
          <w:color w:val="auto"/>
        </w:rPr>
        <w:t>* Except as noted below, average numbers for each period are weighted based on days on our books and records. All percentages are annualized.</w:t>
      </w:r>
    </w:p>
    <w:p>
      <w:pPr>
        <w:spacing w:after="0" w:line="151" w:lineRule="exact"/>
        <w:rPr>
          <w:sz w:val="20"/>
          <w:szCs w:val="20"/>
          <w:color w:val="auto"/>
        </w:rPr>
      </w:pPr>
    </w:p>
    <w:p>
      <w:pPr>
        <w:ind w:left="980" w:hanging="648"/>
        <w:spacing w:after="0" w:line="250" w:lineRule="auto"/>
        <w:tabs>
          <w:tab w:leader="none" w:pos="656" w:val="left"/>
        </w:tabs>
        <w:numPr>
          <w:ilvl w:val="0"/>
          <w:numId w:val="22"/>
        </w:numPr>
        <w:rPr>
          <w:rFonts w:ascii="Arial" w:cs="Arial" w:eastAsia="Arial" w:hAnsi="Arial"/>
          <w:sz w:val="14"/>
          <w:szCs w:val="14"/>
          <w:color w:val="auto"/>
        </w:rPr>
      </w:pPr>
      <w:r>
        <w:rPr>
          <w:rFonts w:ascii="Arial" w:cs="Arial" w:eastAsia="Arial" w:hAnsi="Arial"/>
          <w:sz w:val="14"/>
          <w:szCs w:val="14"/>
          <w:color w:val="auto"/>
        </w:rPr>
        <w:t>Net asset value per common share is calculated as our total stockholders' equity, less our Series A and Series B Preferred Stock aggregate liquidation preference, divided by our number of common shares outstanding as of period end.</w:t>
      </w:r>
    </w:p>
    <w:p>
      <w:pPr>
        <w:ind w:left="980" w:right="20" w:hanging="648"/>
        <w:spacing w:after="0" w:line="241" w:lineRule="auto"/>
        <w:tabs>
          <w:tab w:leader="none" w:pos="656" w:val="left"/>
        </w:tabs>
        <w:numPr>
          <w:ilvl w:val="0"/>
          <w:numId w:val="22"/>
        </w:numPr>
        <w:rPr>
          <w:rFonts w:ascii="Arial" w:cs="Arial" w:eastAsia="Arial" w:hAnsi="Arial"/>
          <w:sz w:val="14"/>
          <w:szCs w:val="14"/>
          <w:color w:val="auto"/>
        </w:rPr>
      </w:pPr>
      <w:r>
        <w:rPr>
          <w:rFonts w:ascii="Arial" w:cs="Arial" w:eastAsia="Arial" w:hAnsi="Arial"/>
          <w:sz w:val="14"/>
          <w:szCs w:val="14"/>
          <w:color w:val="auto"/>
        </w:rPr>
        <w:t xml:space="preserve">We voluntarily discontinued hedge accounting for our interest rate swaps as of September 30, 2011. Please refer to our </w:t>
      </w:r>
      <w:r>
        <w:rPr>
          <w:rFonts w:ascii="Arial" w:cs="Arial" w:eastAsia="Arial" w:hAnsi="Arial"/>
          <w:sz w:val="14"/>
          <w:szCs w:val="14"/>
          <w:i w:val="1"/>
          <w:iCs w:val="1"/>
          <w:color w:val="auto"/>
        </w:rPr>
        <w:t>Interest Expense and Cost of Funds</w:t>
      </w:r>
      <w:r>
        <w:rPr>
          <w:rFonts w:ascii="Arial" w:cs="Arial" w:eastAsia="Arial" w:hAnsi="Arial"/>
          <w:sz w:val="14"/>
          <w:szCs w:val="14"/>
          <w:color w:val="auto"/>
        </w:rPr>
        <w:t xml:space="preserve"> discussion in </w:t>
      </w:r>
      <w:r>
        <w:rPr>
          <w:rFonts w:ascii="Arial" w:cs="Arial" w:eastAsia="Arial" w:hAnsi="Arial"/>
          <w:sz w:val="14"/>
          <w:szCs w:val="14"/>
          <w:i w:val="1"/>
          <w:iCs w:val="1"/>
          <w:color w:val="auto"/>
        </w:rPr>
        <w:t>Management's</w:t>
      </w:r>
      <w:r>
        <w:rPr>
          <w:rFonts w:ascii="Arial" w:cs="Arial" w:eastAsia="Arial" w:hAnsi="Arial"/>
          <w:sz w:val="14"/>
          <w:szCs w:val="14"/>
          <w:color w:val="auto"/>
        </w:rPr>
        <w:t xml:space="preserve"> </w:t>
      </w:r>
      <w:r>
        <w:rPr>
          <w:rFonts w:ascii="Arial" w:cs="Arial" w:eastAsia="Arial" w:hAnsi="Arial"/>
          <w:sz w:val="14"/>
          <w:szCs w:val="14"/>
          <w:i w:val="1"/>
          <w:iCs w:val="1"/>
          <w:color w:val="auto"/>
        </w:rPr>
        <w:t xml:space="preserve">Discussion and Analysis of Financial Condition and Results of Operations </w:t>
      </w:r>
      <w:r>
        <w:rPr>
          <w:rFonts w:ascii="Arial" w:cs="Arial" w:eastAsia="Arial" w:hAnsi="Arial"/>
          <w:sz w:val="14"/>
          <w:szCs w:val="14"/>
          <w:color w:val="auto"/>
        </w:rPr>
        <w:t>and Notes 2 and 5 of our</w:t>
      </w:r>
      <w:r>
        <w:rPr>
          <w:rFonts w:ascii="Arial" w:cs="Arial" w:eastAsia="Arial" w:hAnsi="Arial"/>
          <w:sz w:val="14"/>
          <w:szCs w:val="14"/>
          <w:i w:val="1"/>
          <w:iCs w:val="1"/>
          <w:color w:val="auto"/>
        </w:rPr>
        <w:t xml:space="preserve"> Consolidated Financial Statements </w:t>
      </w:r>
      <w:r>
        <w:rPr>
          <w:rFonts w:ascii="Arial" w:cs="Arial" w:eastAsia="Arial" w:hAnsi="Arial"/>
          <w:sz w:val="14"/>
          <w:szCs w:val="14"/>
          <w:color w:val="auto"/>
        </w:rPr>
        <w:t>in this Annual Report on Form 10-K for</w:t>
      </w:r>
      <w:r>
        <w:rPr>
          <w:rFonts w:ascii="Arial" w:cs="Arial" w:eastAsia="Arial" w:hAnsi="Arial"/>
          <w:sz w:val="14"/>
          <w:szCs w:val="14"/>
          <w:i w:val="1"/>
          <w:iCs w:val="1"/>
          <w:color w:val="auto"/>
        </w:rPr>
        <w:t xml:space="preserve"> </w:t>
      </w:r>
      <w:r>
        <w:rPr>
          <w:rFonts w:ascii="Arial" w:cs="Arial" w:eastAsia="Arial" w:hAnsi="Arial"/>
          <w:sz w:val="14"/>
          <w:szCs w:val="14"/>
          <w:color w:val="auto"/>
        </w:rPr>
        <w:t>additional information regarding our discontinuance of hedge accounting.</w:t>
      </w:r>
    </w:p>
    <w:p>
      <w:pPr>
        <w:spacing w:after="0" w:line="1" w:lineRule="exact"/>
        <w:rPr>
          <w:rFonts w:ascii="Arial" w:cs="Arial" w:eastAsia="Arial" w:hAnsi="Arial"/>
          <w:sz w:val="14"/>
          <w:szCs w:val="14"/>
          <w:color w:val="auto"/>
        </w:rPr>
      </w:pPr>
    </w:p>
    <w:p>
      <w:pPr>
        <w:ind w:left="980" w:hanging="648"/>
        <w:spacing w:after="0" w:line="241" w:lineRule="auto"/>
        <w:tabs>
          <w:tab w:leader="none" w:pos="656" w:val="left"/>
        </w:tabs>
        <w:numPr>
          <w:ilvl w:val="0"/>
          <w:numId w:val="22"/>
        </w:numPr>
        <w:rPr>
          <w:rFonts w:ascii="Arial" w:cs="Arial" w:eastAsia="Arial" w:hAnsi="Arial"/>
          <w:sz w:val="14"/>
          <w:szCs w:val="14"/>
          <w:color w:val="auto"/>
        </w:rPr>
      </w:pPr>
      <w:r>
        <w:rPr>
          <w:rFonts w:ascii="Arial" w:cs="Arial" w:eastAsia="Arial" w:hAnsi="Arial"/>
          <w:sz w:val="14"/>
          <w:szCs w:val="14"/>
          <w:color w:val="auto"/>
        </w:rPr>
        <w:t>The carrying value of our net TBA position represents the difference between the market value and the cost basis of the TBA contract as of period-end and is reported in derivative assets / (liabilities), at fair value on our accompanying consolidated balance sheets.</w:t>
      </w:r>
    </w:p>
    <w:p>
      <w:pPr>
        <w:ind w:left="660" w:hanging="328"/>
        <w:spacing w:after="0"/>
        <w:tabs>
          <w:tab w:leader="none" w:pos="6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Average mortgage borrowings include agency repo, FHLB advances and debt of consolidated VIEs. Amount excludes U.S. Treasury repo agreements and TBA contracts.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Average stockholders' equity calculated as our average month-end stockholders' equity during the period.</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2"/>
        </w:numPr>
        <w:rPr>
          <w:rFonts w:ascii="Arial" w:cs="Arial" w:eastAsia="Arial" w:hAnsi="Arial"/>
          <w:sz w:val="13"/>
          <w:szCs w:val="13"/>
          <w:color w:val="auto"/>
        </w:rPr>
      </w:pPr>
      <w:r>
        <w:rPr>
          <w:rFonts w:ascii="Arial" w:cs="Arial" w:eastAsia="Arial" w:hAnsi="Arial"/>
          <w:sz w:val="13"/>
          <w:szCs w:val="13"/>
          <w:color w:val="auto"/>
        </w:rPr>
        <w:t>Average coupon for the period was calculated by dividing our total coupon (or cash) interest income on investment securities by our average investment securities held at par.</w:t>
      </w:r>
    </w:p>
    <w:p>
      <w:pPr>
        <w:spacing w:after="0" w:line="12" w:lineRule="exact"/>
        <w:rPr>
          <w:rFonts w:ascii="Arial" w:cs="Arial" w:eastAsia="Arial" w:hAnsi="Arial"/>
          <w:sz w:val="13"/>
          <w:szCs w:val="13"/>
          <w:color w:val="auto"/>
        </w:rPr>
      </w:pPr>
    </w:p>
    <w:p>
      <w:pPr>
        <w:ind w:left="980" w:hanging="648"/>
        <w:spacing w:after="0" w:line="241" w:lineRule="auto"/>
        <w:tabs>
          <w:tab w:leader="none" w:pos="656" w:val="left"/>
        </w:tabs>
        <w:numPr>
          <w:ilvl w:val="0"/>
          <w:numId w:val="22"/>
        </w:numPr>
        <w:rPr>
          <w:rFonts w:ascii="Arial" w:cs="Arial" w:eastAsia="Arial" w:hAnsi="Arial"/>
          <w:sz w:val="14"/>
          <w:szCs w:val="14"/>
          <w:color w:val="auto"/>
        </w:rPr>
      </w:pPr>
      <w:r>
        <w:rPr>
          <w:rFonts w:ascii="Arial" w:cs="Arial" w:eastAsia="Arial" w:hAnsi="Arial"/>
          <w:sz w:val="14"/>
          <w:szCs w:val="14"/>
          <w:color w:val="auto"/>
        </w:rPr>
        <w:t>Average asset yield for the period was calculated by dividing our total cash interest income on investment securities, adjusted for amortization of premiums and discounts, by our average amortized cost of investment securities held.</w:t>
      </w:r>
    </w:p>
    <w:p>
      <w:pPr>
        <w:ind w:left="980" w:hanging="648"/>
        <w:spacing w:after="0" w:line="241" w:lineRule="auto"/>
        <w:tabs>
          <w:tab w:leader="none" w:pos="656" w:val="left"/>
        </w:tabs>
        <w:numPr>
          <w:ilvl w:val="0"/>
          <w:numId w:val="22"/>
        </w:numPr>
        <w:rPr>
          <w:rFonts w:ascii="Arial" w:cs="Arial" w:eastAsia="Arial" w:hAnsi="Arial"/>
          <w:sz w:val="14"/>
          <w:szCs w:val="14"/>
          <w:color w:val="auto"/>
        </w:rPr>
      </w:pPr>
      <w:r>
        <w:rPr>
          <w:rFonts w:ascii="Arial" w:cs="Arial" w:eastAsia="Arial" w:hAnsi="Arial"/>
          <w:sz w:val="14"/>
          <w:szCs w:val="14"/>
          <w:color w:val="auto"/>
        </w:rPr>
        <w:t>Average cost of funds includes mortgage borrowings and interest rate swap periodic costs. Amount excludes interest rate swap termination fees, forward starting swaps and costs associated with other supplemental hedges, such as interest rate swaptions and U.S. Treasury positions. Average cost of funds for the period was calculated by dividing our total cost of funds by our average mortgage borrowings outstanding for the period.</w:t>
      </w:r>
    </w:p>
    <w:p>
      <w:pPr>
        <w:spacing w:after="0" w:line="1" w:lineRule="exact"/>
        <w:rPr>
          <w:rFonts w:ascii="Arial" w:cs="Arial" w:eastAsia="Arial" w:hAnsi="Arial"/>
          <w:sz w:val="14"/>
          <w:szCs w:val="14"/>
          <w:color w:val="auto"/>
        </w:rPr>
      </w:pPr>
    </w:p>
    <w:p>
      <w:pPr>
        <w:ind w:left="980" w:hanging="648"/>
        <w:spacing w:after="0" w:line="241" w:lineRule="auto"/>
        <w:tabs>
          <w:tab w:leader="none" w:pos="656" w:val="left"/>
        </w:tabs>
        <w:numPr>
          <w:ilvl w:val="0"/>
          <w:numId w:val="22"/>
        </w:numPr>
        <w:rPr>
          <w:rFonts w:ascii="Arial" w:cs="Arial" w:eastAsia="Arial" w:hAnsi="Arial"/>
          <w:sz w:val="14"/>
          <w:szCs w:val="14"/>
          <w:color w:val="auto"/>
        </w:rPr>
      </w:pPr>
      <w:r>
        <w:rPr>
          <w:rFonts w:ascii="Arial" w:cs="Arial" w:eastAsia="Arial" w:hAnsi="Arial"/>
          <w:sz w:val="14"/>
          <w:szCs w:val="14"/>
          <w:color w:val="auto"/>
        </w:rPr>
        <w:t>TBA dollar roll income / (loss) is net of short TBAs used for hedging purposes. Dollar roll income excludes the impact of other supplemental hedges, and is recognized in gain (loss) on derivative instruments and other securities, net.</w:t>
      </w:r>
    </w:p>
    <w:p>
      <w:pPr>
        <w:ind w:left="980" w:hanging="648"/>
        <w:spacing w:after="0" w:line="241" w:lineRule="auto"/>
        <w:tabs>
          <w:tab w:leader="none" w:pos="656" w:val="left"/>
        </w:tabs>
        <w:numPr>
          <w:ilvl w:val="0"/>
          <w:numId w:val="22"/>
        </w:numPr>
        <w:rPr>
          <w:rFonts w:ascii="Arial" w:cs="Arial" w:eastAsia="Arial" w:hAnsi="Arial"/>
          <w:sz w:val="14"/>
          <w:szCs w:val="14"/>
          <w:color w:val="auto"/>
        </w:rPr>
      </w:pPr>
      <w:r>
        <w:rPr>
          <w:rFonts w:ascii="Arial" w:cs="Arial" w:eastAsia="Arial" w:hAnsi="Arial"/>
          <w:sz w:val="14"/>
          <w:szCs w:val="14"/>
          <w:color w:val="auto"/>
        </w:rPr>
        <w:t>Average cost of funds as of period end includes mortgage borrowings outstanding, plus the impact of interest rate swaps. Amount excludes costs associated with other supplemental hedges such as swaptions, U.S. Treasuries and TBA positions.</w:t>
      </w:r>
    </w:p>
    <w:p>
      <w:pPr>
        <w:ind w:left="980" w:hanging="648"/>
        <w:spacing w:after="0" w:line="241" w:lineRule="auto"/>
        <w:tabs>
          <w:tab w:leader="none" w:pos="656" w:val="left"/>
        </w:tabs>
        <w:numPr>
          <w:ilvl w:val="0"/>
          <w:numId w:val="22"/>
        </w:numPr>
        <w:rPr>
          <w:rFonts w:ascii="Arial" w:cs="Arial" w:eastAsia="Arial" w:hAnsi="Arial"/>
          <w:sz w:val="14"/>
          <w:szCs w:val="14"/>
          <w:color w:val="auto"/>
        </w:rPr>
      </w:pPr>
      <w:r>
        <w:rPr>
          <w:rFonts w:ascii="Arial" w:cs="Arial" w:eastAsia="Arial" w:hAnsi="Arial"/>
          <w:sz w:val="14"/>
          <w:szCs w:val="14"/>
          <w:color w:val="auto"/>
        </w:rPr>
        <w:t>Net comprehensive income (loss) return on average common equity for the period was calculated by dividing our comprehensive income/(loss) available /(attributable) to common stockholders by our average stockholders' equity, net of the Series A and Series B Preferred Stock aggregate liquidation preference.</w:t>
      </w:r>
    </w:p>
    <w:p>
      <w:pPr>
        <w:ind w:left="980" w:right="20" w:hanging="648"/>
        <w:spacing w:after="0" w:line="255" w:lineRule="auto"/>
        <w:tabs>
          <w:tab w:leader="none" w:pos="656" w:val="left"/>
        </w:tabs>
        <w:numPr>
          <w:ilvl w:val="0"/>
          <w:numId w:val="22"/>
        </w:numPr>
        <w:rPr>
          <w:rFonts w:ascii="Arial" w:cs="Arial" w:eastAsia="Arial" w:hAnsi="Arial"/>
          <w:sz w:val="14"/>
          <w:szCs w:val="14"/>
          <w:color w:val="auto"/>
        </w:rPr>
      </w:pPr>
      <w:r>
        <w:rPr>
          <w:rFonts w:ascii="Arial" w:cs="Arial" w:eastAsia="Arial" w:hAnsi="Arial"/>
          <w:sz w:val="14"/>
          <w:szCs w:val="14"/>
          <w:color w:val="auto"/>
        </w:rPr>
        <w:t>Economic return (loss) on common equity represents the sum of the change in our net asset value per common share and our dividends declared on common stock during the period over our beginning net asset value per common share.</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806" w:right="239" w:bottom="1440" w:gutter="0" w:footer="0" w:header="0"/>
        </w:sectPr>
      </w:pPr>
    </w:p>
    <w:bookmarkStart w:id="41" w:name="page42"/>
    <w:bookmarkEnd w:id="41"/>
    <w:p>
      <w:pPr>
        <w:ind w:left="980" w:hanging="648"/>
        <w:spacing w:after="0" w:line="250" w:lineRule="auto"/>
        <w:tabs>
          <w:tab w:leader="none" w:pos="656" w:val="left"/>
        </w:tabs>
        <w:numPr>
          <w:ilvl w:val="0"/>
          <w:numId w:val="23"/>
        </w:numPr>
        <w:rPr>
          <w:rFonts w:ascii="Arial" w:cs="Arial" w:eastAsia="Arial" w:hAnsi="Arial"/>
          <w:sz w:val="14"/>
          <w:szCs w:val="14"/>
          <w:color w:val="auto"/>
        </w:rPr>
      </w:pPr>
      <w:r>
        <w:rPr>
          <w:rFonts w:ascii="Arial" w:cs="Arial" w:eastAsia="Arial" w:hAnsi="Arial"/>
          <w:sz w:val="14"/>
          <w:szCs w:val="14"/>
          <w:color w:val="auto"/>
        </w:rPr>
        <w:t>Average leverage during the period was calculated by dividing our daily weighted average mortgage borrowings outstanding for the period by the sum of our average stockholders' equity less our average investment in REIT equity securities for the period. Leverage excludes U.S. Treasury repurchase agreements.</w:t>
      </w:r>
    </w:p>
    <w:p>
      <w:pPr>
        <w:ind w:left="980" w:right="20" w:hanging="648"/>
        <w:spacing w:after="0" w:line="241" w:lineRule="auto"/>
        <w:tabs>
          <w:tab w:leader="none" w:pos="656" w:val="left"/>
        </w:tabs>
        <w:numPr>
          <w:ilvl w:val="0"/>
          <w:numId w:val="23"/>
        </w:numPr>
        <w:rPr>
          <w:rFonts w:ascii="Arial" w:cs="Arial" w:eastAsia="Arial" w:hAnsi="Arial"/>
          <w:sz w:val="14"/>
          <w:szCs w:val="14"/>
          <w:color w:val="auto"/>
        </w:rPr>
      </w:pPr>
      <w:r>
        <w:rPr>
          <w:rFonts w:ascii="Arial" w:cs="Arial" w:eastAsia="Arial" w:hAnsi="Arial"/>
          <w:sz w:val="14"/>
          <w:szCs w:val="14"/>
          <w:color w:val="auto"/>
        </w:rPr>
        <w:t>Average "at risk" leverage, inclusive of net TBA portfolio, during the period includes the components of "average leverage" plus our daily weighted average net TBA dollar position (at cost) during the period.</w:t>
      </w:r>
    </w:p>
    <w:p>
      <w:pPr>
        <w:ind w:left="980" w:hanging="648"/>
        <w:spacing w:after="0" w:line="241" w:lineRule="auto"/>
        <w:tabs>
          <w:tab w:leader="none" w:pos="656" w:val="left"/>
        </w:tabs>
        <w:numPr>
          <w:ilvl w:val="0"/>
          <w:numId w:val="23"/>
        </w:numPr>
        <w:rPr>
          <w:rFonts w:ascii="Arial" w:cs="Arial" w:eastAsia="Arial" w:hAnsi="Arial"/>
          <w:sz w:val="14"/>
          <w:szCs w:val="14"/>
          <w:color w:val="auto"/>
        </w:rPr>
      </w:pPr>
      <w:r>
        <w:rPr>
          <w:rFonts w:ascii="Arial" w:cs="Arial" w:eastAsia="Arial" w:hAnsi="Arial"/>
          <w:sz w:val="14"/>
          <w:szCs w:val="14"/>
          <w:color w:val="auto"/>
        </w:rPr>
        <w:t>Leverage at period end is calculated by dividing the sum of our mortgage borrowings outstanding and our receivable / payable for unsettled investment securities by the sum of our total stockholders' equity less the fair value of investments in REIT equity securities at period end. Leverage excludes U.S. Treasury repurchase agreements.</w:t>
      </w:r>
    </w:p>
    <w:p>
      <w:pPr>
        <w:ind w:left="980" w:right="20" w:hanging="648"/>
        <w:spacing w:after="0" w:line="255" w:lineRule="auto"/>
        <w:tabs>
          <w:tab w:leader="none" w:pos="656" w:val="left"/>
        </w:tabs>
        <w:numPr>
          <w:ilvl w:val="0"/>
          <w:numId w:val="23"/>
        </w:numPr>
        <w:rPr>
          <w:rFonts w:ascii="Arial" w:cs="Arial" w:eastAsia="Arial" w:hAnsi="Arial"/>
          <w:sz w:val="14"/>
          <w:szCs w:val="14"/>
          <w:color w:val="auto"/>
        </w:rPr>
      </w:pPr>
      <w:r>
        <w:rPr>
          <w:rFonts w:ascii="Arial" w:cs="Arial" w:eastAsia="Arial" w:hAnsi="Arial"/>
          <w:sz w:val="14"/>
          <w:szCs w:val="14"/>
          <w:color w:val="auto"/>
        </w:rPr>
        <w:t>"At risk" leverage at period end, inclusive of net TBA position, includes the components of "leverage (as of period end)" plus our net TBA dollar roll position outstanding as of period end, at cost.</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7. </w:t>
      </w:r>
      <w:r>
        <w:rPr>
          <w:rFonts w:ascii="Arial" w:cs="Arial" w:eastAsia="Arial" w:hAnsi="Arial"/>
          <w:sz w:val="18"/>
          <w:szCs w:val="18"/>
          <w:b w:val="1"/>
          <w:bCs w:val="1"/>
          <w:i w:val="1"/>
          <w:iCs w:val="1"/>
          <w:color w:val="auto"/>
        </w:rPr>
        <w:t>Management's Discussion and Analysis of Financial Condition and Results of Operations</w:t>
      </w:r>
    </w:p>
    <w:p>
      <w:pPr>
        <w:spacing w:after="0" w:line="94" w:lineRule="exact"/>
        <w:rPr>
          <w:sz w:val="20"/>
          <w:szCs w:val="20"/>
          <w:color w:val="auto"/>
        </w:rPr>
      </w:pPr>
    </w:p>
    <w:p>
      <w:pPr>
        <w:ind w:firstLine="432"/>
        <w:spacing w:after="0" w:line="334" w:lineRule="auto"/>
        <w:rPr>
          <w:sz w:val="20"/>
          <w:szCs w:val="20"/>
          <w:color w:val="auto"/>
        </w:rPr>
      </w:pPr>
      <w:r>
        <w:rPr>
          <w:rFonts w:ascii="Arial" w:cs="Arial" w:eastAsia="Arial" w:hAnsi="Arial"/>
          <w:sz w:val="16"/>
          <w:szCs w:val="16"/>
          <w:color w:val="auto"/>
        </w:rPr>
        <w:t>Management's Discussion and Analysis of Financial Condition and Results of Operations ("MD&amp;A") is designed to provide a reader of American Capital Agency Corp.'s consolidated financial statements with a narrative from the perspective of management. Our MD&amp;A is presented in eight sections:</w:t>
      </w:r>
    </w:p>
    <w:p>
      <w:pPr>
        <w:spacing w:after="0" w:line="1" w:lineRule="exact"/>
        <w:rPr>
          <w:sz w:val="20"/>
          <w:szCs w:val="20"/>
          <w:color w:val="auto"/>
        </w:rPr>
      </w:pPr>
    </w:p>
    <w:p>
      <w:pPr>
        <w:ind w:left="660" w:hanging="328"/>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Executive Overview</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Financial Condition</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Summary of Critical Accounting Estimates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Results of Operations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Liquidity and Capital Resources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Off-Balance Sheet Arrangements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Aggregate Contractual Obligations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Forward-Looking Statements</w:t>
      </w: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OVERVIEW</w:t>
      </w:r>
    </w:p>
    <w:p>
      <w:pPr>
        <w:spacing w:after="0" w:line="175" w:lineRule="exact"/>
        <w:rPr>
          <w:sz w:val="20"/>
          <w:szCs w:val="20"/>
          <w:color w:val="auto"/>
        </w:rPr>
      </w:pPr>
    </w:p>
    <w:p>
      <w:pPr>
        <w:jc w:val="both"/>
        <w:ind w:firstLine="405"/>
        <w:spacing w:after="0" w:line="276" w:lineRule="auto"/>
        <w:rPr>
          <w:sz w:val="20"/>
          <w:szCs w:val="20"/>
          <w:color w:val="auto"/>
        </w:rPr>
      </w:pPr>
      <w:r>
        <w:rPr>
          <w:rFonts w:ascii="Arial" w:cs="Arial" w:eastAsia="Arial" w:hAnsi="Arial"/>
          <w:sz w:val="17"/>
          <w:szCs w:val="17"/>
          <w:color w:val="auto"/>
        </w:rPr>
        <w:t>The size and composition of our investment portfolio depends on investment strategies implemented by our Manager, the availability of investment capital and overall market conditions, including the availability of attractively priced investments and suitable financing to appropriately leverage our investment portfolio. Market conditions are influenced by, among other things, current levels of and expectations for future levels of interest rates, mortgage prepayments, market liquidity, housing prices, unemployment rates, general economic conditions, government participation in the mortgage market, evolving regulations or legal settlements that impact servicing practices or other mortgage related activities.</w:t>
      </w:r>
    </w:p>
    <w:p>
      <w:pPr>
        <w:spacing w:after="0" w:line="1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Trends and Recent Market Impacts</w:t>
      </w:r>
    </w:p>
    <w:p>
      <w:pPr>
        <w:spacing w:after="0" w:line="175"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Fiscal year 2015 was a challenging year for the fixed income markets as global economic weakness, particularly in Europe, Japan and China, created uncertainty for the U.S. economic and interest rate outlook. This uncertainty, in turn, fueled greater interest rate volatility throughout the year and substantially wider spreads between benchmark interest rates and most fixed income securities.</w:t>
      </w:r>
    </w:p>
    <w:p>
      <w:pPr>
        <w:spacing w:after="0" w:line="127" w:lineRule="exact"/>
        <w:rPr>
          <w:sz w:val="20"/>
          <w:szCs w:val="20"/>
          <w:color w:val="auto"/>
        </w:rPr>
      </w:pPr>
    </w:p>
    <w:p>
      <w:pPr>
        <w:jc w:val="both"/>
        <w:ind w:firstLine="405"/>
        <w:spacing w:after="0" w:line="302" w:lineRule="auto"/>
        <w:rPr>
          <w:sz w:val="20"/>
          <w:szCs w:val="20"/>
          <w:color w:val="auto"/>
        </w:rPr>
      </w:pPr>
      <w:r>
        <w:rPr>
          <w:rFonts w:ascii="Arial" w:cs="Arial" w:eastAsia="Arial" w:hAnsi="Arial"/>
          <w:sz w:val="16"/>
          <w:szCs w:val="16"/>
          <w:color w:val="auto"/>
        </w:rPr>
        <w:t>As we entered the year, we positioned our portfolio for a wide range of interest rate scenarios. There was considerable uncertainty with respect to the timing of Federal Reserve short term interest rate hikes, and global deflationary pressures appeared to be gaining strength in part due to declining oil prices. As a result, we prioritized risk management over current period earnings by operating with historically low leverage and a relatively conservative interest rate risk profile. This conservative risk position proved beneficial in light of the significant interest rate volatility and wider spreads the space experienced in 2015.</w:t>
      </w:r>
    </w:p>
    <w:p>
      <w:pPr>
        <w:spacing w:after="0" w:line="100"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However, despite these actions, for the year, we incurred an economic loss of 2.6%, comprised of a loss in net book value of $3.15 per common share, or 12%, to $22.59 per common share as of December 31, 2015 and dividends declared per common share of $2.48. The increase in spreads on agency MBS relative to benchmark interest rates, particularly interest rate swap rates, was a significant factor in driving our net book value loss. The widening in agency MBS spreads was, however, less than the corresponding spread widening that occurred in most other fixed income markets, including the corporate, emerging and high yield debt markets.</w:t>
      </w:r>
    </w:p>
    <w:p>
      <w:pPr>
        <w:spacing w:after="0" w:line="134"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In December, the Federal Reserve raised the overnight Federal Funds rate for the first time in almost ten years and indicated its intent to increase short term rates further in 2016. As we look ahead into 2016, however, we believe it has become increasingly likely that continued slow global economic growth, persistently low commodity prices, adverse currency moves and the reversal of the flow of foreign funds will negatively impact the U.S. economic growth and inflation outlook. Against this backdrop, we believe the Federal Reserve's ability to raise short term interest rates has been materially reduced. This potentially more favorable</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20"/>
          </w:cols>
          <w:pgMar w:left="240" w:top="580" w:right="239" w:bottom="1440" w:gutter="0" w:footer="0" w:header="0"/>
        </w:sectPr>
      </w:pPr>
    </w:p>
    <w:bookmarkStart w:id="42" w:name="page43"/>
    <w:bookmarkEnd w:id="42"/>
    <w:p>
      <w:pPr>
        <w:jc w:val="both"/>
        <w:spacing w:after="0" w:line="257" w:lineRule="auto"/>
        <w:rPr>
          <w:sz w:val="20"/>
          <w:szCs w:val="20"/>
          <w:color w:val="auto"/>
        </w:rPr>
      </w:pPr>
      <w:r>
        <w:rPr>
          <w:rFonts w:ascii="Arial" w:cs="Arial" w:eastAsia="Arial" w:hAnsi="Arial"/>
          <w:sz w:val="18"/>
          <w:szCs w:val="18"/>
          <w:color w:val="auto"/>
        </w:rPr>
        <w:t xml:space="preserve">interest rate outlook, when combined with the enhanced earnings power of our portfolio stemming from wider MBS spreads, could enhance future earnings, which provides us a reason to be optimistic about 2016. Portfolio returns could be further supported by either higher leverage or a reduction in aggregate hedge cost. Further spread widening on agency MBS, however, would likely have a negative impact on our net book value over the near term. For the estimated impact of changes in interests rates and mortgage spreads on our net book value please refer to </w:t>
      </w:r>
      <w:r>
        <w:rPr>
          <w:rFonts w:ascii="Arial" w:cs="Arial" w:eastAsia="Arial" w:hAnsi="Arial"/>
          <w:sz w:val="18"/>
          <w:szCs w:val="18"/>
          <w:i w:val="1"/>
          <w:iCs w:val="1"/>
          <w:color w:val="auto"/>
        </w:rPr>
        <w:t>"Quantitative and Qualitative Disclosures about</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Market Risk" </w:t>
      </w:r>
      <w:r>
        <w:rPr>
          <w:rFonts w:ascii="Arial" w:cs="Arial" w:eastAsia="Arial" w:hAnsi="Arial"/>
          <w:sz w:val="18"/>
          <w:szCs w:val="18"/>
          <w:color w:val="auto"/>
        </w:rPr>
        <w:t>under Item 7A of this Annual Report on Form 10-K.</w:t>
      </w:r>
    </w:p>
    <w:p>
      <w:pPr>
        <w:spacing w:after="0" w:line="134"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The funding landscape for agency MBS remained favorable over the course of 2015. Despite the reduction in market capacity stemming from new regulatory requirements for large financial intermediaries, we have been able to add new repo counterparties and maintain a significant amount of excess capacity. Moreover, our repo funding was diversified across 36 active repo counterparties as of December 31, 2015. The average rate on our agency repo borrowings increased 20 basis points over the year to 0.61% as of December 31, 2015, reflective of higher funding costs due to implementation of the new regulatory requirements for large financial intermediaries as well as the increase in the target Federal Funds rate implemented by the Federal Reserve in December.</w:t>
      </w:r>
    </w:p>
    <w:p>
      <w:pPr>
        <w:spacing w:after="0" w:line="139"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In April 2015, our wholly-owned captive insurance subsidiary, OGI, was approved as a member of the FHLB of Des Moines, which provides an alternative source of funding for agency and certain other non-agency securities. Subsequently, on January 12, 2016, the FHFA released its final rule on proposed changes to regulations concerning FHLB membership criteria previously issued in September 2014. The final rule requires the termination of OGI's FHLB membership in February 2017 and requires repayment of all FHLB advances at the earlier of their contractual maturity dates or one year after the effective date of the final rule (February 2017). Although we are disappointed in the FHFA’s ruling, we do not believe that the loss of OGI’s FHLB membership will have a material adverse impact on our business.</w:t>
      </w:r>
    </w:p>
    <w:p>
      <w:pPr>
        <w:spacing w:after="0" w:line="139" w:lineRule="exact"/>
        <w:rPr>
          <w:sz w:val="20"/>
          <w:szCs w:val="20"/>
          <w:color w:val="auto"/>
        </w:rPr>
      </w:pPr>
    </w:p>
    <w:p>
      <w:pPr>
        <w:jc w:val="both"/>
        <w:ind w:firstLine="405"/>
        <w:spacing w:after="0" w:line="302" w:lineRule="auto"/>
        <w:rPr>
          <w:sz w:val="20"/>
          <w:szCs w:val="20"/>
          <w:color w:val="auto"/>
        </w:rPr>
      </w:pPr>
      <w:r>
        <w:rPr>
          <w:rFonts w:ascii="Arial" w:cs="Arial" w:eastAsia="Arial" w:hAnsi="Arial"/>
          <w:sz w:val="16"/>
          <w:szCs w:val="16"/>
          <w:color w:val="auto"/>
        </w:rPr>
        <w:t>During 2015, we also formed a wholly-owned captive broker-dealer subsidiary, BES. BES is currently in the regulatory application process and expects to be operational in mid-2016. BES intends to become a member of the FICC, thereby providing us with access to additional repo agreement funding and TBA trade clearing capabilities. We view the development of such capabilities as being favorable to our business, but there can be no assurances that BES will be successful in receiving the regulatory approvals required to become operational or that BES will be successful in becoming a member of the FICC.</w:t>
      </w:r>
    </w:p>
    <w:p>
      <w:pPr>
        <w:spacing w:after="0" w:line="100"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In October 2015, our Board of Directors approved a modification to our investment guidelines and approved limited investments of up to 10% of our assets in AAA non-agency and commercial mortgage-backed securities, which we refer collectively to as AAA non-agency MBS. We believe this modification to our investment guidelines offers incremental return potential with limited credit exposure, while ensuring that our investment portfolio remains highly liquid.</w:t>
      </w:r>
    </w:p>
    <w:p>
      <w:pPr>
        <w:spacing w:after="0" w:line="133"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Share Repurchases</w:t>
      </w:r>
    </w:p>
    <w:p>
      <w:pPr>
        <w:spacing w:after="0" w:line="171"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During the fiscal year 2015, we repurchased approximately 15.3 million shares, or 4.3%, of our common stock at an average repurchase price of $18.58 per share, including expenses, totaling $285 million. Our decision to repurchase shares of our common stock is based on a variety of factors, including our price to net book value ratio, an assessment of the overall investment landscape for relevant assets, our views on interest rates and our overall expectations about the drivers and sustainability of share price weakness, among other factors. Since commencing a stock repurchase program in the fourth quarter of 2012, we have repurchased 61.7 million shares, or 15.5%, of our outstanding common stock for total consideration of approximately $1.3 billion, including expenses. As of December 31, 2015, we had $707 million available under our current Board of Directors’ authorization for repurchases of our common stock through December 31, 2016.</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20"/>
          </w:cols>
          <w:pgMar w:left="240" w:top="746" w:right="239" w:bottom="1440" w:gutter="0" w:footer="0" w:header="0"/>
        </w:sectPr>
      </w:pPr>
    </w:p>
    <w:bookmarkStart w:id="43" w:name="page44"/>
    <w:bookmarkEnd w:id="43"/>
    <w:p>
      <w:pPr>
        <w:ind w:left="420"/>
        <w:spacing w:after="0"/>
        <w:rPr>
          <w:sz w:val="20"/>
          <w:szCs w:val="20"/>
          <w:color w:val="auto"/>
        </w:rPr>
      </w:pPr>
      <w:r>
        <w:rPr>
          <w:rFonts w:ascii="Arial" w:cs="Arial" w:eastAsia="Arial" w:hAnsi="Arial"/>
          <w:sz w:val="18"/>
          <w:szCs w:val="18"/>
          <w:i w:val="1"/>
          <w:iCs w:val="1"/>
          <w:color w:val="auto"/>
        </w:rPr>
        <w:t>Market Information</w:t>
      </w:r>
    </w:p>
    <w:p>
      <w:pPr>
        <w:spacing w:after="0" w:line="17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 summarizes interest rates and prices of generic fixed rate agency MBS as of each date presented below:</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3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8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Mar. 31,</w:t>
            </w:r>
          </w:p>
        </w:tc>
        <w:tc>
          <w:tcPr>
            <w:tcW w:w="96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June 30,</w:t>
            </w:r>
          </w:p>
        </w:tc>
        <w:tc>
          <w:tcPr>
            <w:tcW w:w="98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Sept. 30,</w:t>
            </w:r>
          </w:p>
        </w:tc>
        <w:tc>
          <w:tcPr>
            <w:tcW w:w="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00" w:type="dxa"/>
            <w:vAlign w:val="bottom"/>
            <w:gridSpan w:val="2"/>
          </w:tcPr>
          <w:p>
            <w:pPr>
              <w:jc w:val="center"/>
              <w:spacing w:after="0"/>
              <w:rPr>
                <w:sz w:val="20"/>
                <w:szCs w:val="20"/>
                <w:color w:val="auto"/>
              </w:rPr>
            </w:pPr>
            <w:r>
              <w:rPr>
                <w:rFonts w:ascii="Arial" w:cs="Arial" w:eastAsia="Arial" w:hAnsi="Arial"/>
                <w:sz w:val="14"/>
                <w:szCs w:val="14"/>
                <w:b w:val="1"/>
                <w:bCs w:val="1"/>
                <w:color w:val="auto"/>
                <w:w w:val="90"/>
              </w:rPr>
              <w:t>Dec. 31, 2015</w:t>
            </w:r>
          </w:p>
        </w:tc>
        <w:tc>
          <w:tcPr>
            <w:tcW w:w="0" w:type="dxa"/>
            <w:vAlign w:val="bottom"/>
          </w:tcPr>
          <w:p>
            <w:pPr>
              <w:spacing w:after="0"/>
              <w:rPr>
                <w:sz w:val="1"/>
                <w:szCs w:val="1"/>
                <w:color w:val="auto"/>
              </w:rPr>
            </w:pPr>
          </w:p>
        </w:tc>
      </w:tr>
      <w:tr>
        <w:trPr>
          <w:trHeight w:val="149"/>
        </w:trPr>
        <w:tc>
          <w:tcPr>
            <w:tcW w:w="4380" w:type="dxa"/>
            <w:vAlign w:val="bottom"/>
            <w:vMerge w:val="restart"/>
          </w:tcPr>
          <w:p>
            <w:pPr>
              <w:ind w:left="1300"/>
              <w:spacing w:after="0"/>
              <w:rPr>
                <w:sz w:val="20"/>
                <w:szCs w:val="20"/>
                <w:color w:val="auto"/>
              </w:rPr>
            </w:pPr>
            <w:r>
              <w:rPr>
                <w:rFonts w:ascii="Arial" w:cs="Arial" w:eastAsia="Arial" w:hAnsi="Arial"/>
                <w:sz w:val="14"/>
                <w:szCs w:val="14"/>
                <w:b w:val="1"/>
                <w:bCs w:val="1"/>
                <w:color w:val="auto"/>
              </w:rPr>
              <w:t xml:space="preserve">Interest Rate/Security Price </w:t>
            </w:r>
            <w:r>
              <w:rPr>
                <w:rFonts w:ascii="Arial" w:cs="Arial" w:eastAsia="Arial" w:hAnsi="Arial"/>
                <w:sz w:val="8"/>
                <w:szCs w:val="8"/>
                <w:b w:val="1"/>
                <w:bCs w:val="1"/>
                <w:color w:val="auto"/>
              </w:rPr>
              <w:t>1</w:t>
            </w:r>
          </w:p>
        </w:tc>
        <w:tc>
          <w:tcPr>
            <w:tcW w:w="120" w:type="dxa"/>
            <w:vAlign w:val="bottom"/>
            <w:vMerge w:val="restart"/>
          </w:tcPr>
          <w:p>
            <w:pPr>
              <w:spacing w:after="0"/>
              <w:rPr>
                <w:sz w:val="12"/>
                <w:szCs w:val="12"/>
                <w:color w:val="auto"/>
              </w:rPr>
            </w:pPr>
          </w:p>
        </w:tc>
        <w:tc>
          <w:tcPr>
            <w:tcW w:w="860" w:type="dxa"/>
            <w:vAlign w:val="bottom"/>
            <w:vMerge w:val="restart"/>
          </w:tcPr>
          <w:p>
            <w:pPr>
              <w:ind w:left="20"/>
              <w:spacing w:after="0"/>
              <w:rPr>
                <w:sz w:val="20"/>
                <w:szCs w:val="20"/>
                <w:color w:val="auto"/>
              </w:rPr>
            </w:pPr>
            <w:r>
              <w:rPr>
                <w:rFonts w:ascii="Arial" w:cs="Arial" w:eastAsia="Arial" w:hAnsi="Arial"/>
                <w:sz w:val="14"/>
                <w:szCs w:val="14"/>
                <w:b w:val="1"/>
                <w:bCs w:val="1"/>
                <w:color w:val="auto"/>
                <w:w w:val="93"/>
              </w:rPr>
              <w:t>Dec. 31, 2014</w:t>
            </w:r>
          </w:p>
        </w:tc>
        <w:tc>
          <w:tcPr>
            <w:tcW w:w="140" w:type="dxa"/>
            <w:vAlign w:val="bottom"/>
            <w:vMerge w:val="restart"/>
          </w:tcPr>
          <w:p>
            <w:pPr>
              <w:spacing w:after="0"/>
              <w:rPr>
                <w:sz w:val="12"/>
                <w:szCs w:val="12"/>
                <w:color w:val="auto"/>
              </w:rPr>
            </w:pPr>
          </w:p>
        </w:tc>
        <w:tc>
          <w:tcPr>
            <w:tcW w:w="980" w:type="dxa"/>
            <w:vAlign w:val="bottom"/>
            <w:gridSpan w:val="2"/>
            <w:vMerge w:val="continue"/>
          </w:tcPr>
          <w:p>
            <w:pPr>
              <w:spacing w:after="0"/>
              <w:rPr>
                <w:sz w:val="12"/>
                <w:szCs w:val="12"/>
                <w:color w:val="auto"/>
              </w:rPr>
            </w:pPr>
          </w:p>
        </w:tc>
        <w:tc>
          <w:tcPr>
            <w:tcW w:w="960" w:type="dxa"/>
            <w:vAlign w:val="bottom"/>
            <w:gridSpan w:val="2"/>
            <w:vMerge w:val="continue"/>
          </w:tcPr>
          <w:p>
            <w:pPr>
              <w:spacing w:after="0"/>
              <w:rPr>
                <w:sz w:val="12"/>
                <w:szCs w:val="12"/>
                <w:color w:val="auto"/>
              </w:rPr>
            </w:pPr>
          </w:p>
        </w:tc>
        <w:tc>
          <w:tcPr>
            <w:tcW w:w="980" w:type="dxa"/>
            <w:vAlign w:val="bottom"/>
            <w:gridSpan w:val="2"/>
            <w:vMerge w:val="continue"/>
          </w:tcPr>
          <w:p>
            <w:pPr>
              <w:spacing w:after="0"/>
              <w:rPr>
                <w:sz w:val="12"/>
                <w:szCs w:val="12"/>
                <w:color w:val="auto"/>
              </w:rPr>
            </w:pPr>
          </w:p>
        </w:tc>
        <w:tc>
          <w:tcPr>
            <w:tcW w:w="860" w:type="dxa"/>
            <w:vAlign w:val="bottom"/>
            <w:vMerge w:val="restart"/>
          </w:tcPr>
          <w:p>
            <w:pPr>
              <w:ind w:left="40"/>
              <w:spacing w:after="0"/>
              <w:rPr>
                <w:sz w:val="20"/>
                <w:szCs w:val="20"/>
                <w:color w:val="auto"/>
              </w:rPr>
            </w:pPr>
            <w:r>
              <w:rPr>
                <w:rFonts w:ascii="Arial" w:cs="Arial" w:eastAsia="Arial" w:hAnsi="Arial"/>
                <w:sz w:val="14"/>
                <w:szCs w:val="14"/>
                <w:b w:val="1"/>
                <w:bCs w:val="1"/>
                <w:color w:val="auto"/>
                <w:w w:val="90"/>
              </w:rPr>
              <w:t>Dec. 31, 2015</w:t>
            </w:r>
          </w:p>
        </w:tc>
        <w:tc>
          <w:tcPr>
            <w:tcW w:w="120" w:type="dxa"/>
            <w:vAlign w:val="bottom"/>
            <w:vMerge w:val="restart"/>
          </w:tcPr>
          <w:p>
            <w:pPr>
              <w:spacing w:after="0"/>
              <w:rPr>
                <w:sz w:val="12"/>
                <w:szCs w:val="12"/>
                <w:color w:val="auto"/>
              </w:rPr>
            </w:pPr>
          </w:p>
        </w:tc>
        <w:tc>
          <w:tcPr>
            <w:tcW w:w="680" w:type="dxa"/>
            <w:vAlign w:val="bottom"/>
          </w:tcPr>
          <w:p>
            <w:pPr>
              <w:spacing w:after="0"/>
              <w:rPr>
                <w:sz w:val="12"/>
                <w:szCs w:val="12"/>
                <w:color w:val="auto"/>
              </w:rPr>
            </w:pPr>
          </w:p>
        </w:tc>
        <w:tc>
          <w:tcPr>
            <w:tcW w:w="820" w:type="dxa"/>
            <w:vAlign w:val="bottom"/>
          </w:tcPr>
          <w:p>
            <w:pPr>
              <w:jc w:val="center"/>
              <w:ind w:right="588"/>
              <w:spacing w:after="0" w:line="149" w:lineRule="exact"/>
              <w:rPr>
                <w:sz w:val="20"/>
                <w:szCs w:val="20"/>
                <w:color w:val="auto"/>
              </w:rPr>
            </w:pPr>
            <w:r>
              <w:rPr>
                <w:rFonts w:ascii="Arial" w:cs="Arial" w:eastAsia="Arial" w:hAnsi="Arial"/>
                <w:sz w:val="14"/>
                <w:szCs w:val="14"/>
                <w:b w:val="1"/>
                <w:bCs w:val="1"/>
                <w:color w:val="auto"/>
                <w:w w:val="76"/>
              </w:rPr>
              <w:t>vs</w:t>
            </w:r>
          </w:p>
        </w:tc>
        <w:tc>
          <w:tcPr>
            <w:tcW w:w="0" w:type="dxa"/>
            <w:vAlign w:val="bottom"/>
          </w:tcPr>
          <w:p>
            <w:pPr>
              <w:spacing w:after="0"/>
              <w:rPr>
                <w:sz w:val="1"/>
                <w:szCs w:val="1"/>
                <w:color w:val="auto"/>
              </w:rPr>
            </w:pPr>
          </w:p>
        </w:tc>
      </w:tr>
      <w:tr>
        <w:trPr>
          <w:trHeight w:val="192"/>
        </w:trPr>
        <w:tc>
          <w:tcPr>
            <w:tcW w:w="43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860" w:type="dxa"/>
            <w:vAlign w:val="bottom"/>
            <w:tcBorders>
              <w:bottom w:val="single" w:sz="8" w:color="auto"/>
            </w:tcBorders>
            <w:vMerge w:val="continue"/>
          </w:tcPr>
          <w:p>
            <w:pPr>
              <w:spacing w:after="0"/>
              <w:rPr>
                <w:sz w:val="16"/>
                <w:szCs w:val="16"/>
                <w:color w:val="auto"/>
              </w:rPr>
            </w:pPr>
          </w:p>
        </w:tc>
        <w:tc>
          <w:tcPr>
            <w:tcW w:w="140" w:type="dxa"/>
            <w:vAlign w:val="bottom"/>
            <w:tcBorders>
              <w:bottom w:val="single" w:sz="8" w:color="CCEEFF"/>
            </w:tcBorders>
            <w:vMerge w:val="continue"/>
          </w:tcPr>
          <w:p>
            <w:pPr>
              <w:spacing w:after="0"/>
              <w:rPr>
                <w:sz w:val="16"/>
                <w:szCs w:val="16"/>
                <w:color w:val="auto"/>
              </w:rPr>
            </w:pPr>
          </w:p>
        </w:tc>
        <w:tc>
          <w:tcPr>
            <w:tcW w:w="8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2015</w:t>
            </w:r>
          </w:p>
        </w:tc>
        <w:tc>
          <w:tcPr>
            <w:tcW w:w="120" w:type="dxa"/>
            <w:vAlign w:val="bottom"/>
            <w:tcBorders>
              <w:bottom w:val="single" w:sz="8" w:color="CCEEFF"/>
            </w:tcBorders>
          </w:tcPr>
          <w:p>
            <w:pPr>
              <w:spacing w:after="0"/>
              <w:rPr>
                <w:sz w:val="16"/>
                <w:szCs w:val="16"/>
                <w:color w:val="auto"/>
              </w:rPr>
            </w:pPr>
          </w:p>
        </w:tc>
        <w:tc>
          <w:tcPr>
            <w:tcW w:w="8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2015</w:t>
            </w:r>
          </w:p>
        </w:tc>
        <w:tc>
          <w:tcPr>
            <w:tcW w:w="100" w:type="dxa"/>
            <w:vAlign w:val="bottom"/>
            <w:tcBorders>
              <w:bottom w:val="single" w:sz="8" w:color="CCEEFF"/>
            </w:tcBorders>
          </w:tcPr>
          <w:p>
            <w:pPr>
              <w:spacing w:after="0"/>
              <w:rPr>
                <w:sz w:val="16"/>
                <w:szCs w:val="16"/>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2015</w:t>
            </w:r>
          </w:p>
        </w:tc>
        <w:tc>
          <w:tcPr>
            <w:tcW w:w="100" w:type="dxa"/>
            <w:vAlign w:val="bottom"/>
            <w:tcBorders>
              <w:bottom w:val="single" w:sz="8" w:color="CCEEFF"/>
            </w:tcBorders>
          </w:tcPr>
          <w:p>
            <w:pPr>
              <w:spacing w:after="0"/>
              <w:rPr>
                <w:sz w:val="16"/>
                <w:szCs w:val="16"/>
                <w:color w:val="auto"/>
              </w:rPr>
            </w:pPr>
          </w:p>
        </w:tc>
        <w:tc>
          <w:tcPr>
            <w:tcW w:w="8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5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0"/>
              </w:rPr>
              <w:t>Dec. 31, 2014</w:t>
            </w:r>
          </w:p>
        </w:tc>
        <w:tc>
          <w:tcPr>
            <w:tcW w:w="0" w:type="dxa"/>
            <w:vAlign w:val="bottom"/>
          </w:tcPr>
          <w:p>
            <w:pPr>
              <w:spacing w:after="0"/>
              <w:rPr>
                <w:sz w:val="1"/>
                <w:szCs w:val="1"/>
                <w:color w:val="auto"/>
              </w:rPr>
            </w:pPr>
          </w:p>
        </w:tc>
      </w:tr>
      <w:tr>
        <w:trPr>
          <w:trHeight w:val="270"/>
        </w:trPr>
        <w:tc>
          <w:tcPr>
            <w:tcW w:w="450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LIBOR:</w:t>
            </w:r>
          </w:p>
        </w:tc>
        <w:tc>
          <w:tcPr>
            <w:tcW w:w="86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c>
          <w:tcPr>
            <w:tcW w:w="82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500" w:type="dxa"/>
            <w:vAlign w:val="bottom"/>
            <w:gridSpan w:val="2"/>
          </w:tcPr>
          <w:p>
            <w:pPr>
              <w:ind w:left="200"/>
              <w:spacing w:after="0"/>
              <w:rPr>
                <w:sz w:val="20"/>
                <w:szCs w:val="20"/>
                <w:color w:val="auto"/>
              </w:rPr>
            </w:pPr>
            <w:r>
              <w:rPr>
                <w:rFonts w:ascii="Arial" w:cs="Arial" w:eastAsia="Arial" w:hAnsi="Arial"/>
                <w:sz w:val="14"/>
                <w:szCs w:val="14"/>
                <w:color w:val="auto"/>
              </w:rPr>
              <w:t>1-Month</w:t>
            </w: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0.17%</w:t>
            </w:r>
          </w:p>
        </w:tc>
        <w:tc>
          <w:tcPr>
            <w:tcW w:w="14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0.18%</w:t>
            </w:r>
          </w:p>
        </w:tc>
        <w:tc>
          <w:tcPr>
            <w:tcW w:w="12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0.19%</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0"/>
              </w:rPr>
              <w:t>0.19%</w:t>
            </w:r>
          </w:p>
        </w:tc>
        <w:tc>
          <w:tcPr>
            <w:tcW w:w="10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0.43%</w:t>
            </w:r>
          </w:p>
        </w:tc>
        <w:tc>
          <w:tcPr>
            <w:tcW w:w="12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+0.26</w:t>
            </w:r>
          </w:p>
        </w:tc>
        <w:tc>
          <w:tcPr>
            <w:tcW w:w="820" w:type="dxa"/>
            <w:vAlign w:val="bottom"/>
          </w:tcPr>
          <w:p>
            <w:pPr>
              <w:ind w:left="10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76"/>
        </w:trPr>
        <w:tc>
          <w:tcPr>
            <w:tcW w:w="450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3-Month</w:t>
            </w: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0.26%</w:t>
            </w: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0.27%</w:t>
            </w: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0.28%</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0.33%</w:t>
            </w: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0.61%</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+0.35</w:t>
            </w:r>
          </w:p>
        </w:tc>
        <w:tc>
          <w:tcPr>
            <w:tcW w:w="820" w:type="dxa"/>
            <w:vAlign w:val="bottom"/>
            <w:shd w:val="clear" w:color="auto" w:fill="CCEEFF"/>
          </w:tcPr>
          <w:p>
            <w:pPr>
              <w:ind w:left="10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64"/>
        </w:trPr>
        <w:tc>
          <w:tcPr>
            <w:tcW w:w="4500" w:type="dxa"/>
            <w:vAlign w:val="bottom"/>
            <w:gridSpan w:val="2"/>
          </w:tcPr>
          <w:p>
            <w:pPr>
              <w:ind w:left="200"/>
              <w:spacing w:after="0"/>
              <w:rPr>
                <w:sz w:val="20"/>
                <w:szCs w:val="20"/>
                <w:color w:val="auto"/>
              </w:rPr>
            </w:pPr>
            <w:r>
              <w:rPr>
                <w:rFonts w:ascii="Arial" w:cs="Arial" w:eastAsia="Arial" w:hAnsi="Arial"/>
                <w:sz w:val="14"/>
                <w:szCs w:val="14"/>
                <w:color w:val="auto"/>
              </w:rPr>
              <w:t>6-Month</w:t>
            </w: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0.36%</w:t>
            </w:r>
          </w:p>
        </w:tc>
        <w:tc>
          <w:tcPr>
            <w:tcW w:w="14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0.40%</w:t>
            </w:r>
          </w:p>
        </w:tc>
        <w:tc>
          <w:tcPr>
            <w:tcW w:w="12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0.44%</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0"/>
              </w:rPr>
              <w:t>0.53%</w:t>
            </w:r>
          </w:p>
        </w:tc>
        <w:tc>
          <w:tcPr>
            <w:tcW w:w="10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0.85%</w:t>
            </w:r>
          </w:p>
        </w:tc>
        <w:tc>
          <w:tcPr>
            <w:tcW w:w="12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+0.49</w:t>
            </w:r>
          </w:p>
        </w:tc>
        <w:tc>
          <w:tcPr>
            <w:tcW w:w="820" w:type="dxa"/>
            <w:vAlign w:val="bottom"/>
          </w:tcPr>
          <w:p>
            <w:pPr>
              <w:ind w:left="10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76"/>
        </w:trPr>
        <w:tc>
          <w:tcPr>
            <w:tcW w:w="450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U.S. Treasury Security Rate:</w:t>
            </w:r>
          </w:p>
        </w:tc>
        <w:tc>
          <w:tcPr>
            <w:tcW w:w="8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500" w:type="dxa"/>
            <w:vAlign w:val="bottom"/>
            <w:gridSpan w:val="2"/>
          </w:tcPr>
          <w:p>
            <w:pPr>
              <w:ind w:left="200"/>
              <w:spacing w:after="0"/>
              <w:rPr>
                <w:sz w:val="20"/>
                <w:szCs w:val="20"/>
                <w:color w:val="auto"/>
              </w:rPr>
            </w:pPr>
            <w:r>
              <w:rPr>
                <w:rFonts w:ascii="Arial" w:cs="Arial" w:eastAsia="Arial" w:hAnsi="Arial"/>
                <w:sz w:val="14"/>
                <w:szCs w:val="14"/>
                <w:color w:val="auto"/>
              </w:rPr>
              <w:t>2-Year U.S. Treasury</w:t>
            </w: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0.67%</w:t>
            </w:r>
          </w:p>
        </w:tc>
        <w:tc>
          <w:tcPr>
            <w:tcW w:w="14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0.56%</w:t>
            </w:r>
          </w:p>
        </w:tc>
        <w:tc>
          <w:tcPr>
            <w:tcW w:w="12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0.64%</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0"/>
              </w:rPr>
              <w:t>0.64%</w:t>
            </w:r>
          </w:p>
        </w:tc>
        <w:tc>
          <w:tcPr>
            <w:tcW w:w="10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1.06%</w:t>
            </w:r>
          </w:p>
        </w:tc>
        <w:tc>
          <w:tcPr>
            <w:tcW w:w="12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+0.39</w:t>
            </w:r>
          </w:p>
        </w:tc>
        <w:tc>
          <w:tcPr>
            <w:tcW w:w="820" w:type="dxa"/>
            <w:vAlign w:val="bottom"/>
          </w:tcPr>
          <w:p>
            <w:pPr>
              <w:ind w:left="10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76"/>
        </w:trPr>
        <w:tc>
          <w:tcPr>
            <w:tcW w:w="450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3-Year U.S. Treasury</w:t>
            </w: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1.08%</w:t>
            </w: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0.88%</w:t>
            </w: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0.99%</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0.92%</w:t>
            </w: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1.32%</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+0.24</w:t>
            </w:r>
          </w:p>
        </w:tc>
        <w:tc>
          <w:tcPr>
            <w:tcW w:w="820" w:type="dxa"/>
            <w:vAlign w:val="bottom"/>
            <w:shd w:val="clear" w:color="auto" w:fill="CCEEFF"/>
          </w:tcPr>
          <w:p>
            <w:pPr>
              <w:ind w:left="10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64"/>
        </w:trPr>
        <w:tc>
          <w:tcPr>
            <w:tcW w:w="4500" w:type="dxa"/>
            <w:vAlign w:val="bottom"/>
            <w:gridSpan w:val="2"/>
          </w:tcPr>
          <w:p>
            <w:pPr>
              <w:ind w:left="200"/>
              <w:spacing w:after="0"/>
              <w:rPr>
                <w:sz w:val="20"/>
                <w:szCs w:val="20"/>
                <w:color w:val="auto"/>
              </w:rPr>
            </w:pPr>
            <w:r>
              <w:rPr>
                <w:rFonts w:ascii="Arial" w:cs="Arial" w:eastAsia="Arial" w:hAnsi="Arial"/>
                <w:sz w:val="14"/>
                <w:szCs w:val="14"/>
                <w:color w:val="auto"/>
              </w:rPr>
              <w:t>5-Year U.S. Treasury</w:t>
            </w: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1.65%</w:t>
            </w:r>
          </w:p>
        </w:tc>
        <w:tc>
          <w:tcPr>
            <w:tcW w:w="14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1.37%</w:t>
            </w:r>
          </w:p>
        </w:tc>
        <w:tc>
          <w:tcPr>
            <w:tcW w:w="12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1.63%</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0"/>
              </w:rPr>
              <w:t>1.37%</w:t>
            </w:r>
          </w:p>
        </w:tc>
        <w:tc>
          <w:tcPr>
            <w:tcW w:w="10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1.77%</w:t>
            </w:r>
          </w:p>
        </w:tc>
        <w:tc>
          <w:tcPr>
            <w:tcW w:w="12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+0.12</w:t>
            </w:r>
          </w:p>
        </w:tc>
        <w:tc>
          <w:tcPr>
            <w:tcW w:w="820" w:type="dxa"/>
            <w:vAlign w:val="bottom"/>
          </w:tcPr>
          <w:p>
            <w:pPr>
              <w:ind w:left="10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76"/>
        </w:trPr>
        <w:tc>
          <w:tcPr>
            <w:tcW w:w="450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10-Year U.S. Treasury</w:t>
            </w: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2.17%</w:t>
            </w: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1.93%</w:t>
            </w: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2.33%</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2.06%</w:t>
            </w: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2.27%</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+0.10</w:t>
            </w:r>
          </w:p>
        </w:tc>
        <w:tc>
          <w:tcPr>
            <w:tcW w:w="820" w:type="dxa"/>
            <w:vAlign w:val="bottom"/>
            <w:shd w:val="clear" w:color="auto" w:fill="CCEEFF"/>
          </w:tcPr>
          <w:p>
            <w:pPr>
              <w:ind w:left="10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64"/>
        </w:trPr>
        <w:tc>
          <w:tcPr>
            <w:tcW w:w="4500" w:type="dxa"/>
            <w:vAlign w:val="bottom"/>
            <w:gridSpan w:val="2"/>
          </w:tcPr>
          <w:p>
            <w:pPr>
              <w:ind w:left="200"/>
              <w:spacing w:after="0"/>
              <w:rPr>
                <w:sz w:val="20"/>
                <w:szCs w:val="20"/>
                <w:color w:val="auto"/>
              </w:rPr>
            </w:pPr>
            <w:r>
              <w:rPr>
                <w:rFonts w:ascii="Arial" w:cs="Arial" w:eastAsia="Arial" w:hAnsi="Arial"/>
                <w:sz w:val="14"/>
                <w:szCs w:val="14"/>
                <w:color w:val="auto"/>
              </w:rPr>
              <w:t>30-Year U.S. Treasury</w:t>
            </w: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2.75%</w:t>
            </w:r>
          </w:p>
        </w:tc>
        <w:tc>
          <w:tcPr>
            <w:tcW w:w="14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2.54%</w:t>
            </w:r>
          </w:p>
        </w:tc>
        <w:tc>
          <w:tcPr>
            <w:tcW w:w="12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3.10%</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0"/>
              </w:rPr>
              <w:t>2.88%</w:t>
            </w:r>
          </w:p>
        </w:tc>
        <w:tc>
          <w:tcPr>
            <w:tcW w:w="10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3.01%</w:t>
            </w:r>
          </w:p>
        </w:tc>
        <w:tc>
          <w:tcPr>
            <w:tcW w:w="12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+0.26</w:t>
            </w:r>
          </w:p>
        </w:tc>
        <w:tc>
          <w:tcPr>
            <w:tcW w:w="820" w:type="dxa"/>
            <w:vAlign w:val="bottom"/>
          </w:tcPr>
          <w:p>
            <w:pPr>
              <w:ind w:left="10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76"/>
        </w:trPr>
        <w:tc>
          <w:tcPr>
            <w:tcW w:w="450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Interest Rate Swap Rate:</w:t>
            </w:r>
          </w:p>
        </w:tc>
        <w:tc>
          <w:tcPr>
            <w:tcW w:w="8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500" w:type="dxa"/>
            <w:vAlign w:val="bottom"/>
            <w:gridSpan w:val="2"/>
          </w:tcPr>
          <w:p>
            <w:pPr>
              <w:ind w:left="200"/>
              <w:spacing w:after="0"/>
              <w:rPr>
                <w:sz w:val="20"/>
                <w:szCs w:val="20"/>
                <w:color w:val="auto"/>
              </w:rPr>
            </w:pPr>
            <w:r>
              <w:rPr>
                <w:rFonts w:ascii="Arial" w:cs="Arial" w:eastAsia="Arial" w:hAnsi="Arial"/>
                <w:sz w:val="14"/>
                <w:szCs w:val="14"/>
                <w:color w:val="auto"/>
              </w:rPr>
              <w:t>2-Year Swap</w:t>
            </w: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0.89%</w:t>
            </w:r>
          </w:p>
        </w:tc>
        <w:tc>
          <w:tcPr>
            <w:tcW w:w="14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0.81%</w:t>
            </w:r>
          </w:p>
        </w:tc>
        <w:tc>
          <w:tcPr>
            <w:tcW w:w="12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0.89%</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0"/>
              </w:rPr>
              <w:t>0.76%</w:t>
            </w:r>
          </w:p>
        </w:tc>
        <w:tc>
          <w:tcPr>
            <w:tcW w:w="10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1.17%</w:t>
            </w:r>
          </w:p>
        </w:tc>
        <w:tc>
          <w:tcPr>
            <w:tcW w:w="12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+0.28</w:t>
            </w:r>
          </w:p>
        </w:tc>
        <w:tc>
          <w:tcPr>
            <w:tcW w:w="820" w:type="dxa"/>
            <w:vAlign w:val="bottom"/>
          </w:tcPr>
          <w:p>
            <w:pPr>
              <w:ind w:left="10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76"/>
        </w:trPr>
        <w:tc>
          <w:tcPr>
            <w:tcW w:w="450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3-Year Swap</w:t>
            </w: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1.29%</w:t>
            </w: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1.11%</w:t>
            </w: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1.24%</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0.99%</w:t>
            </w: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1.41%</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+0.12</w:t>
            </w:r>
          </w:p>
        </w:tc>
        <w:tc>
          <w:tcPr>
            <w:tcW w:w="820" w:type="dxa"/>
            <w:vAlign w:val="bottom"/>
            <w:shd w:val="clear" w:color="auto" w:fill="CCEEFF"/>
          </w:tcPr>
          <w:p>
            <w:pPr>
              <w:ind w:left="10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64"/>
        </w:trPr>
        <w:tc>
          <w:tcPr>
            <w:tcW w:w="4500" w:type="dxa"/>
            <w:vAlign w:val="bottom"/>
            <w:gridSpan w:val="2"/>
          </w:tcPr>
          <w:p>
            <w:pPr>
              <w:ind w:left="200"/>
              <w:spacing w:after="0"/>
              <w:rPr>
                <w:sz w:val="20"/>
                <w:szCs w:val="20"/>
                <w:color w:val="auto"/>
              </w:rPr>
            </w:pPr>
            <w:r>
              <w:rPr>
                <w:rFonts w:ascii="Arial" w:cs="Arial" w:eastAsia="Arial" w:hAnsi="Arial"/>
                <w:sz w:val="14"/>
                <w:szCs w:val="14"/>
                <w:color w:val="auto"/>
              </w:rPr>
              <w:t>5-Year Swap</w:t>
            </w: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1.77%</w:t>
            </w:r>
          </w:p>
        </w:tc>
        <w:tc>
          <w:tcPr>
            <w:tcW w:w="14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1.53%</w:t>
            </w:r>
          </w:p>
        </w:tc>
        <w:tc>
          <w:tcPr>
            <w:tcW w:w="12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1.77%</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0"/>
              </w:rPr>
              <w:t>1.40%</w:t>
            </w:r>
          </w:p>
        </w:tc>
        <w:tc>
          <w:tcPr>
            <w:tcW w:w="10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1.73%</w:t>
            </w:r>
          </w:p>
        </w:tc>
        <w:tc>
          <w:tcPr>
            <w:tcW w:w="12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-0.04</w:t>
            </w:r>
          </w:p>
        </w:tc>
        <w:tc>
          <w:tcPr>
            <w:tcW w:w="820" w:type="dxa"/>
            <w:vAlign w:val="bottom"/>
          </w:tcPr>
          <w:p>
            <w:pPr>
              <w:ind w:left="10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76"/>
        </w:trPr>
        <w:tc>
          <w:tcPr>
            <w:tcW w:w="450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10-Year Swap</w:t>
            </w: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2.29%</w:t>
            </w: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2.03%</w:t>
            </w: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2.44%</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2.01%</w:t>
            </w: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2.19%</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-0.10</w:t>
            </w:r>
          </w:p>
        </w:tc>
        <w:tc>
          <w:tcPr>
            <w:tcW w:w="820" w:type="dxa"/>
            <w:vAlign w:val="bottom"/>
            <w:shd w:val="clear" w:color="auto" w:fill="CCEEFF"/>
          </w:tcPr>
          <w:p>
            <w:pPr>
              <w:ind w:left="10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64"/>
        </w:trPr>
        <w:tc>
          <w:tcPr>
            <w:tcW w:w="4500" w:type="dxa"/>
            <w:vAlign w:val="bottom"/>
            <w:gridSpan w:val="2"/>
          </w:tcPr>
          <w:p>
            <w:pPr>
              <w:ind w:left="200"/>
              <w:spacing w:after="0"/>
              <w:rPr>
                <w:sz w:val="20"/>
                <w:szCs w:val="20"/>
                <w:color w:val="auto"/>
              </w:rPr>
            </w:pPr>
            <w:r>
              <w:rPr>
                <w:rFonts w:ascii="Arial" w:cs="Arial" w:eastAsia="Arial" w:hAnsi="Arial"/>
                <w:sz w:val="14"/>
                <w:szCs w:val="14"/>
                <w:color w:val="auto"/>
              </w:rPr>
              <w:t>30-Year Swap</w:t>
            </w: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2.70%</w:t>
            </w:r>
          </w:p>
        </w:tc>
        <w:tc>
          <w:tcPr>
            <w:tcW w:w="14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2.39%</w:t>
            </w:r>
          </w:p>
        </w:tc>
        <w:tc>
          <w:tcPr>
            <w:tcW w:w="12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2.92%</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0"/>
              </w:rPr>
              <w:t>2.53%</w:t>
            </w:r>
          </w:p>
        </w:tc>
        <w:tc>
          <w:tcPr>
            <w:tcW w:w="10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5"/>
              </w:rPr>
              <w:t>2.62%</w:t>
            </w:r>
          </w:p>
        </w:tc>
        <w:tc>
          <w:tcPr>
            <w:tcW w:w="12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-0.08</w:t>
            </w:r>
          </w:p>
        </w:tc>
        <w:tc>
          <w:tcPr>
            <w:tcW w:w="820" w:type="dxa"/>
            <w:vAlign w:val="bottom"/>
          </w:tcPr>
          <w:p>
            <w:pPr>
              <w:ind w:left="10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76"/>
        </w:trPr>
        <w:tc>
          <w:tcPr>
            <w:tcW w:w="450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30-Year Fixed Rate MBS Price:</w:t>
            </w:r>
          </w:p>
        </w:tc>
        <w:tc>
          <w:tcPr>
            <w:tcW w:w="8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380" w:type="dxa"/>
            <w:vAlign w:val="bottom"/>
          </w:tcPr>
          <w:p>
            <w:pPr>
              <w:ind w:left="200"/>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0"/>
              </w:rPr>
              <w:t>$101.22</w:t>
            </w:r>
          </w:p>
        </w:tc>
        <w:tc>
          <w:tcPr>
            <w:tcW w:w="14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0"/>
              </w:rPr>
              <w:t>$102.25</w:t>
            </w:r>
          </w:p>
        </w:tc>
        <w:tc>
          <w:tcPr>
            <w:tcW w:w="12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88"/>
              </w:rPr>
              <w:t>$99.58</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4"/>
              </w:rPr>
              <w:t>$101.34</w:t>
            </w:r>
          </w:p>
        </w:tc>
        <w:tc>
          <w:tcPr>
            <w:tcW w:w="10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0"/>
              </w:rPr>
              <w:t>$100.01</w:t>
            </w:r>
          </w:p>
        </w:tc>
        <w:tc>
          <w:tcPr>
            <w:tcW w:w="120" w:type="dxa"/>
            <w:vAlign w:val="bottom"/>
          </w:tcPr>
          <w:p>
            <w:pPr>
              <w:spacing w:after="0"/>
              <w:rPr>
                <w:sz w:val="22"/>
                <w:szCs w:val="22"/>
                <w:color w:val="auto"/>
              </w:rPr>
            </w:pPr>
          </w:p>
        </w:tc>
        <w:tc>
          <w:tcPr>
            <w:tcW w:w="1500" w:type="dxa"/>
            <w:vAlign w:val="bottom"/>
            <w:gridSpan w:val="2"/>
          </w:tcPr>
          <w:p>
            <w:pPr>
              <w:jc w:val="center"/>
              <w:spacing w:after="0"/>
              <w:rPr>
                <w:sz w:val="20"/>
                <w:szCs w:val="20"/>
                <w:color w:val="auto"/>
              </w:rPr>
            </w:pPr>
            <w:r>
              <w:rPr>
                <w:rFonts w:ascii="Arial" w:cs="Arial" w:eastAsia="Arial" w:hAnsi="Arial"/>
                <w:sz w:val="14"/>
                <w:szCs w:val="14"/>
                <w:color w:val="auto"/>
                <w:w w:val="90"/>
              </w:rPr>
              <w:t>-$1.21</w:t>
            </w:r>
          </w:p>
        </w:tc>
        <w:tc>
          <w:tcPr>
            <w:tcW w:w="0" w:type="dxa"/>
            <w:vAlign w:val="bottom"/>
          </w:tcPr>
          <w:p>
            <w:pPr>
              <w:spacing w:after="0"/>
              <w:rPr>
                <w:sz w:val="1"/>
                <w:szCs w:val="1"/>
                <w:color w:val="auto"/>
              </w:rPr>
            </w:pPr>
          </w:p>
        </w:tc>
      </w:tr>
      <w:tr>
        <w:trPr>
          <w:trHeight w:val="276"/>
        </w:trPr>
        <w:tc>
          <w:tcPr>
            <w:tcW w:w="43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$104.28</w:t>
            </w: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$105.05</w:t>
            </w: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$103.02</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$104.31</w:t>
            </w: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$103.18</w:t>
            </w:r>
          </w:p>
        </w:tc>
        <w:tc>
          <w:tcPr>
            <w:tcW w:w="120" w:type="dxa"/>
            <w:vAlign w:val="bottom"/>
            <w:shd w:val="clear" w:color="auto" w:fill="CCEEFF"/>
          </w:tcPr>
          <w:p>
            <w:pPr>
              <w:spacing w:after="0"/>
              <w:rPr>
                <w:sz w:val="24"/>
                <w:szCs w:val="24"/>
                <w:color w:val="auto"/>
              </w:rPr>
            </w:pPr>
          </w:p>
        </w:tc>
        <w:tc>
          <w:tcPr>
            <w:tcW w:w="15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-$1.10</w:t>
            </w:r>
          </w:p>
        </w:tc>
        <w:tc>
          <w:tcPr>
            <w:tcW w:w="0" w:type="dxa"/>
            <w:vAlign w:val="bottom"/>
          </w:tcPr>
          <w:p>
            <w:pPr>
              <w:spacing w:after="0"/>
              <w:rPr>
                <w:sz w:val="1"/>
                <w:szCs w:val="1"/>
                <w:color w:val="auto"/>
              </w:rPr>
            </w:pPr>
          </w:p>
        </w:tc>
      </w:tr>
      <w:tr>
        <w:trPr>
          <w:trHeight w:val="264"/>
        </w:trPr>
        <w:tc>
          <w:tcPr>
            <w:tcW w:w="4380" w:type="dxa"/>
            <w:vAlign w:val="bottom"/>
          </w:tcPr>
          <w:p>
            <w:pPr>
              <w:ind w:left="20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0"/>
              </w:rPr>
              <w:t>$106.75</w:t>
            </w:r>
          </w:p>
        </w:tc>
        <w:tc>
          <w:tcPr>
            <w:tcW w:w="14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0"/>
              </w:rPr>
              <w:t>$106.92</w:t>
            </w:r>
          </w:p>
        </w:tc>
        <w:tc>
          <w:tcPr>
            <w:tcW w:w="12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0"/>
              </w:rPr>
              <w:t>$105.91</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4"/>
              </w:rPr>
              <w:t>$106.67</w:t>
            </w:r>
          </w:p>
        </w:tc>
        <w:tc>
          <w:tcPr>
            <w:tcW w:w="10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0"/>
              </w:rPr>
              <w:t>$105.83</w:t>
            </w:r>
          </w:p>
        </w:tc>
        <w:tc>
          <w:tcPr>
            <w:tcW w:w="120" w:type="dxa"/>
            <w:vAlign w:val="bottom"/>
          </w:tcPr>
          <w:p>
            <w:pPr>
              <w:spacing w:after="0"/>
              <w:rPr>
                <w:sz w:val="22"/>
                <w:szCs w:val="22"/>
                <w:color w:val="auto"/>
              </w:rPr>
            </w:pPr>
          </w:p>
        </w:tc>
        <w:tc>
          <w:tcPr>
            <w:tcW w:w="1500" w:type="dxa"/>
            <w:vAlign w:val="bottom"/>
            <w:gridSpan w:val="2"/>
          </w:tcPr>
          <w:p>
            <w:pPr>
              <w:jc w:val="center"/>
              <w:spacing w:after="0"/>
              <w:rPr>
                <w:sz w:val="20"/>
                <w:szCs w:val="20"/>
                <w:color w:val="auto"/>
              </w:rPr>
            </w:pPr>
            <w:r>
              <w:rPr>
                <w:rFonts w:ascii="Arial" w:cs="Arial" w:eastAsia="Arial" w:hAnsi="Arial"/>
                <w:sz w:val="14"/>
                <w:szCs w:val="14"/>
                <w:color w:val="auto"/>
                <w:w w:val="90"/>
              </w:rPr>
              <w:t>-$0.92</w:t>
            </w:r>
          </w:p>
        </w:tc>
        <w:tc>
          <w:tcPr>
            <w:tcW w:w="0" w:type="dxa"/>
            <w:vAlign w:val="bottom"/>
          </w:tcPr>
          <w:p>
            <w:pPr>
              <w:spacing w:after="0"/>
              <w:rPr>
                <w:sz w:val="1"/>
                <w:szCs w:val="1"/>
                <w:color w:val="auto"/>
              </w:rPr>
            </w:pPr>
          </w:p>
        </w:tc>
      </w:tr>
      <w:tr>
        <w:trPr>
          <w:trHeight w:val="276"/>
        </w:trPr>
        <w:tc>
          <w:tcPr>
            <w:tcW w:w="43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$108.56</w:t>
            </w: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$109.08</w:t>
            </w: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$108.09</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$108.41</w:t>
            </w: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$108.00</w:t>
            </w:r>
          </w:p>
        </w:tc>
        <w:tc>
          <w:tcPr>
            <w:tcW w:w="120" w:type="dxa"/>
            <w:vAlign w:val="bottom"/>
            <w:shd w:val="clear" w:color="auto" w:fill="CCEEFF"/>
          </w:tcPr>
          <w:p>
            <w:pPr>
              <w:spacing w:after="0"/>
              <w:rPr>
                <w:sz w:val="24"/>
                <w:szCs w:val="24"/>
                <w:color w:val="auto"/>
              </w:rPr>
            </w:pPr>
          </w:p>
        </w:tc>
        <w:tc>
          <w:tcPr>
            <w:tcW w:w="15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-$0.56</w:t>
            </w:r>
          </w:p>
        </w:tc>
        <w:tc>
          <w:tcPr>
            <w:tcW w:w="0" w:type="dxa"/>
            <w:vAlign w:val="bottom"/>
          </w:tcPr>
          <w:p>
            <w:pPr>
              <w:spacing w:after="0"/>
              <w:rPr>
                <w:sz w:val="1"/>
                <w:szCs w:val="1"/>
                <w:color w:val="auto"/>
              </w:rPr>
            </w:pPr>
          </w:p>
        </w:tc>
      </w:tr>
      <w:tr>
        <w:trPr>
          <w:trHeight w:val="264"/>
        </w:trPr>
        <w:tc>
          <w:tcPr>
            <w:tcW w:w="4500" w:type="dxa"/>
            <w:vAlign w:val="bottom"/>
            <w:gridSpan w:val="2"/>
          </w:tcPr>
          <w:p>
            <w:pPr>
              <w:ind w:left="40"/>
              <w:spacing w:after="0"/>
              <w:rPr>
                <w:sz w:val="20"/>
                <w:szCs w:val="20"/>
                <w:color w:val="auto"/>
              </w:rPr>
            </w:pPr>
            <w:r>
              <w:rPr>
                <w:rFonts w:ascii="Arial" w:cs="Arial" w:eastAsia="Arial" w:hAnsi="Arial"/>
                <w:sz w:val="14"/>
                <w:szCs w:val="14"/>
                <w:b w:val="1"/>
                <w:bCs w:val="1"/>
                <w:color w:val="auto"/>
              </w:rPr>
              <w:t>15-Year Fixed Rate MBS Price:</w:t>
            </w:r>
          </w:p>
        </w:tc>
        <w:tc>
          <w:tcPr>
            <w:tcW w:w="8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43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2.5%</w:t>
            </w: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$101.81</w:t>
            </w: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$102.71</w:t>
            </w: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$101.17</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$101.94</w:t>
            </w: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$100.80</w:t>
            </w:r>
          </w:p>
        </w:tc>
        <w:tc>
          <w:tcPr>
            <w:tcW w:w="120" w:type="dxa"/>
            <w:vAlign w:val="bottom"/>
            <w:shd w:val="clear" w:color="auto" w:fill="CCEEFF"/>
          </w:tcPr>
          <w:p>
            <w:pPr>
              <w:spacing w:after="0"/>
              <w:rPr>
                <w:sz w:val="24"/>
                <w:szCs w:val="24"/>
                <w:color w:val="auto"/>
              </w:rPr>
            </w:pPr>
          </w:p>
        </w:tc>
        <w:tc>
          <w:tcPr>
            <w:tcW w:w="15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-$1.01</w:t>
            </w:r>
          </w:p>
        </w:tc>
        <w:tc>
          <w:tcPr>
            <w:tcW w:w="0" w:type="dxa"/>
            <w:vAlign w:val="bottom"/>
          </w:tcPr>
          <w:p>
            <w:pPr>
              <w:spacing w:after="0"/>
              <w:rPr>
                <w:sz w:val="1"/>
                <w:szCs w:val="1"/>
                <w:color w:val="auto"/>
              </w:rPr>
            </w:pPr>
          </w:p>
        </w:tc>
      </w:tr>
      <w:tr>
        <w:trPr>
          <w:trHeight w:val="264"/>
        </w:trPr>
        <w:tc>
          <w:tcPr>
            <w:tcW w:w="4380" w:type="dxa"/>
            <w:vAlign w:val="bottom"/>
          </w:tcPr>
          <w:p>
            <w:pPr>
              <w:ind w:left="200"/>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0"/>
              </w:rPr>
              <w:t>$103.91</w:t>
            </w:r>
          </w:p>
        </w:tc>
        <w:tc>
          <w:tcPr>
            <w:tcW w:w="14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0"/>
              </w:rPr>
              <w:t>$104.83</w:t>
            </w:r>
          </w:p>
        </w:tc>
        <w:tc>
          <w:tcPr>
            <w:tcW w:w="12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0"/>
              </w:rPr>
              <w:t>$103.57</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0"/>
              </w:rPr>
              <w:t>$104.11</w:t>
            </w:r>
          </w:p>
        </w:tc>
        <w:tc>
          <w:tcPr>
            <w:tcW w:w="10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0"/>
              </w:rPr>
              <w:t>$103.02</w:t>
            </w:r>
          </w:p>
        </w:tc>
        <w:tc>
          <w:tcPr>
            <w:tcW w:w="120" w:type="dxa"/>
            <w:vAlign w:val="bottom"/>
          </w:tcPr>
          <w:p>
            <w:pPr>
              <w:spacing w:after="0"/>
              <w:rPr>
                <w:sz w:val="22"/>
                <w:szCs w:val="22"/>
                <w:color w:val="auto"/>
              </w:rPr>
            </w:pPr>
          </w:p>
        </w:tc>
        <w:tc>
          <w:tcPr>
            <w:tcW w:w="1500" w:type="dxa"/>
            <w:vAlign w:val="bottom"/>
            <w:gridSpan w:val="2"/>
          </w:tcPr>
          <w:p>
            <w:pPr>
              <w:jc w:val="center"/>
              <w:spacing w:after="0"/>
              <w:rPr>
                <w:sz w:val="20"/>
                <w:szCs w:val="20"/>
                <w:color w:val="auto"/>
              </w:rPr>
            </w:pPr>
            <w:r>
              <w:rPr>
                <w:rFonts w:ascii="Arial" w:cs="Arial" w:eastAsia="Arial" w:hAnsi="Arial"/>
                <w:sz w:val="14"/>
                <w:szCs w:val="14"/>
                <w:color w:val="auto"/>
                <w:w w:val="90"/>
              </w:rPr>
              <w:t>-$0.89</w:t>
            </w:r>
          </w:p>
        </w:tc>
        <w:tc>
          <w:tcPr>
            <w:tcW w:w="0" w:type="dxa"/>
            <w:vAlign w:val="bottom"/>
          </w:tcPr>
          <w:p>
            <w:pPr>
              <w:spacing w:after="0"/>
              <w:rPr>
                <w:sz w:val="1"/>
                <w:szCs w:val="1"/>
                <w:color w:val="auto"/>
              </w:rPr>
            </w:pPr>
          </w:p>
        </w:tc>
      </w:tr>
      <w:tr>
        <w:trPr>
          <w:trHeight w:val="276"/>
        </w:trPr>
        <w:tc>
          <w:tcPr>
            <w:tcW w:w="43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$105.61</w:t>
            </w: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$106.09</w:t>
            </w: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$105.44</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$105.61</w:t>
            </w: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$104.72</w:t>
            </w:r>
          </w:p>
        </w:tc>
        <w:tc>
          <w:tcPr>
            <w:tcW w:w="120" w:type="dxa"/>
            <w:vAlign w:val="bottom"/>
            <w:shd w:val="clear" w:color="auto" w:fill="CCEEFF"/>
          </w:tcPr>
          <w:p>
            <w:pPr>
              <w:spacing w:after="0"/>
              <w:rPr>
                <w:sz w:val="24"/>
                <w:szCs w:val="24"/>
                <w:color w:val="auto"/>
              </w:rPr>
            </w:pPr>
          </w:p>
        </w:tc>
        <w:tc>
          <w:tcPr>
            <w:tcW w:w="15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-$0.89</w:t>
            </w:r>
          </w:p>
        </w:tc>
        <w:tc>
          <w:tcPr>
            <w:tcW w:w="0" w:type="dxa"/>
            <w:vAlign w:val="bottom"/>
          </w:tcPr>
          <w:p>
            <w:pPr>
              <w:spacing w:after="0"/>
              <w:rPr>
                <w:sz w:val="1"/>
                <w:szCs w:val="1"/>
                <w:color w:val="auto"/>
              </w:rPr>
            </w:pPr>
          </w:p>
        </w:tc>
      </w:tr>
      <w:tr>
        <w:trPr>
          <w:trHeight w:val="256"/>
        </w:trPr>
        <w:tc>
          <w:tcPr>
            <w:tcW w:w="4380" w:type="dxa"/>
            <w:vAlign w:val="bottom"/>
          </w:tcPr>
          <w:p>
            <w:pPr>
              <w:ind w:left="20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0"/>
              </w:rPr>
              <w:t>$106.06</w:t>
            </w:r>
          </w:p>
        </w:tc>
        <w:tc>
          <w:tcPr>
            <w:tcW w:w="14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0"/>
              </w:rPr>
              <w:t>$105.59</w:t>
            </w:r>
          </w:p>
        </w:tc>
        <w:tc>
          <w:tcPr>
            <w:tcW w:w="12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0"/>
              </w:rPr>
              <w:t>$105.06</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4"/>
              </w:rPr>
              <w:t>$104.77</w:t>
            </w:r>
          </w:p>
        </w:tc>
        <w:tc>
          <w:tcPr>
            <w:tcW w:w="100" w:type="dxa"/>
            <w:vAlign w:val="bottom"/>
          </w:tcPr>
          <w:p>
            <w:pPr>
              <w:spacing w:after="0"/>
              <w:rPr>
                <w:sz w:val="22"/>
                <w:szCs w:val="22"/>
                <w:color w:val="auto"/>
              </w:rPr>
            </w:pPr>
          </w:p>
        </w:tc>
        <w:tc>
          <w:tcPr>
            <w:tcW w:w="860" w:type="dxa"/>
            <w:vAlign w:val="bottom"/>
          </w:tcPr>
          <w:p>
            <w:pPr>
              <w:jc w:val="center"/>
              <w:spacing w:after="0"/>
              <w:rPr>
                <w:sz w:val="20"/>
                <w:szCs w:val="20"/>
                <w:color w:val="auto"/>
              </w:rPr>
            </w:pPr>
            <w:r>
              <w:rPr>
                <w:rFonts w:ascii="Arial" w:cs="Arial" w:eastAsia="Arial" w:hAnsi="Arial"/>
                <w:sz w:val="14"/>
                <w:szCs w:val="14"/>
                <w:color w:val="auto"/>
                <w:w w:val="90"/>
              </w:rPr>
              <w:t>$104.41</w:t>
            </w:r>
          </w:p>
        </w:tc>
        <w:tc>
          <w:tcPr>
            <w:tcW w:w="120" w:type="dxa"/>
            <w:vAlign w:val="bottom"/>
          </w:tcPr>
          <w:p>
            <w:pPr>
              <w:spacing w:after="0"/>
              <w:rPr>
                <w:sz w:val="22"/>
                <w:szCs w:val="22"/>
                <w:color w:val="auto"/>
              </w:rPr>
            </w:pPr>
          </w:p>
        </w:tc>
        <w:tc>
          <w:tcPr>
            <w:tcW w:w="1500" w:type="dxa"/>
            <w:vAlign w:val="bottom"/>
            <w:gridSpan w:val="2"/>
          </w:tcPr>
          <w:p>
            <w:pPr>
              <w:jc w:val="center"/>
              <w:spacing w:after="0"/>
              <w:rPr>
                <w:sz w:val="20"/>
                <w:szCs w:val="20"/>
                <w:color w:val="auto"/>
              </w:rPr>
            </w:pPr>
            <w:r>
              <w:rPr>
                <w:rFonts w:ascii="Arial" w:cs="Arial" w:eastAsia="Arial" w:hAnsi="Arial"/>
                <w:sz w:val="14"/>
                <w:szCs w:val="14"/>
                <w:color w:val="auto"/>
                <w:w w:val="90"/>
              </w:rPr>
              <w:t>-$1.65</w:t>
            </w:r>
          </w:p>
        </w:tc>
        <w:tc>
          <w:tcPr>
            <w:tcW w:w="0" w:type="dxa"/>
            <w:vAlign w:val="bottom"/>
          </w:tcPr>
          <w:p>
            <w:pPr>
              <w:spacing w:after="0"/>
              <w:rPr>
                <w:sz w:val="1"/>
                <w:szCs w:val="1"/>
                <w:color w:val="auto"/>
              </w:rPr>
            </w:pPr>
          </w:p>
        </w:tc>
      </w:tr>
      <w:tr>
        <w:trPr>
          <w:trHeight w:val="224"/>
        </w:trPr>
        <w:tc>
          <w:tcPr>
            <w:tcW w:w="4380" w:type="dxa"/>
            <w:vAlign w:val="bottom"/>
          </w:tcPr>
          <w:p>
            <w:pPr>
              <w:spacing w:after="0"/>
              <w:rPr>
                <w:sz w:val="20"/>
                <w:szCs w:val="20"/>
                <w:color w:val="auto"/>
              </w:rPr>
            </w:pPr>
            <w:r>
              <w:rPr>
                <w:rFonts w:ascii="Arial" w:cs="Arial" w:eastAsia="Arial" w:hAnsi="Arial"/>
                <w:sz w:val="18"/>
                <w:szCs w:val="18"/>
                <w:color w:val="auto"/>
              </w:rPr>
              <w:t>_______________________</w:t>
            </w:r>
          </w:p>
        </w:tc>
        <w:tc>
          <w:tcPr>
            <w:tcW w:w="1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ind w:left="660" w:hanging="328"/>
        <w:spacing w:after="0" w:line="255" w:lineRule="auto"/>
        <w:tabs>
          <w:tab w:leader="none" w:pos="660" w:val="left"/>
        </w:tabs>
        <w:numPr>
          <w:ilvl w:val="0"/>
          <w:numId w:val="25"/>
        </w:numPr>
        <w:rPr>
          <w:rFonts w:ascii="Arial" w:cs="Arial" w:eastAsia="Arial" w:hAnsi="Arial"/>
          <w:sz w:val="14"/>
          <w:szCs w:val="14"/>
          <w:color w:val="auto"/>
        </w:rPr>
      </w:pPr>
      <w:r>
        <w:rPr>
          <w:rFonts w:ascii="Arial" w:cs="Arial" w:eastAsia="Arial" w:hAnsi="Arial"/>
          <w:sz w:val="14"/>
          <w:szCs w:val="14"/>
          <w:color w:val="auto"/>
        </w:rPr>
        <w:t>Price information is for generic instruments only and is not reflective of our specific portfolio holdings. Price information is as of 3:00 p.m. (EST) on such date and can vary by source. Prices and interest rates in the table above were obtained from Barclays. LIBOR rates were obtained from Bloomberg.</w:t>
      </w:r>
    </w:p>
    <w:p>
      <w:pPr>
        <w:spacing w:after="0" w:line="13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summarizes recent prepayment trends for our investment portfolio during fiscal year 2015:</w:t>
      </w:r>
    </w:p>
    <w:p>
      <w:pPr>
        <w:spacing w:after="0" w:line="312" w:lineRule="exact"/>
        <w:rPr>
          <w:sz w:val="20"/>
          <w:szCs w:val="20"/>
          <w:color w:val="auto"/>
        </w:rPr>
      </w:pPr>
    </w:p>
    <w:tbl>
      <w:tblPr>
        <w:tblLayout w:type="fixed"/>
        <w:tblInd w:w="360" w:type="dxa"/>
        <w:tblCellMar>
          <w:top w:w="0" w:type="dxa"/>
          <w:left w:w="0" w:type="dxa"/>
          <w:bottom w:w="0" w:type="dxa"/>
          <w:right w:w="0" w:type="dxa"/>
        </w:tblCellMar>
      </w:tblPr>
      <w:tr>
        <w:trPr>
          <w:trHeight w:val="161"/>
        </w:trPr>
        <w:tc>
          <w:tcPr>
            <w:tcW w:w="3140" w:type="dxa"/>
            <w:vAlign w:val="bottom"/>
            <w:gridSpan w:val="2"/>
          </w:tcPr>
          <w:p>
            <w:pPr>
              <w:ind w:left="20"/>
              <w:spacing w:after="0"/>
              <w:rPr>
                <w:sz w:val="20"/>
                <w:szCs w:val="20"/>
                <w:color w:val="auto"/>
              </w:rPr>
            </w:pPr>
            <w:r>
              <w:rPr>
                <w:rFonts w:ascii="Arial" w:cs="Arial" w:eastAsia="Arial" w:hAnsi="Arial"/>
                <w:sz w:val="14"/>
                <w:szCs w:val="14"/>
                <w:b w:val="1"/>
                <w:bCs w:val="1"/>
                <w:color w:val="auto"/>
              </w:rPr>
              <w:t>Annualized Monthly Constant Prepayment</w:t>
            </w:r>
          </w:p>
        </w:tc>
        <w:tc>
          <w:tcPr>
            <w:tcW w:w="660" w:type="dxa"/>
            <w:vAlign w:val="bottom"/>
            <w:gridSpan w:val="2"/>
          </w:tcPr>
          <w:p>
            <w:pPr>
              <w:ind w:left="140"/>
              <w:spacing w:after="0"/>
              <w:rPr>
                <w:sz w:val="20"/>
                <w:szCs w:val="20"/>
                <w:color w:val="auto"/>
              </w:rPr>
            </w:pPr>
            <w:r>
              <w:rPr>
                <w:rFonts w:ascii="Arial" w:cs="Arial" w:eastAsia="Arial" w:hAnsi="Arial"/>
                <w:sz w:val="14"/>
                <w:szCs w:val="14"/>
                <w:b w:val="1"/>
                <w:bCs w:val="1"/>
                <w:color w:val="auto"/>
              </w:rPr>
              <w:t>Jan.</w:t>
            </w:r>
          </w:p>
        </w:tc>
        <w:tc>
          <w:tcPr>
            <w:tcW w:w="660" w:type="dxa"/>
            <w:vAlign w:val="bottom"/>
            <w:gridSpan w:val="2"/>
          </w:tcPr>
          <w:p>
            <w:pPr>
              <w:ind w:left="140"/>
              <w:spacing w:after="0"/>
              <w:rPr>
                <w:sz w:val="20"/>
                <w:szCs w:val="20"/>
                <w:color w:val="auto"/>
              </w:rPr>
            </w:pPr>
            <w:r>
              <w:rPr>
                <w:rFonts w:ascii="Arial" w:cs="Arial" w:eastAsia="Arial" w:hAnsi="Arial"/>
                <w:sz w:val="14"/>
                <w:szCs w:val="14"/>
                <w:b w:val="1"/>
                <w:bCs w:val="1"/>
                <w:color w:val="auto"/>
              </w:rPr>
              <w:t>Feb.</w:t>
            </w:r>
          </w:p>
        </w:tc>
        <w:tc>
          <w:tcPr>
            <w:tcW w:w="680" w:type="dxa"/>
            <w:vAlign w:val="bottom"/>
            <w:gridSpan w:val="2"/>
          </w:tcPr>
          <w:p>
            <w:pPr>
              <w:ind w:left="140"/>
              <w:spacing w:after="0"/>
              <w:rPr>
                <w:sz w:val="20"/>
                <w:szCs w:val="20"/>
                <w:color w:val="auto"/>
              </w:rPr>
            </w:pPr>
            <w:r>
              <w:rPr>
                <w:rFonts w:ascii="Arial" w:cs="Arial" w:eastAsia="Arial" w:hAnsi="Arial"/>
                <w:sz w:val="14"/>
                <w:szCs w:val="14"/>
                <w:b w:val="1"/>
                <w:bCs w:val="1"/>
                <w:color w:val="auto"/>
              </w:rPr>
              <w:t>Mar.</w:t>
            </w:r>
          </w:p>
        </w:tc>
        <w:tc>
          <w:tcPr>
            <w:tcW w:w="660" w:type="dxa"/>
            <w:vAlign w:val="bottom"/>
            <w:gridSpan w:val="2"/>
          </w:tcPr>
          <w:p>
            <w:pPr>
              <w:ind w:left="120"/>
              <w:spacing w:after="0"/>
              <w:rPr>
                <w:sz w:val="20"/>
                <w:szCs w:val="20"/>
                <w:color w:val="auto"/>
              </w:rPr>
            </w:pPr>
            <w:r>
              <w:rPr>
                <w:rFonts w:ascii="Arial" w:cs="Arial" w:eastAsia="Arial" w:hAnsi="Arial"/>
                <w:sz w:val="14"/>
                <w:szCs w:val="14"/>
                <w:b w:val="1"/>
                <w:bCs w:val="1"/>
                <w:color w:val="auto"/>
              </w:rPr>
              <w:t>Apr.</w:t>
            </w:r>
          </w:p>
        </w:tc>
        <w:tc>
          <w:tcPr>
            <w:tcW w:w="660" w:type="dxa"/>
            <w:vAlign w:val="bottom"/>
            <w:gridSpan w:val="2"/>
          </w:tcPr>
          <w:p>
            <w:pPr>
              <w:ind w:left="120"/>
              <w:spacing w:after="0"/>
              <w:rPr>
                <w:sz w:val="20"/>
                <w:szCs w:val="20"/>
                <w:color w:val="auto"/>
              </w:rPr>
            </w:pPr>
            <w:r>
              <w:rPr>
                <w:rFonts w:ascii="Arial" w:cs="Arial" w:eastAsia="Arial" w:hAnsi="Arial"/>
                <w:sz w:val="14"/>
                <w:szCs w:val="14"/>
                <w:b w:val="1"/>
                <w:bCs w:val="1"/>
                <w:color w:val="auto"/>
              </w:rPr>
              <w:t>May</w:t>
            </w:r>
          </w:p>
        </w:tc>
        <w:tc>
          <w:tcPr>
            <w:tcW w:w="620" w:type="dxa"/>
            <w:vAlign w:val="bottom"/>
            <w:gridSpan w:val="2"/>
          </w:tcPr>
          <w:p>
            <w:pPr>
              <w:ind w:left="120"/>
              <w:spacing w:after="0"/>
              <w:rPr>
                <w:sz w:val="20"/>
                <w:szCs w:val="20"/>
                <w:color w:val="auto"/>
              </w:rPr>
            </w:pPr>
            <w:r>
              <w:rPr>
                <w:rFonts w:ascii="Arial" w:cs="Arial" w:eastAsia="Arial" w:hAnsi="Arial"/>
                <w:sz w:val="14"/>
                <w:szCs w:val="14"/>
                <w:b w:val="1"/>
                <w:bCs w:val="1"/>
                <w:color w:val="auto"/>
              </w:rPr>
              <w:t>Jun.</w:t>
            </w:r>
          </w:p>
        </w:tc>
        <w:tc>
          <w:tcPr>
            <w:tcW w:w="640" w:type="dxa"/>
            <w:vAlign w:val="bottom"/>
            <w:gridSpan w:val="2"/>
          </w:tcPr>
          <w:p>
            <w:pPr>
              <w:ind w:left="160"/>
              <w:spacing w:after="0"/>
              <w:rPr>
                <w:sz w:val="20"/>
                <w:szCs w:val="20"/>
                <w:color w:val="auto"/>
              </w:rPr>
            </w:pPr>
            <w:r>
              <w:rPr>
                <w:rFonts w:ascii="Arial" w:cs="Arial" w:eastAsia="Arial" w:hAnsi="Arial"/>
                <w:sz w:val="14"/>
                <w:szCs w:val="14"/>
                <w:b w:val="1"/>
                <w:bCs w:val="1"/>
                <w:color w:val="auto"/>
              </w:rPr>
              <w:t>Jul.</w:t>
            </w:r>
          </w:p>
        </w:tc>
        <w:tc>
          <w:tcPr>
            <w:tcW w:w="640" w:type="dxa"/>
            <w:vAlign w:val="bottom"/>
            <w:gridSpan w:val="2"/>
          </w:tcPr>
          <w:p>
            <w:pPr>
              <w:ind w:left="120"/>
              <w:spacing w:after="0"/>
              <w:rPr>
                <w:sz w:val="20"/>
                <w:szCs w:val="20"/>
                <w:color w:val="auto"/>
              </w:rPr>
            </w:pPr>
            <w:r>
              <w:rPr>
                <w:rFonts w:ascii="Arial" w:cs="Arial" w:eastAsia="Arial" w:hAnsi="Arial"/>
                <w:sz w:val="14"/>
                <w:szCs w:val="14"/>
                <w:b w:val="1"/>
                <w:bCs w:val="1"/>
                <w:color w:val="auto"/>
              </w:rPr>
              <w:t>Aug.</w:t>
            </w:r>
          </w:p>
        </w:tc>
        <w:tc>
          <w:tcPr>
            <w:tcW w:w="640" w:type="dxa"/>
            <w:vAlign w:val="bottom"/>
            <w:gridSpan w:val="2"/>
          </w:tcPr>
          <w:p>
            <w:pPr>
              <w:ind w:left="140"/>
              <w:spacing w:after="0"/>
              <w:rPr>
                <w:sz w:val="20"/>
                <w:szCs w:val="20"/>
                <w:color w:val="auto"/>
              </w:rPr>
            </w:pPr>
            <w:r>
              <w:rPr>
                <w:rFonts w:ascii="Arial" w:cs="Arial" w:eastAsia="Arial" w:hAnsi="Arial"/>
                <w:sz w:val="14"/>
                <w:szCs w:val="14"/>
                <w:b w:val="1"/>
                <w:bCs w:val="1"/>
                <w:color w:val="auto"/>
              </w:rPr>
              <w:t>Sep.</w:t>
            </w:r>
          </w:p>
        </w:tc>
        <w:tc>
          <w:tcPr>
            <w:tcW w:w="620" w:type="dxa"/>
            <w:vAlign w:val="bottom"/>
            <w:gridSpan w:val="2"/>
          </w:tcPr>
          <w:p>
            <w:pPr>
              <w:ind w:left="120"/>
              <w:spacing w:after="0"/>
              <w:rPr>
                <w:sz w:val="20"/>
                <w:szCs w:val="20"/>
                <w:color w:val="auto"/>
              </w:rPr>
            </w:pPr>
            <w:r>
              <w:rPr>
                <w:rFonts w:ascii="Arial" w:cs="Arial" w:eastAsia="Arial" w:hAnsi="Arial"/>
                <w:sz w:val="14"/>
                <w:szCs w:val="14"/>
                <w:b w:val="1"/>
                <w:bCs w:val="1"/>
                <w:color w:val="auto"/>
              </w:rPr>
              <w:t>Oct.</w:t>
            </w:r>
          </w:p>
        </w:tc>
        <w:tc>
          <w:tcPr>
            <w:tcW w:w="640" w:type="dxa"/>
            <w:vAlign w:val="bottom"/>
            <w:gridSpan w:val="2"/>
          </w:tcPr>
          <w:p>
            <w:pPr>
              <w:ind w:left="140"/>
              <w:spacing w:after="0"/>
              <w:rPr>
                <w:sz w:val="20"/>
                <w:szCs w:val="20"/>
                <w:color w:val="auto"/>
              </w:rPr>
            </w:pPr>
            <w:r>
              <w:rPr>
                <w:rFonts w:ascii="Arial" w:cs="Arial" w:eastAsia="Arial" w:hAnsi="Arial"/>
                <w:sz w:val="14"/>
                <w:szCs w:val="14"/>
                <w:b w:val="1"/>
                <w:bCs w:val="1"/>
                <w:color w:val="auto"/>
              </w:rPr>
              <w:t>Nov.</w:t>
            </w:r>
          </w:p>
        </w:tc>
        <w:tc>
          <w:tcPr>
            <w:tcW w:w="520" w:type="dxa"/>
            <w:vAlign w:val="bottom"/>
          </w:tcPr>
          <w:p>
            <w:pPr>
              <w:ind w:left="140"/>
              <w:spacing w:after="0"/>
              <w:rPr>
                <w:sz w:val="20"/>
                <w:szCs w:val="20"/>
                <w:color w:val="auto"/>
              </w:rPr>
            </w:pPr>
            <w:r>
              <w:rPr>
                <w:rFonts w:ascii="Arial" w:cs="Arial" w:eastAsia="Arial" w:hAnsi="Arial"/>
                <w:sz w:val="14"/>
                <w:szCs w:val="14"/>
                <w:b w:val="1"/>
                <w:bCs w:val="1"/>
                <w:color w:val="auto"/>
              </w:rPr>
              <w:t>Dec.</w:t>
            </w:r>
          </w:p>
        </w:tc>
      </w:tr>
      <w:tr>
        <w:trPr>
          <w:trHeight w:val="192"/>
        </w:trPr>
        <w:tc>
          <w:tcPr>
            <w:tcW w:w="30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 xml:space="preserve">Rates </w:t>
            </w:r>
            <w:r>
              <w:rPr>
                <w:rFonts w:ascii="Arial" w:cs="Arial" w:eastAsia="Arial" w:hAnsi="Arial"/>
                <w:sz w:val="8"/>
                <w:szCs w:val="8"/>
                <w:b w:val="1"/>
                <w:bCs w:val="1"/>
                <w:color w:val="auto"/>
              </w:rPr>
              <w:t>1</w:t>
            </w:r>
          </w:p>
        </w:tc>
        <w:tc>
          <w:tcPr>
            <w:tcW w:w="120" w:type="dxa"/>
            <w:vAlign w:val="bottom"/>
          </w:tcPr>
          <w:p>
            <w:pPr>
              <w:spacing w:after="0"/>
              <w:rPr>
                <w:sz w:val="16"/>
                <w:szCs w:val="16"/>
                <w:color w:val="auto"/>
              </w:rPr>
            </w:pPr>
          </w:p>
        </w:tc>
        <w:tc>
          <w:tcPr>
            <w:tcW w:w="5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2015</w:t>
            </w:r>
          </w:p>
        </w:tc>
        <w:tc>
          <w:tcPr>
            <w:tcW w:w="120" w:type="dxa"/>
            <w:vAlign w:val="bottom"/>
          </w:tcPr>
          <w:p>
            <w:pPr>
              <w:spacing w:after="0"/>
              <w:rPr>
                <w:sz w:val="16"/>
                <w:szCs w:val="16"/>
                <w:color w:val="auto"/>
              </w:rPr>
            </w:pPr>
          </w:p>
        </w:tc>
        <w:tc>
          <w:tcPr>
            <w:tcW w:w="5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2015</w:t>
            </w:r>
          </w:p>
        </w:tc>
        <w:tc>
          <w:tcPr>
            <w:tcW w:w="120" w:type="dxa"/>
            <w:vAlign w:val="bottom"/>
          </w:tcPr>
          <w:p>
            <w:pPr>
              <w:spacing w:after="0"/>
              <w:rPr>
                <w:sz w:val="16"/>
                <w:szCs w:val="16"/>
                <w:color w:val="auto"/>
              </w:rPr>
            </w:pPr>
          </w:p>
        </w:tc>
        <w:tc>
          <w:tcPr>
            <w:tcW w:w="5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2015</w:t>
            </w:r>
          </w:p>
        </w:tc>
        <w:tc>
          <w:tcPr>
            <w:tcW w:w="140" w:type="dxa"/>
            <w:vAlign w:val="bottom"/>
          </w:tcPr>
          <w:p>
            <w:pPr>
              <w:spacing w:after="0"/>
              <w:rPr>
                <w:sz w:val="16"/>
                <w:szCs w:val="16"/>
                <w:color w:val="auto"/>
              </w:rPr>
            </w:pPr>
          </w:p>
        </w:tc>
        <w:tc>
          <w:tcPr>
            <w:tcW w:w="5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2015</w:t>
            </w:r>
          </w:p>
        </w:tc>
        <w:tc>
          <w:tcPr>
            <w:tcW w:w="120" w:type="dxa"/>
            <w:vAlign w:val="bottom"/>
          </w:tcPr>
          <w:p>
            <w:pPr>
              <w:spacing w:after="0"/>
              <w:rPr>
                <w:sz w:val="16"/>
                <w:szCs w:val="16"/>
                <w:color w:val="auto"/>
              </w:rPr>
            </w:pPr>
          </w:p>
        </w:tc>
        <w:tc>
          <w:tcPr>
            <w:tcW w:w="5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2015</w:t>
            </w:r>
          </w:p>
        </w:tc>
        <w:tc>
          <w:tcPr>
            <w:tcW w:w="120" w:type="dxa"/>
            <w:vAlign w:val="bottom"/>
          </w:tcPr>
          <w:p>
            <w:pPr>
              <w:spacing w:after="0"/>
              <w:rPr>
                <w:sz w:val="16"/>
                <w:szCs w:val="16"/>
                <w:color w:val="auto"/>
              </w:rPr>
            </w:pPr>
          </w:p>
        </w:tc>
        <w:tc>
          <w:tcPr>
            <w:tcW w:w="5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16"/>
                <w:szCs w:val="16"/>
                <w:color w:val="auto"/>
              </w:rPr>
            </w:pPr>
          </w:p>
        </w:tc>
        <w:tc>
          <w:tcPr>
            <w:tcW w:w="5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16"/>
                <w:szCs w:val="16"/>
                <w:color w:val="auto"/>
              </w:rPr>
            </w:pPr>
          </w:p>
        </w:tc>
        <w:tc>
          <w:tcPr>
            <w:tcW w:w="5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16"/>
                <w:szCs w:val="16"/>
                <w:color w:val="auto"/>
              </w:rPr>
            </w:pPr>
          </w:p>
        </w:tc>
        <w:tc>
          <w:tcPr>
            <w:tcW w:w="5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2015</w:t>
            </w:r>
          </w:p>
        </w:tc>
        <w:tc>
          <w:tcPr>
            <w:tcW w:w="120" w:type="dxa"/>
            <w:vAlign w:val="bottom"/>
          </w:tcPr>
          <w:p>
            <w:pPr>
              <w:spacing w:after="0"/>
              <w:rPr>
                <w:sz w:val="16"/>
                <w:szCs w:val="16"/>
                <w:color w:val="auto"/>
              </w:rPr>
            </w:pPr>
          </w:p>
        </w:tc>
        <w:tc>
          <w:tcPr>
            <w:tcW w:w="5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16"/>
                <w:szCs w:val="16"/>
                <w:color w:val="auto"/>
              </w:rPr>
            </w:pPr>
          </w:p>
        </w:tc>
        <w:tc>
          <w:tcPr>
            <w:tcW w:w="5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16"/>
                <w:szCs w:val="16"/>
                <w:color w:val="auto"/>
              </w:rPr>
            </w:pPr>
          </w:p>
        </w:tc>
        <w:tc>
          <w:tcPr>
            <w:tcW w:w="5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2015</w:t>
            </w:r>
          </w:p>
        </w:tc>
      </w:tr>
      <w:tr>
        <w:trPr>
          <w:trHeight w:val="244"/>
        </w:trPr>
        <w:tc>
          <w:tcPr>
            <w:tcW w:w="3140" w:type="dxa"/>
            <w:vAlign w:val="bottom"/>
            <w:gridSpan w:val="2"/>
          </w:tcPr>
          <w:p>
            <w:pPr>
              <w:ind w:left="20"/>
              <w:spacing w:after="0"/>
              <w:rPr>
                <w:sz w:val="20"/>
                <w:szCs w:val="20"/>
                <w:color w:val="auto"/>
              </w:rPr>
            </w:pPr>
            <w:r>
              <w:rPr>
                <w:rFonts w:ascii="Arial" w:cs="Arial" w:eastAsia="Arial" w:hAnsi="Arial"/>
                <w:sz w:val="14"/>
                <w:szCs w:val="14"/>
                <w:color w:val="auto"/>
              </w:rPr>
              <w:t>AGNC portfolio</w:t>
            </w:r>
          </w:p>
        </w:tc>
        <w:tc>
          <w:tcPr>
            <w:tcW w:w="540" w:type="dxa"/>
            <w:vAlign w:val="bottom"/>
          </w:tcPr>
          <w:p>
            <w:pPr>
              <w:jc w:val="right"/>
              <w:ind w:right="88"/>
              <w:spacing w:after="0"/>
              <w:rPr>
                <w:sz w:val="20"/>
                <w:szCs w:val="20"/>
                <w:color w:val="auto"/>
              </w:rPr>
            </w:pPr>
            <w:r>
              <w:rPr>
                <w:rFonts w:ascii="Arial" w:cs="Arial" w:eastAsia="Arial" w:hAnsi="Arial"/>
                <w:sz w:val="14"/>
                <w:szCs w:val="14"/>
                <w:color w:val="auto"/>
              </w:rPr>
              <w:t>9%</w:t>
            </w:r>
          </w:p>
        </w:tc>
        <w:tc>
          <w:tcPr>
            <w:tcW w:w="120" w:type="dxa"/>
            <w:vAlign w:val="bottom"/>
          </w:tcPr>
          <w:p>
            <w:pPr>
              <w:spacing w:after="0"/>
              <w:rPr>
                <w:sz w:val="21"/>
                <w:szCs w:val="21"/>
                <w:color w:val="auto"/>
              </w:rPr>
            </w:pPr>
          </w:p>
        </w:tc>
        <w:tc>
          <w:tcPr>
            <w:tcW w:w="540" w:type="dxa"/>
            <w:vAlign w:val="bottom"/>
          </w:tcPr>
          <w:p>
            <w:pPr>
              <w:jc w:val="right"/>
              <w:ind w:right="88"/>
              <w:spacing w:after="0"/>
              <w:rPr>
                <w:sz w:val="20"/>
                <w:szCs w:val="20"/>
                <w:color w:val="auto"/>
              </w:rPr>
            </w:pPr>
            <w:r>
              <w:rPr>
                <w:rFonts w:ascii="Arial" w:cs="Arial" w:eastAsia="Arial" w:hAnsi="Arial"/>
                <w:sz w:val="14"/>
                <w:szCs w:val="14"/>
                <w:color w:val="auto"/>
              </w:rPr>
              <w:t>8%</w:t>
            </w:r>
          </w:p>
        </w:tc>
        <w:tc>
          <w:tcPr>
            <w:tcW w:w="120" w:type="dxa"/>
            <w:vAlign w:val="bottom"/>
          </w:tcPr>
          <w:p>
            <w:pPr>
              <w:spacing w:after="0"/>
              <w:rPr>
                <w:sz w:val="21"/>
                <w:szCs w:val="21"/>
                <w:color w:val="auto"/>
              </w:rPr>
            </w:pPr>
          </w:p>
        </w:tc>
        <w:tc>
          <w:tcPr>
            <w:tcW w:w="540" w:type="dxa"/>
            <w:vAlign w:val="bottom"/>
          </w:tcPr>
          <w:p>
            <w:pPr>
              <w:jc w:val="right"/>
              <w:ind w:right="88"/>
              <w:spacing w:after="0"/>
              <w:rPr>
                <w:sz w:val="20"/>
                <w:szCs w:val="20"/>
                <w:color w:val="auto"/>
              </w:rPr>
            </w:pPr>
            <w:r>
              <w:rPr>
                <w:rFonts w:ascii="Arial" w:cs="Arial" w:eastAsia="Arial" w:hAnsi="Arial"/>
                <w:sz w:val="14"/>
                <w:szCs w:val="14"/>
                <w:color w:val="auto"/>
              </w:rPr>
              <w:t>9%</w:t>
            </w:r>
          </w:p>
        </w:tc>
        <w:tc>
          <w:tcPr>
            <w:tcW w:w="140" w:type="dxa"/>
            <w:vAlign w:val="bottom"/>
          </w:tcPr>
          <w:p>
            <w:pPr>
              <w:spacing w:after="0"/>
              <w:rPr>
                <w:sz w:val="21"/>
                <w:szCs w:val="21"/>
                <w:color w:val="auto"/>
              </w:rPr>
            </w:pPr>
          </w:p>
        </w:tc>
        <w:tc>
          <w:tcPr>
            <w:tcW w:w="540" w:type="dxa"/>
            <w:vAlign w:val="bottom"/>
          </w:tcPr>
          <w:p>
            <w:pPr>
              <w:jc w:val="right"/>
              <w:ind w:right="68"/>
              <w:spacing w:after="0"/>
              <w:rPr>
                <w:sz w:val="20"/>
                <w:szCs w:val="20"/>
                <w:color w:val="auto"/>
              </w:rPr>
            </w:pPr>
            <w:r>
              <w:rPr>
                <w:rFonts w:ascii="Arial" w:cs="Arial" w:eastAsia="Arial" w:hAnsi="Arial"/>
                <w:sz w:val="14"/>
                <w:szCs w:val="14"/>
                <w:color w:val="auto"/>
              </w:rPr>
              <w:t>12%</w:t>
            </w:r>
          </w:p>
        </w:tc>
        <w:tc>
          <w:tcPr>
            <w:tcW w:w="120" w:type="dxa"/>
            <w:vAlign w:val="bottom"/>
          </w:tcPr>
          <w:p>
            <w:pPr>
              <w:spacing w:after="0"/>
              <w:rPr>
                <w:sz w:val="21"/>
                <w:szCs w:val="21"/>
                <w:color w:val="auto"/>
              </w:rPr>
            </w:pPr>
          </w:p>
        </w:tc>
        <w:tc>
          <w:tcPr>
            <w:tcW w:w="540" w:type="dxa"/>
            <w:vAlign w:val="bottom"/>
          </w:tcPr>
          <w:p>
            <w:pPr>
              <w:jc w:val="right"/>
              <w:ind w:right="68"/>
              <w:spacing w:after="0"/>
              <w:rPr>
                <w:sz w:val="20"/>
                <w:szCs w:val="20"/>
                <w:color w:val="auto"/>
              </w:rPr>
            </w:pPr>
            <w:r>
              <w:rPr>
                <w:rFonts w:ascii="Arial" w:cs="Arial" w:eastAsia="Arial" w:hAnsi="Arial"/>
                <w:sz w:val="14"/>
                <w:szCs w:val="14"/>
                <w:color w:val="auto"/>
              </w:rPr>
              <w:t>11%</w:t>
            </w:r>
          </w:p>
        </w:tc>
        <w:tc>
          <w:tcPr>
            <w:tcW w:w="120" w:type="dxa"/>
            <w:vAlign w:val="bottom"/>
          </w:tcPr>
          <w:p>
            <w:pPr>
              <w:spacing w:after="0"/>
              <w:rPr>
                <w:sz w:val="21"/>
                <w:szCs w:val="21"/>
                <w:color w:val="auto"/>
              </w:rPr>
            </w:pPr>
          </w:p>
        </w:tc>
        <w:tc>
          <w:tcPr>
            <w:tcW w:w="520" w:type="dxa"/>
            <w:vAlign w:val="bottom"/>
          </w:tcPr>
          <w:p>
            <w:pPr>
              <w:jc w:val="right"/>
              <w:ind w:right="48"/>
              <w:spacing w:after="0"/>
              <w:rPr>
                <w:sz w:val="20"/>
                <w:szCs w:val="20"/>
                <w:color w:val="auto"/>
              </w:rPr>
            </w:pPr>
            <w:r>
              <w:rPr>
                <w:rFonts w:ascii="Arial" w:cs="Arial" w:eastAsia="Arial" w:hAnsi="Arial"/>
                <w:sz w:val="14"/>
                <w:szCs w:val="14"/>
                <w:color w:val="auto"/>
              </w:rPr>
              <w:t>12%</w:t>
            </w:r>
          </w:p>
        </w:tc>
        <w:tc>
          <w:tcPr>
            <w:tcW w:w="100" w:type="dxa"/>
            <w:vAlign w:val="bottom"/>
          </w:tcPr>
          <w:p>
            <w:pPr>
              <w:spacing w:after="0"/>
              <w:rPr>
                <w:sz w:val="21"/>
                <w:szCs w:val="21"/>
                <w:color w:val="auto"/>
              </w:rPr>
            </w:pPr>
          </w:p>
        </w:tc>
        <w:tc>
          <w:tcPr>
            <w:tcW w:w="540" w:type="dxa"/>
            <w:vAlign w:val="bottom"/>
          </w:tcPr>
          <w:p>
            <w:pPr>
              <w:jc w:val="right"/>
              <w:ind w:right="68"/>
              <w:spacing w:after="0"/>
              <w:rPr>
                <w:sz w:val="20"/>
                <w:szCs w:val="20"/>
                <w:color w:val="auto"/>
              </w:rPr>
            </w:pPr>
            <w:r>
              <w:rPr>
                <w:rFonts w:ascii="Arial" w:cs="Arial" w:eastAsia="Arial" w:hAnsi="Arial"/>
                <w:sz w:val="14"/>
                <w:szCs w:val="14"/>
                <w:color w:val="auto"/>
              </w:rPr>
              <w:t>13%</w:t>
            </w:r>
          </w:p>
        </w:tc>
        <w:tc>
          <w:tcPr>
            <w:tcW w:w="100" w:type="dxa"/>
            <w:vAlign w:val="bottom"/>
          </w:tcPr>
          <w:p>
            <w:pPr>
              <w:spacing w:after="0"/>
              <w:rPr>
                <w:sz w:val="21"/>
                <w:szCs w:val="21"/>
                <w:color w:val="auto"/>
              </w:rPr>
            </w:pPr>
          </w:p>
        </w:tc>
        <w:tc>
          <w:tcPr>
            <w:tcW w:w="540" w:type="dxa"/>
            <w:vAlign w:val="bottom"/>
          </w:tcPr>
          <w:p>
            <w:pPr>
              <w:jc w:val="right"/>
              <w:ind w:right="68"/>
              <w:spacing w:after="0"/>
              <w:rPr>
                <w:sz w:val="20"/>
                <w:szCs w:val="20"/>
                <w:color w:val="auto"/>
              </w:rPr>
            </w:pPr>
            <w:r>
              <w:rPr>
                <w:rFonts w:ascii="Arial" w:cs="Arial" w:eastAsia="Arial" w:hAnsi="Arial"/>
                <w:sz w:val="14"/>
                <w:szCs w:val="14"/>
                <w:color w:val="auto"/>
              </w:rPr>
              <w:t>13%</w:t>
            </w:r>
          </w:p>
        </w:tc>
        <w:tc>
          <w:tcPr>
            <w:tcW w:w="100" w:type="dxa"/>
            <w:vAlign w:val="bottom"/>
          </w:tcPr>
          <w:p>
            <w:pPr>
              <w:spacing w:after="0"/>
              <w:rPr>
                <w:sz w:val="21"/>
                <w:szCs w:val="21"/>
                <w:color w:val="auto"/>
              </w:rPr>
            </w:pPr>
          </w:p>
        </w:tc>
        <w:tc>
          <w:tcPr>
            <w:tcW w:w="520" w:type="dxa"/>
            <w:vAlign w:val="bottom"/>
          </w:tcPr>
          <w:p>
            <w:pPr>
              <w:jc w:val="right"/>
              <w:ind w:right="48"/>
              <w:spacing w:after="0"/>
              <w:rPr>
                <w:sz w:val="20"/>
                <w:szCs w:val="20"/>
                <w:color w:val="auto"/>
              </w:rPr>
            </w:pPr>
            <w:r>
              <w:rPr>
                <w:rFonts w:ascii="Arial" w:cs="Arial" w:eastAsia="Arial" w:hAnsi="Arial"/>
                <w:sz w:val="14"/>
                <w:szCs w:val="14"/>
                <w:color w:val="auto"/>
              </w:rPr>
              <w:t>11%</w:t>
            </w:r>
          </w:p>
        </w:tc>
        <w:tc>
          <w:tcPr>
            <w:tcW w:w="120" w:type="dxa"/>
            <w:vAlign w:val="bottom"/>
          </w:tcPr>
          <w:p>
            <w:pPr>
              <w:spacing w:after="0"/>
              <w:rPr>
                <w:sz w:val="21"/>
                <w:szCs w:val="21"/>
                <w:color w:val="auto"/>
              </w:rPr>
            </w:pPr>
          </w:p>
        </w:tc>
        <w:tc>
          <w:tcPr>
            <w:tcW w:w="520" w:type="dxa"/>
            <w:vAlign w:val="bottom"/>
          </w:tcPr>
          <w:p>
            <w:pPr>
              <w:jc w:val="right"/>
              <w:ind w:right="68"/>
              <w:spacing w:after="0"/>
              <w:rPr>
                <w:sz w:val="20"/>
                <w:szCs w:val="20"/>
                <w:color w:val="auto"/>
              </w:rPr>
            </w:pPr>
            <w:r>
              <w:rPr>
                <w:rFonts w:ascii="Arial" w:cs="Arial" w:eastAsia="Arial" w:hAnsi="Arial"/>
                <w:sz w:val="14"/>
                <w:szCs w:val="14"/>
                <w:color w:val="auto"/>
              </w:rPr>
              <w:t>11%</w:t>
            </w:r>
          </w:p>
        </w:tc>
        <w:tc>
          <w:tcPr>
            <w:tcW w:w="100" w:type="dxa"/>
            <w:vAlign w:val="bottom"/>
          </w:tcPr>
          <w:p>
            <w:pPr>
              <w:spacing w:after="0"/>
              <w:rPr>
                <w:sz w:val="21"/>
                <w:szCs w:val="21"/>
                <w:color w:val="auto"/>
              </w:rPr>
            </w:pPr>
          </w:p>
        </w:tc>
        <w:tc>
          <w:tcPr>
            <w:tcW w:w="540" w:type="dxa"/>
            <w:vAlign w:val="bottom"/>
          </w:tcPr>
          <w:p>
            <w:pPr>
              <w:jc w:val="right"/>
              <w:ind w:right="108"/>
              <w:spacing w:after="0"/>
              <w:rPr>
                <w:sz w:val="20"/>
                <w:szCs w:val="20"/>
                <w:color w:val="auto"/>
              </w:rPr>
            </w:pPr>
            <w:r>
              <w:rPr>
                <w:rFonts w:ascii="Arial" w:cs="Arial" w:eastAsia="Arial" w:hAnsi="Arial"/>
                <w:sz w:val="14"/>
                <w:szCs w:val="14"/>
                <w:color w:val="auto"/>
              </w:rPr>
              <w:t>9%</w:t>
            </w:r>
          </w:p>
        </w:tc>
        <w:tc>
          <w:tcPr>
            <w:tcW w:w="100" w:type="dxa"/>
            <w:vAlign w:val="bottom"/>
          </w:tcPr>
          <w:p>
            <w:pPr>
              <w:spacing w:after="0"/>
              <w:rPr>
                <w:sz w:val="21"/>
                <w:szCs w:val="21"/>
                <w:color w:val="auto"/>
              </w:rPr>
            </w:pPr>
          </w:p>
        </w:tc>
        <w:tc>
          <w:tcPr>
            <w:tcW w:w="520" w:type="dxa"/>
            <w:vAlign w:val="bottom"/>
          </w:tcPr>
          <w:p>
            <w:pPr>
              <w:jc w:val="right"/>
              <w:ind w:right="88"/>
              <w:spacing w:after="0"/>
              <w:rPr>
                <w:sz w:val="20"/>
                <w:szCs w:val="20"/>
                <w:color w:val="auto"/>
              </w:rPr>
            </w:pPr>
            <w:r>
              <w:rPr>
                <w:rFonts w:ascii="Arial" w:cs="Arial" w:eastAsia="Arial" w:hAnsi="Arial"/>
                <w:sz w:val="14"/>
                <w:szCs w:val="14"/>
                <w:color w:val="auto"/>
              </w:rPr>
              <w:t>9%</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227965</wp:posOffset>
            </wp:positionH>
            <wp:positionV relativeFrom="paragraph">
              <wp:posOffset>-163195</wp:posOffset>
            </wp:positionV>
            <wp:extent cx="6852285" cy="1714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852285" cy="171450"/>
                    </a:xfrm>
                    <a:prstGeom prst="rect">
                      <a:avLst/>
                    </a:prstGeom>
                    <a:noFill/>
                  </pic:spPr>
                </pic:pic>
              </a:graphicData>
            </a:graphic>
          </wp:anchor>
        </w:drawing>
      </w:r>
    </w:p>
    <w:p>
      <w:pPr>
        <w:ind w:left="40"/>
        <w:spacing w:after="0"/>
        <w:rPr>
          <w:sz w:val="20"/>
          <w:szCs w:val="20"/>
          <w:color w:val="auto"/>
        </w:rPr>
      </w:pPr>
      <w:r>
        <w:rPr>
          <w:rFonts w:ascii="Arial" w:cs="Arial" w:eastAsia="Arial" w:hAnsi="Arial"/>
          <w:sz w:val="14"/>
          <w:szCs w:val="14"/>
          <w:color w:val="auto"/>
        </w:rPr>
        <w:t>________________________</w:t>
      </w:r>
    </w:p>
    <w:p>
      <w:pPr>
        <w:spacing w:after="0" w:line="6" w:lineRule="exact"/>
        <w:rPr>
          <w:sz w:val="20"/>
          <w:szCs w:val="20"/>
          <w:color w:val="auto"/>
        </w:rPr>
      </w:pPr>
    </w:p>
    <w:p>
      <w:pPr>
        <w:ind w:left="660" w:hanging="328"/>
        <w:spacing w:after="0"/>
        <w:tabs>
          <w:tab w:leader="none" w:pos="660" w:val="left"/>
        </w:tabs>
        <w:numPr>
          <w:ilvl w:val="0"/>
          <w:numId w:val="26"/>
        </w:numPr>
        <w:rPr>
          <w:rFonts w:ascii="Arial" w:cs="Arial" w:eastAsia="Arial" w:hAnsi="Arial"/>
          <w:sz w:val="14"/>
          <w:szCs w:val="14"/>
          <w:color w:val="auto"/>
        </w:rPr>
      </w:pPr>
      <w:r>
        <w:rPr>
          <w:rFonts w:ascii="Arial" w:cs="Arial" w:eastAsia="Arial" w:hAnsi="Arial"/>
          <w:sz w:val="14"/>
          <w:szCs w:val="14"/>
          <w:color w:val="auto"/>
        </w:rPr>
        <w:t>Weighted average actual one-month annualized CPR released at the beginning of the month based on securities held/outstanding as of the preceding month-end.</w:t>
      </w:r>
    </w:p>
    <w:p>
      <w:pPr>
        <w:spacing w:after="0" w:line="3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420"/>
          </w:cols>
          <w:pgMar w:left="240" w:top="746" w:right="239" w:bottom="1440" w:gutter="0" w:footer="0" w:header="0"/>
        </w:sectPr>
      </w:pPr>
    </w:p>
    <w:bookmarkStart w:id="44" w:name="page45"/>
    <w:bookmarkEnd w:id="44"/>
    <w:p>
      <w:pPr>
        <w:spacing w:after="0"/>
        <w:rPr>
          <w:sz w:val="20"/>
          <w:szCs w:val="20"/>
          <w:color w:val="auto"/>
        </w:rPr>
      </w:pPr>
      <w:r>
        <w:rPr>
          <w:rFonts w:ascii="Arial" w:cs="Arial" w:eastAsia="Arial" w:hAnsi="Arial"/>
          <w:sz w:val="18"/>
          <w:szCs w:val="18"/>
          <w:b w:val="1"/>
          <w:bCs w:val="1"/>
          <w:color w:val="auto"/>
        </w:rPr>
        <w:t>FINANCIAL CONDITION</w:t>
      </w:r>
    </w:p>
    <w:p>
      <w:pPr>
        <w:spacing w:after="0" w:line="175"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As of December 31, 2015 and 2014, our investment portfolio consisted of $52.5 billion and $56.7 billion of MBS, respectively, and a $7.4 billion and $14.8 billion net long TBA position, at fair value, respectively. The following table is a summary of our investment portfolio as of December 31, 2015 and 2014 (dollars in millions):</w:t>
      </w: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2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940" w:type="dxa"/>
            <w:vAlign w:val="bottom"/>
            <w:tcBorders>
              <w:bottom w:val="single" w:sz="8" w:color="auto"/>
            </w:tcBorders>
            <w:gridSpan w:val="4"/>
          </w:tcPr>
          <w:p>
            <w:pPr>
              <w:ind w:left="140"/>
              <w:spacing w:after="0"/>
              <w:rPr>
                <w:sz w:val="20"/>
                <w:szCs w:val="20"/>
                <w:color w:val="auto"/>
              </w:rPr>
            </w:pPr>
            <w:r>
              <w:rPr>
                <w:rFonts w:ascii="Arial" w:cs="Arial" w:eastAsia="Arial" w:hAnsi="Arial"/>
                <w:sz w:val="14"/>
                <w:szCs w:val="14"/>
                <w:b w:val="1"/>
                <w:bCs w:val="1"/>
                <w:color w:val="auto"/>
              </w:rPr>
              <w:t>December 31, 2015</w:t>
            </w:r>
          </w:p>
        </w:tc>
        <w:tc>
          <w:tcPr>
            <w:tcW w:w="72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940" w:type="dxa"/>
            <w:vAlign w:val="bottom"/>
            <w:tcBorders>
              <w:bottom w:val="single" w:sz="8" w:color="auto"/>
            </w:tcBorders>
            <w:gridSpan w:val="4"/>
          </w:tcPr>
          <w:p>
            <w:pPr>
              <w:ind w:left="140"/>
              <w:spacing w:after="0"/>
              <w:rPr>
                <w:sz w:val="20"/>
                <w:szCs w:val="20"/>
                <w:color w:val="auto"/>
              </w:rPr>
            </w:pPr>
            <w:r>
              <w:rPr>
                <w:rFonts w:ascii="Arial" w:cs="Arial" w:eastAsia="Arial" w:hAnsi="Arial"/>
                <w:sz w:val="14"/>
                <w:szCs w:val="14"/>
                <w:b w:val="1"/>
                <w:bCs w:val="1"/>
                <w:color w:val="auto"/>
              </w:rPr>
              <w:t>December 31, 2014</w:t>
            </w:r>
          </w:p>
        </w:tc>
        <w:tc>
          <w:tcPr>
            <w:tcW w:w="7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2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MBS and TBA Securities</w:t>
            </w:r>
          </w:p>
        </w:tc>
        <w:tc>
          <w:tcPr>
            <w:tcW w:w="220" w:type="dxa"/>
            <w:vAlign w:val="bottom"/>
            <w:vMerge w:val="restart"/>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Amortized</w:t>
            </w:r>
          </w:p>
        </w:tc>
        <w:tc>
          <w:tcPr>
            <w:tcW w:w="120" w:type="dxa"/>
            <w:vAlign w:val="bottom"/>
          </w:tcPr>
          <w:p>
            <w:pPr>
              <w:spacing w:after="0"/>
              <w:rPr>
                <w:sz w:val="13"/>
                <w:szCs w:val="13"/>
                <w:color w:val="auto"/>
              </w:rPr>
            </w:pPr>
          </w:p>
        </w:tc>
        <w:tc>
          <w:tcPr>
            <w:tcW w:w="78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5"/>
              </w:rPr>
              <w:t>Fair Value</w:t>
            </w:r>
          </w:p>
        </w:tc>
        <w:tc>
          <w:tcPr>
            <w:tcW w:w="100" w:type="dxa"/>
            <w:vAlign w:val="bottom"/>
            <w:vMerge w:val="restart"/>
          </w:tcPr>
          <w:p>
            <w:pPr>
              <w:spacing w:after="0"/>
              <w:rPr>
                <w:sz w:val="13"/>
                <w:szCs w:val="13"/>
                <w:color w:val="auto"/>
              </w:rPr>
            </w:pPr>
          </w:p>
        </w:tc>
        <w:tc>
          <w:tcPr>
            <w:tcW w:w="1060" w:type="dxa"/>
            <w:vAlign w:val="bottom"/>
            <w:gridSpan w:val="2"/>
          </w:tcPr>
          <w:p>
            <w:pPr>
              <w:ind w:left="220"/>
              <w:spacing w:after="0" w:line="153" w:lineRule="exact"/>
              <w:rPr>
                <w:sz w:val="20"/>
                <w:szCs w:val="20"/>
                <w:color w:val="auto"/>
              </w:rPr>
            </w:pPr>
            <w:r>
              <w:rPr>
                <w:rFonts w:ascii="Arial" w:cs="Arial" w:eastAsia="Arial" w:hAnsi="Arial"/>
                <w:sz w:val="14"/>
                <w:szCs w:val="14"/>
                <w:b w:val="1"/>
                <w:bCs w:val="1"/>
                <w:color w:val="auto"/>
              </w:rPr>
              <w:t>Average</w:t>
            </w:r>
          </w:p>
        </w:tc>
        <w:tc>
          <w:tcPr>
            <w:tcW w:w="720" w:type="dxa"/>
            <w:vAlign w:val="bottom"/>
            <w:vMerge w:val="restart"/>
          </w:tcPr>
          <w:p>
            <w:pPr>
              <w:jc w:val="right"/>
              <w:ind w:right="228"/>
              <w:spacing w:after="0"/>
              <w:rPr>
                <w:sz w:val="20"/>
                <w:szCs w:val="20"/>
                <w:color w:val="auto"/>
              </w:rPr>
            </w:pPr>
            <w:r>
              <w:rPr>
                <w:rFonts w:ascii="Arial" w:cs="Arial" w:eastAsia="Arial" w:hAnsi="Arial"/>
                <w:sz w:val="14"/>
                <w:szCs w:val="14"/>
                <w:b w:val="1"/>
                <w:bCs w:val="1"/>
                <w:color w:val="auto"/>
              </w:rPr>
              <w:t>%</w:t>
            </w: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Amortized</w:t>
            </w:r>
          </w:p>
        </w:tc>
        <w:tc>
          <w:tcPr>
            <w:tcW w:w="100" w:type="dxa"/>
            <w:vAlign w:val="bottom"/>
          </w:tcPr>
          <w:p>
            <w:pPr>
              <w:spacing w:after="0"/>
              <w:rPr>
                <w:sz w:val="13"/>
                <w:szCs w:val="13"/>
                <w:color w:val="auto"/>
              </w:rPr>
            </w:pPr>
          </w:p>
        </w:tc>
        <w:tc>
          <w:tcPr>
            <w:tcW w:w="78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5"/>
              </w:rPr>
              <w:t>Fair Value</w:t>
            </w:r>
          </w:p>
        </w:tc>
        <w:tc>
          <w:tcPr>
            <w:tcW w:w="120" w:type="dxa"/>
            <w:vAlign w:val="bottom"/>
            <w:vMerge w:val="restart"/>
          </w:tcPr>
          <w:p>
            <w:pPr>
              <w:spacing w:after="0"/>
              <w:rPr>
                <w:sz w:val="13"/>
                <w:szCs w:val="13"/>
                <w:color w:val="auto"/>
              </w:rPr>
            </w:pPr>
          </w:p>
        </w:tc>
        <w:tc>
          <w:tcPr>
            <w:tcW w:w="1040" w:type="dxa"/>
            <w:vAlign w:val="bottom"/>
            <w:gridSpan w:val="2"/>
          </w:tcPr>
          <w:p>
            <w:pPr>
              <w:ind w:left="220"/>
              <w:spacing w:after="0" w:line="153" w:lineRule="exact"/>
              <w:rPr>
                <w:sz w:val="20"/>
                <w:szCs w:val="20"/>
                <w:color w:val="auto"/>
              </w:rPr>
            </w:pPr>
            <w:r>
              <w:rPr>
                <w:rFonts w:ascii="Arial" w:cs="Arial" w:eastAsia="Arial" w:hAnsi="Arial"/>
                <w:sz w:val="14"/>
                <w:szCs w:val="14"/>
                <w:b w:val="1"/>
                <w:bCs w:val="1"/>
                <w:color w:val="auto"/>
              </w:rPr>
              <w:t>Average</w:t>
            </w:r>
          </w:p>
        </w:tc>
        <w:tc>
          <w:tcPr>
            <w:tcW w:w="720" w:type="dxa"/>
            <w:vAlign w:val="bottom"/>
            <w:vMerge w:val="restart"/>
          </w:tcPr>
          <w:p>
            <w:pPr>
              <w:jc w:val="right"/>
              <w:ind w:right="20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2"/>
        </w:trPr>
        <w:tc>
          <w:tcPr>
            <w:tcW w:w="3200" w:type="dxa"/>
            <w:vAlign w:val="bottom"/>
            <w:tcBorders>
              <w:bottom w:val="single" w:sz="8" w:color="auto"/>
            </w:tcBorders>
            <w:vMerge w:val="continue"/>
          </w:tcPr>
          <w:p>
            <w:pPr>
              <w:spacing w:after="0"/>
              <w:rPr>
                <w:sz w:val="16"/>
                <w:szCs w:val="16"/>
                <w:color w:val="auto"/>
              </w:rPr>
            </w:pPr>
          </w:p>
        </w:tc>
        <w:tc>
          <w:tcPr>
            <w:tcW w:w="2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Cost</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960" w:type="dxa"/>
            <w:vAlign w:val="bottom"/>
            <w:tcBorders>
              <w:bottom w:val="single" w:sz="8" w:color="auto"/>
            </w:tcBorders>
          </w:tcPr>
          <w:p>
            <w:pPr>
              <w:ind w:left="240"/>
              <w:spacing w:after="0"/>
              <w:rPr>
                <w:sz w:val="20"/>
                <w:szCs w:val="20"/>
                <w:color w:val="auto"/>
              </w:rPr>
            </w:pPr>
            <w:r>
              <w:rPr>
                <w:rFonts w:ascii="Arial" w:cs="Arial" w:eastAsia="Arial" w:hAnsi="Arial"/>
                <w:sz w:val="14"/>
                <w:szCs w:val="14"/>
                <w:b w:val="1"/>
                <w:bCs w:val="1"/>
                <w:color w:val="auto"/>
              </w:rPr>
              <w:t>Coupon</w:t>
            </w:r>
          </w:p>
        </w:tc>
        <w:tc>
          <w:tcPr>
            <w:tcW w:w="100" w:type="dxa"/>
            <w:vAlign w:val="bottom"/>
            <w:tcBorders>
              <w:bottom w:val="single" w:sz="8" w:color="CCEEFF"/>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940" w:type="dxa"/>
            <w:vAlign w:val="bottom"/>
            <w:tcBorders>
              <w:bottom w:val="single" w:sz="8" w:color="auto"/>
            </w:tcBorders>
          </w:tcPr>
          <w:p>
            <w:pPr>
              <w:ind w:left="220"/>
              <w:spacing w:after="0"/>
              <w:rPr>
                <w:sz w:val="20"/>
                <w:szCs w:val="20"/>
                <w:color w:val="auto"/>
              </w:rPr>
            </w:pPr>
            <w:r>
              <w:rPr>
                <w:rFonts w:ascii="Arial" w:cs="Arial" w:eastAsia="Arial" w:hAnsi="Arial"/>
                <w:sz w:val="14"/>
                <w:szCs w:val="14"/>
                <w:b w:val="1"/>
                <w:bCs w:val="1"/>
                <w:color w:val="auto"/>
              </w:rPr>
              <w:t>Coupon</w:t>
            </w:r>
          </w:p>
        </w:tc>
        <w:tc>
          <w:tcPr>
            <w:tcW w:w="100" w:type="dxa"/>
            <w:vAlign w:val="bottom"/>
            <w:tcBorders>
              <w:bottom w:val="single" w:sz="8" w:color="CCEEFF"/>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34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Fixed rate agency securities:</w:t>
            </w: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420" w:type="dxa"/>
            <w:vAlign w:val="bottom"/>
            <w:gridSpan w:val="2"/>
          </w:tcPr>
          <w:p>
            <w:pPr>
              <w:ind w:left="160"/>
              <w:spacing w:after="0"/>
              <w:rPr>
                <w:sz w:val="20"/>
                <w:szCs w:val="20"/>
                <w:color w:val="auto"/>
              </w:rPr>
            </w:pPr>
            <w:r>
              <w:rPr>
                <w:rFonts w:ascii="Arial" w:cs="Arial" w:eastAsia="Arial" w:hAnsi="Arial"/>
                <w:sz w:val="14"/>
                <w:szCs w:val="14"/>
                <w:color w:val="auto"/>
              </w:rPr>
              <w:t>≤ 15-year</w:t>
            </w:r>
          </w:p>
        </w:tc>
        <w:tc>
          <w:tcPr>
            <w:tcW w:w="14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42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 15-year</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16,725</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16,865</w:t>
            </w: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3.25%</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w:t>
            </w:r>
          </w:p>
        </w:tc>
        <w:tc>
          <w:tcPr>
            <w:tcW w:w="22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22,694</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23,021</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3.20%</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w:t>
            </w:r>
          </w:p>
        </w:tc>
        <w:tc>
          <w:tcPr>
            <w:tcW w:w="0" w:type="dxa"/>
            <w:vAlign w:val="bottom"/>
          </w:tcPr>
          <w:p>
            <w:pPr>
              <w:spacing w:after="0"/>
              <w:rPr>
                <w:sz w:val="1"/>
                <w:szCs w:val="1"/>
                <w:color w:val="auto"/>
              </w:rPr>
            </w:pPr>
          </w:p>
        </w:tc>
      </w:tr>
      <w:tr>
        <w:trPr>
          <w:trHeight w:val="264"/>
        </w:trPr>
        <w:tc>
          <w:tcPr>
            <w:tcW w:w="3420" w:type="dxa"/>
            <w:vAlign w:val="bottom"/>
            <w:tcBorders>
              <w:bottom w:val="single" w:sz="8" w:color="CCEEFF"/>
            </w:tcBorders>
            <w:gridSpan w:val="2"/>
          </w:tcPr>
          <w:p>
            <w:pPr>
              <w:ind w:left="280"/>
              <w:spacing w:after="0"/>
              <w:rPr>
                <w:sz w:val="20"/>
                <w:szCs w:val="20"/>
                <w:color w:val="auto"/>
              </w:rPr>
            </w:pPr>
            <w:r>
              <w:rPr>
                <w:rFonts w:ascii="Arial" w:cs="Arial" w:eastAsia="Arial" w:hAnsi="Arial"/>
                <w:sz w:val="14"/>
                <w:szCs w:val="14"/>
                <w:color w:val="auto"/>
              </w:rPr>
              <w:t>15-year TBA securities</w:t>
            </w:r>
          </w:p>
        </w:tc>
        <w:tc>
          <w:tcPr>
            <w:tcW w:w="1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295</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293</w:t>
            </w:r>
          </w:p>
        </w:tc>
        <w:tc>
          <w:tcPr>
            <w:tcW w:w="100" w:type="dxa"/>
            <w:vAlign w:val="bottom"/>
            <w:tcBorders>
              <w:bottom w:val="single" w:sz="8" w:color="CCEEFF"/>
            </w:tcBorders>
          </w:tcPr>
          <w:p>
            <w:pPr>
              <w:spacing w:after="0"/>
              <w:rPr>
                <w:sz w:val="22"/>
                <w:szCs w:val="2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3.38%</w:t>
            </w:r>
          </w:p>
        </w:tc>
        <w:tc>
          <w:tcPr>
            <w:tcW w:w="100" w:type="dxa"/>
            <w:vAlign w:val="bottom"/>
            <w:tcBorders>
              <w:bottom w:val="single" w:sz="8" w:color="CCEEFF"/>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w:t>
            </w:r>
          </w:p>
        </w:tc>
        <w:tc>
          <w:tcPr>
            <w:tcW w:w="2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3,348</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3,360</w:t>
            </w:r>
          </w:p>
        </w:tc>
        <w:tc>
          <w:tcPr>
            <w:tcW w:w="12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2.78%</w:t>
            </w:r>
          </w:p>
        </w:tc>
        <w:tc>
          <w:tcPr>
            <w:tcW w:w="100" w:type="dxa"/>
            <w:vAlign w:val="bottom"/>
            <w:tcBorders>
              <w:bottom w:val="single" w:sz="8" w:color="CCEEFF"/>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250"/>
        </w:trPr>
        <w:tc>
          <w:tcPr>
            <w:tcW w:w="342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Total ≤ 15-year</w:t>
            </w:r>
          </w:p>
        </w:tc>
        <w:tc>
          <w:tcPr>
            <w:tcW w:w="14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17,020</w:t>
            </w:r>
          </w:p>
        </w:tc>
        <w:tc>
          <w:tcPr>
            <w:tcW w:w="10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17,158</w:t>
            </w:r>
          </w:p>
        </w:tc>
        <w:tc>
          <w:tcPr>
            <w:tcW w:w="100" w:type="dxa"/>
            <w:vAlign w:val="bottom"/>
            <w:shd w:val="clear" w:color="auto" w:fill="CCEEFF"/>
          </w:tcPr>
          <w:p>
            <w:pPr>
              <w:spacing w:after="0"/>
              <w:rPr>
                <w:sz w:val="21"/>
                <w:szCs w:val="21"/>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3.25%</w:t>
            </w:r>
          </w:p>
        </w:tc>
        <w:tc>
          <w:tcPr>
            <w:tcW w:w="100" w:type="dxa"/>
            <w:vAlign w:val="bottom"/>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29%</w:t>
            </w:r>
          </w:p>
        </w:tc>
        <w:tc>
          <w:tcPr>
            <w:tcW w:w="22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26,042</w:t>
            </w:r>
          </w:p>
        </w:tc>
        <w:tc>
          <w:tcPr>
            <w:tcW w:w="120" w:type="dxa"/>
            <w:vAlign w:val="bottom"/>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26,381</w:t>
            </w:r>
          </w:p>
        </w:tc>
        <w:tc>
          <w:tcPr>
            <w:tcW w:w="120" w:type="dxa"/>
            <w:vAlign w:val="bottom"/>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3.15%</w:t>
            </w:r>
          </w:p>
        </w:tc>
        <w:tc>
          <w:tcPr>
            <w:tcW w:w="100" w:type="dxa"/>
            <w:vAlign w:val="bottom"/>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w:t>
            </w:r>
          </w:p>
        </w:tc>
        <w:tc>
          <w:tcPr>
            <w:tcW w:w="0" w:type="dxa"/>
            <w:vAlign w:val="bottom"/>
          </w:tcPr>
          <w:p>
            <w:pPr>
              <w:spacing w:after="0"/>
              <w:rPr>
                <w:sz w:val="1"/>
                <w:szCs w:val="1"/>
                <w:color w:val="auto"/>
              </w:rPr>
            </w:pPr>
          </w:p>
        </w:tc>
      </w:tr>
      <w:tr>
        <w:trPr>
          <w:trHeight w:val="250"/>
        </w:trPr>
        <w:tc>
          <w:tcPr>
            <w:tcW w:w="3420" w:type="dxa"/>
            <w:vAlign w:val="bottom"/>
            <w:tcBorders>
              <w:bottom w:val="single" w:sz="8" w:color="CCEEFF"/>
            </w:tcBorders>
            <w:gridSpan w:val="2"/>
          </w:tcPr>
          <w:p>
            <w:pPr>
              <w:ind w:left="120"/>
              <w:spacing w:after="0"/>
              <w:rPr>
                <w:sz w:val="20"/>
                <w:szCs w:val="20"/>
                <w:color w:val="auto"/>
              </w:rPr>
            </w:pPr>
            <w:r>
              <w:rPr>
                <w:rFonts w:ascii="Arial" w:cs="Arial" w:eastAsia="Arial" w:hAnsi="Arial"/>
                <w:sz w:val="14"/>
                <w:szCs w:val="14"/>
                <w:color w:val="auto"/>
              </w:rPr>
              <w:t>20-year</w:t>
            </w:r>
          </w:p>
        </w:tc>
        <w:tc>
          <w:tcPr>
            <w:tcW w:w="1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1,061</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1,088</w:t>
            </w:r>
          </w:p>
        </w:tc>
        <w:tc>
          <w:tcPr>
            <w:tcW w:w="100" w:type="dxa"/>
            <w:vAlign w:val="bottom"/>
            <w:tcBorders>
              <w:bottom w:val="single" w:sz="8" w:color="CCEEFF"/>
            </w:tcBorders>
          </w:tcPr>
          <w:p>
            <w:pPr>
              <w:spacing w:after="0"/>
              <w:rPr>
                <w:sz w:val="21"/>
                <w:szCs w:val="21"/>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3.48%</w:t>
            </w:r>
          </w:p>
        </w:tc>
        <w:tc>
          <w:tcPr>
            <w:tcW w:w="100" w:type="dxa"/>
            <w:vAlign w:val="bottom"/>
            <w:tcBorders>
              <w:bottom w:val="single" w:sz="8" w:color="CCEEFF"/>
            </w:tcBorders>
          </w:tcPr>
          <w:p>
            <w:pPr>
              <w:spacing w:after="0"/>
              <w:rPr>
                <w:sz w:val="21"/>
                <w:szCs w:val="21"/>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w:t>
            </w:r>
          </w:p>
        </w:tc>
        <w:tc>
          <w:tcPr>
            <w:tcW w:w="22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1,232</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1,272</w:t>
            </w:r>
          </w:p>
        </w:tc>
        <w:tc>
          <w:tcPr>
            <w:tcW w:w="120" w:type="dxa"/>
            <w:vAlign w:val="bottom"/>
            <w:tcBorders>
              <w:bottom w:val="single" w:sz="8" w:color="CCEEFF"/>
            </w:tcBorders>
          </w:tcPr>
          <w:p>
            <w:pPr>
              <w:spacing w:after="0"/>
              <w:rPr>
                <w:sz w:val="21"/>
                <w:szCs w:val="21"/>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3.49%</w:t>
            </w:r>
          </w:p>
        </w:tc>
        <w:tc>
          <w:tcPr>
            <w:tcW w:w="100" w:type="dxa"/>
            <w:vAlign w:val="bottom"/>
            <w:tcBorders>
              <w:bottom w:val="single" w:sz="8" w:color="CCEEFF"/>
            </w:tcBorders>
          </w:tcPr>
          <w:p>
            <w:pPr>
              <w:spacing w:after="0"/>
              <w:rPr>
                <w:sz w:val="21"/>
                <w:szCs w:val="21"/>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270"/>
        </w:trPr>
        <w:tc>
          <w:tcPr>
            <w:tcW w:w="342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30-year</w:t>
            </w: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420" w:type="dxa"/>
            <w:vAlign w:val="bottom"/>
            <w:gridSpan w:val="2"/>
          </w:tcPr>
          <w:p>
            <w:pPr>
              <w:ind w:left="280"/>
              <w:spacing w:after="0"/>
              <w:rPr>
                <w:sz w:val="20"/>
                <w:szCs w:val="20"/>
                <w:color w:val="auto"/>
              </w:rPr>
            </w:pPr>
            <w:r>
              <w:rPr>
                <w:rFonts w:ascii="Arial" w:cs="Arial" w:eastAsia="Arial" w:hAnsi="Arial"/>
                <w:sz w:val="14"/>
                <w:szCs w:val="14"/>
                <w:color w:val="auto"/>
              </w:rPr>
              <w:t>30-year</w:t>
            </w:r>
          </w:p>
        </w:tc>
        <w:tc>
          <w:tcPr>
            <w:tcW w:w="14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32,790</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32,570</w:t>
            </w:r>
          </w:p>
        </w:tc>
        <w:tc>
          <w:tcPr>
            <w:tcW w:w="10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3.70%</w:t>
            </w:r>
          </w:p>
        </w:tc>
        <w:tc>
          <w:tcPr>
            <w:tcW w:w="1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54%</w:t>
            </w:r>
          </w:p>
        </w:tc>
        <w:tc>
          <w:tcPr>
            <w:tcW w:w="2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30,019</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30,180</w:t>
            </w:r>
          </w:p>
        </w:tc>
        <w:tc>
          <w:tcPr>
            <w:tcW w:w="1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3.82%</w:t>
            </w:r>
          </w:p>
        </w:tc>
        <w:tc>
          <w:tcPr>
            <w:tcW w:w="1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42%</w:t>
            </w:r>
          </w:p>
        </w:tc>
        <w:tc>
          <w:tcPr>
            <w:tcW w:w="0" w:type="dxa"/>
            <w:vAlign w:val="bottom"/>
          </w:tcPr>
          <w:p>
            <w:pPr>
              <w:spacing w:after="0"/>
              <w:rPr>
                <w:sz w:val="1"/>
                <w:szCs w:val="1"/>
                <w:color w:val="auto"/>
              </w:rPr>
            </w:pPr>
          </w:p>
        </w:tc>
      </w:tr>
      <w:tr>
        <w:trPr>
          <w:trHeight w:val="270"/>
        </w:trPr>
        <w:tc>
          <w:tcPr>
            <w:tcW w:w="342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30-year TBA securities</w:t>
            </w:r>
          </w:p>
        </w:tc>
        <w:tc>
          <w:tcPr>
            <w:tcW w:w="14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7,135</w:t>
            </w: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7,150</w:t>
            </w:r>
          </w:p>
        </w:tc>
        <w:tc>
          <w:tcPr>
            <w:tcW w:w="100" w:type="dxa"/>
            <w:vAlign w:val="bottom"/>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3.34%</w:t>
            </w:r>
          </w:p>
        </w:tc>
        <w:tc>
          <w:tcPr>
            <w:tcW w:w="100" w:type="dxa"/>
            <w:vAlign w:val="bottom"/>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22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11,228</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11,408</w:t>
            </w:r>
          </w:p>
        </w:tc>
        <w:tc>
          <w:tcPr>
            <w:tcW w:w="120" w:type="dxa"/>
            <w:vAlign w:val="bottom"/>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3.17%</w:t>
            </w:r>
          </w:p>
        </w:tc>
        <w:tc>
          <w:tcPr>
            <w:tcW w:w="100" w:type="dxa"/>
            <w:vAlign w:val="bottom"/>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w:t>
            </w:r>
          </w:p>
        </w:tc>
        <w:tc>
          <w:tcPr>
            <w:tcW w:w="0" w:type="dxa"/>
            <w:vAlign w:val="bottom"/>
          </w:tcPr>
          <w:p>
            <w:pPr>
              <w:spacing w:after="0"/>
              <w:rPr>
                <w:sz w:val="1"/>
                <w:szCs w:val="1"/>
                <w:color w:val="auto"/>
              </w:rPr>
            </w:pPr>
          </w:p>
        </w:tc>
      </w:tr>
      <w:tr>
        <w:trPr>
          <w:trHeight w:val="250"/>
        </w:trPr>
        <w:tc>
          <w:tcPr>
            <w:tcW w:w="3420" w:type="dxa"/>
            <w:vAlign w:val="bottom"/>
            <w:tcBorders>
              <w:bottom w:val="single" w:sz="8" w:color="CCEEFF"/>
            </w:tcBorders>
            <w:gridSpan w:val="2"/>
          </w:tcPr>
          <w:p>
            <w:pPr>
              <w:ind w:left="120"/>
              <w:spacing w:after="0"/>
              <w:rPr>
                <w:sz w:val="20"/>
                <w:szCs w:val="20"/>
                <w:color w:val="auto"/>
              </w:rPr>
            </w:pPr>
            <w:r>
              <w:rPr>
                <w:rFonts w:ascii="Arial" w:cs="Arial" w:eastAsia="Arial" w:hAnsi="Arial"/>
                <w:sz w:val="14"/>
                <w:szCs w:val="14"/>
                <w:color w:val="auto"/>
              </w:rPr>
              <w:t>Total 30-year</w:t>
            </w:r>
          </w:p>
        </w:tc>
        <w:tc>
          <w:tcPr>
            <w:tcW w:w="1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39,925</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39,720</w:t>
            </w:r>
          </w:p>
        </w:tc>
        <w:tc>
          <w:tcPr>
            <w:tcW w:w="100" w:type="dxa"/>
            <w:vAlign w:val="bottom"/>
            <w:tcBorders>
              <w:bottom w:val="single" w:sz="8" w:color="CCEEFF"/>
            </w:tcBorders>
          </w:tcPr>
          <w:p>
            <w:pPr>
              <w:spacing w:after="0"/>
              <w:rPr>
                <w:sz w:val="21"/>
                <w:szCs w:val="21"/>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3.63%</w:t>
            </w:r>
          </w:p>
        </w:tc>
        <w:tc>
          <w:tcPr>
            <w:tcW w:w="100" w:type="dxa"/>
            <w:vAlign w:val="bottom"/>
            <w:tcBorders>
              <w:bottom w:val="single" w:sz="8" w:color="CCEEFF"/>
            </w:tcBorders>
          </w:tcPr>
          <w:p>
            <w:pPr>
              <w:spacing w:after="0"/>
              <w:rPr>
                <w:sz w:val="21"/>
                <w:szCs w:val="21"/>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66%</w:t>
            </w:r>
          </w:p>
        </w:tc>
        <w:tc>
          <w:tcPr>
            <w:tcW w:w="22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41,247</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41,588</w:t>
            </w:r>
          </w:p>
        </w:tc>
        <w:tc>
          <w:tcPr>
            <w:tcW w:w="120" w:type="dxa"/>
            <w:vAlign w:val="bottom"/>
            <w:tcBorders>
              <w:bottom w:val="single" w:sz="8" w:color="CCEEFF"/>
            </w:tcBorders>
          </w:tcPr>
          <w:p>
            <w:pPr>
              <w:spacing w:after="0"/>
              <w:rPr>
                <w:sz w:val="21"/>
                <w:szCs w:val="21"/>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3.63%</w:t>
            </w:r>
          </w:p>
        </w:tc>
        <w:tc>
          <w:tcPr>
            <w:tcW w:w="100" w:type="dxa"/>
            <w:vAlign w:val="bottom"/>
            <w:tcBorders>
              <w:bottom w:val="single" w:sz="8" w:color="CCEEFF"/>
            </w:tcBorders>
          </w:tcPr>
          <w:p>
            <w:pPr>
              <w:spacing w:after="0"/>
              <w:rPr>
                <w:sz w:val="21"/>
                <w:szCs w:val="21"/>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58%</w:t>
            </w:r>
          </w:p>
        </w:tc>
        <w:tc>
          <w:tcPr>
            <w:tcW w:w="0" w:type="dxa"/>
            <w:vAlign w:val="bottom"/>
          </w:tcPr>
          <w:p>
            <w:pPr>
              <w:spacing w:after="0"/>
              <w:rPr>
                <w:sz w:val="1"/>
                <w:szCs w:val="1"/>
                <w:color w:val="auto"/>
              </w:rPr>
            </w:pPr>
          </w:p>
        </w:tc>
      </w:tr>
      <w:tr>
        <w:trPr>
          <w:trHeight w:val="250"/>
        </w:trPr>
        <w:tc>
          <w:tcPr>
            <w:tcW w:w="34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Total fixed rate agency securities</w:t>
            </w:r>
          </w:p>
        </w:tc>
        <w:tc>
          <w:tcPr>
            <w:tcW w:w="14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58,006</w:t>
            </w:r>
          </w:p>
        </w:tc>
        <w:tc>
          <w:tcPr>
            <w:tcW w:w="10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57,966</w:t>
            </w:r>
          </w:p>
        </w:tc>
        <w:tc>
          <w:tcPr>
            <w:tcW w:w="100" w:type="dxa"/>
            <w:vAlign w:val="bottom"/>
            <w:shd w:val="clear" w:color="auto" w:fill="CCEEFF"/>
          </w:tcPr>
          <w:p>
            <w:pPr>
              <w:spacing w:after="0"/>
              <w:rPr>
                <w:sz w:val="21"/>
                <w:szCs w:val="21"/>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3.52%</w:t>
            </w:r>
          </w:p>
        </w:tc>
        <w:tc>
          <w:tcPr>
            <w:tcW w:w="100" w:type="dxa"/>
            <w:vAlign w:val="bottom"/>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97%</w:t>
            </w:r>
          </w:p>
        </w:tc>
        <w:tc>
          <w:tcPr>
            <w:tcW w:w="22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68,521</w:t>
            </w:r>
          </w:p>
        </w:tc>
        <w:tc>
          <w:tcPr>
            <w:tcW w:w="120" w:type="dxa"/>
            <w:vAlign w:val="bottom"/>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69,241</w:t>
            </w:r>
          </w:p>
        </w:tc>
        <w:tc>
          <w:tcPr>
            <w:tcW w:w="120" w:type="dxa"/>
            <w:vAlign w:val="bottom"/>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3.45%</w:t>
            </w:r>
          </w:p>
        </w:tc>
        <w:tc>
          <w:tcPr>
            <w:tcW w:w="100" w:type="dxa"/>
            <w:vAlign w:val="bottom"/>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97%</w:t>
            </w:r>
          </w:p>
        </w:tc>
        <w:tc>
          <w:tcPr>
            <w:tcW w:w="0" w:type="dxa"/>
            <w:vAlign w:val="bottom"/>
          </w:tcPr>
          <w:p>
            <w:pPr>
              <w:spacing w:after="0"/>
              <w:rPr>
                <w:sz w:val="1"/>
                <w:szCs w:val="1"/>
                <w:color w:val="auto"/>
              </w:rPr>
            </w:pPr>
          </w:p>
        </w:tc>
      </w:tr>
      <w:tr>
        <w:trPr>
          <w:trHeight w:val="324"/>
        </w:trPr>
        <w:tc>
          <w:tcPr>
            <w:tcW w:w="3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4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Adjustable rate agency securities</w:t>
            </w:r>
          </w:p>
        </w:tc>
        <w:tc>
          <w:tcPr>
            <w:tcW w:w="140" w:type="dxa"/>
            <w:vAlign w:val="bottom"/>
            <w:tcBorders>
              <w:bottom w:val="single" w:sz="8" w:color="auto"/>
            </w:tcBorders>
            <w:shd w:val="clear" w:color="auto" w:fill="CCEEFF"/>
          </w:tcPr>
          <w:p>
            <w:pPr>
              <w:spacing w:after="0"/>
              <w:rPr>
                <w:sz w:val="22"/>
                <w:szCs w:val="22"/>
                <w:color w:val="auto"/>
              </w:rPr>
            </w:pP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484</w:t>
            </w:r>
          </w:p>
        </w:tc>
        <w:tc>
          <w:tcPr>
            <w:tcW w:w="100" w:type="dxa"/>
            <w:vAlign w:val="bottom"/>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2"/>
                <w:szCs w:val="22"/>
                <w:color w:val="auto"/>
              </w:rPr>
            </w:pPr>
          </w:p>
        </w:tc>
        <w:tc>
          <w:tcPr>
            <w:tcW w:w="7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495</w:t>
            </w:r>
          </w:p>
        </w:tc>
        <w:tc>
          <w:tcPr>
            <w:tcW w:w="100" w:type="dxa"/>
            <w:vAlign w:val="bottom"/>
            <w:shd w:val="clear" w:color="auto" w:fill="CCEEFF"/>
          </w:tcPr>
          <w:p>
            <w:pPr>
              <w:spacing w:after="0"/>
              <w:rPr>
                <w:sz w:val="22"/>
                <w:szCs w:val="22"/>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3.05%</w:t>
            </w:r>
          </w:p>
        </w:tc>
        <w:tc>
          <w:tcPr>
            <w:tcW w:w="100" w:type="dxa"/>
            <w:vAlign w:val="bottom"/>
            <w:shd w:val="clear" w:color="auto" w:fill="CCEEFF"/>
          </w:tcPr>
          <w:p>
            <w:pPr>
              <w:spacing w:after="0"/>
              <w:rPr>
                <w:sz w:val="22"/>
                <w:szCs w:val="22"/>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220" w:type="dxa"/>
            <w:vAlign w:val="bottom"/>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2"/>
                <w:szCs w:val="22"/>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659</w:t>
            </w:r>
          </w:p>
        </w:tc>
        <w:tc>
          <w:tcPr>
            <w:tcW w:w="120" w:type="dxa"/>
            <w:vAlign w:val="bottom"/>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678</w:t>
            </w:r>
          </w:p>
        </w:tc>
        <w:tc>
          <w:tcPr>
            <w:tcW w:w="120" w:type="dxa"/>
            <w:vAlign w:val="bottom"/>
            <w:shd w:val="clear" w:color="auto" w:fill="CCEEFF"/>
          </w:tcPr>
          <w:p>
            <w:pPr>
              <w:spacing w:after="0"/>
              <w:rPr>
                <w:sz w:val="22"/>
                <w:szCs w:val="22"/>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3.29%</w:t>
            </w:r>
          </w:p>
        </w:tc>
        <w:tc>
          <w:tcPr>
            <w:tcW w:w="100" w:type="dxa"/>
            <w:vAlign w:val="bottom"/>
            <w:shd w:val="clear" w:color="auto" w:fill="CCEEFF"/>
          </w:tcPr>
          <w:p>
            <w:pPr>
              <w:spacing w:after="0"/>
              <w:rPr>
                <w:sz w:val="22"/>
                <w:szCs w:val="22"/>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324"/>
        </w:trPr>
        <w:tc>
          <w:tcPr>
            <w:tcW w:w="3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4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AAA non-agency securities</w:t>
            </w:r>
          </w:p>
        </w:tc>
        <w:tc>
          <w:tcPr>
            <w:tcW w:w="140" w:type="dxa"/>
            <w:vAlign w:val="bottom"/>
            <w:shd w:val="clear" w:color="auto" w:fill="CCEEFF"/>
          </w:tcPr>
          <w:p>
            <w:pPr>
              <w:spacing w:after="0"/>
              <w:rPr>
                <w:sz w:val="22"/>
                <w:szCs w:val="22"/>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114</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113</w:t>
            </w:r>
          </w:p>
        </w:tc>
        <w:tc>
          <w:tcPr>
            <w:tcW w:w="100" w:type="dxa"/>
            <w:vAlign w:val="bottom"/>
            <w:shd w:val="clear" w:color="auto" w:fill="CCEEFF"/>
          </w:tcPr>
          <w:p>
            <w:pPr>
              <w:spacing w:after="0"/>
              <w:rPr>
                <w:sz w:val="22"/>
                <w:szCs w:val="22"/>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3.50%</w:t>
            </w:r>
          </w:p>
        </w:tc>
        <w:tc>
          <w:tcPr>
            <w:tcW w:w="100" w:type="dxa"/>
            <w:vAlign w:val="bottom"/>
            <w:shd w:val="clear" w:color="auto" w:fill="CCEEFF"/>
          </w:tcPr>
          <w:p>
            <w:pPr>
              <w:spacing w:after="0"/>
              <w:rPr>
                <w:sz w:val="22"/>
                <w:szCs w:val="22"/>
                <w:color w:val="auto"/>
              </w:rPr>
            </w:pPr>
          </w:p>
        </w:tc>
        <w:tc>
          <w:tcPr>
            <w:tcW w:w="94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2"/>
                <w:szCs w:val="22"/>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2"/>
                <w:szCs w:val="22"/>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324"/>
        </w:trPr>
        <w:tc>
          <w:tcPr>
            <w:tcW w:w="3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88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Borders>
              <w:top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88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34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CMO agency securities:</w:t>
            </w: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420" w:type="dxa"/>
            <w:vAlign w:val="bottom"/>
            <w:gridSpan w:val="2"/>
          </w:tcPr>
          <w:p>
            <w:pPr>
              <w:ind w:left="280"/>
              <w:spacing w:after="0"/>
              <w:rPr>
                <w:sz w:val="20"/>
                <w:szCs w:val="20"/>
                <w:color w:val="auto"/>
              </w:rPr>
            </w:pPr>
            <w:r>
              <w:rPr>
                <w:rFonts w:ascii="Arial" w:cs="Arial" w:eastAsia="Arial" w:hAnsi="Arial"/>
                <w:sz w:val="14"/>
                <w:szCs w:val="14"/>
                <w:color w:val="auto"/>
              </w:rPr>
              <w:t>CMO</w:t>
            </w:r>
          </w:p>
        </w:tc>
        <w:tc>
          <w:tcPr>
            <w:tcW w:w="14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973</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990</w:t>
            </w:r>
          </w:p>
        </w:tc>
        <w:tc>
          <w:tcPr>
            <w:tcW w:w="10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3.40%</w:t>
            </w:r>
          </w:p>
        </w:tc>
        <w:tc>
          <w:tcPr>
            <w:tcW w:w="1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w:t>
            </w:r>
          </w:p>
        </w:tc>
        <w:tc>
          <w:tcPr>
            <w:tcW w:w="2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1,172</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1,195</w:t>
            </w:r>
          </w:p>
        </w:tc>
        <w:tc>
          <w:tcPr>
            <w:tcW w:w="1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3.37%</w:t>
            </w:r>
          </w:p>
        </w:tc>
        <w:tc>
          <w:tcPr>
            <w:tcW w:w="1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276"/>
        </w:trPr>
        <w:tc>
          <w:tcPr>
            <w:tcW w:w="342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Interest-only strips</w:t>
            </w: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152</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179</w:t>
            </w: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5.28%</w:t>
            </w:r>
          </w:p>
        </w:tc>
        <w:tc>
          <w:tcPr>
            <w:tcW w:w="100" w:type="dxa"/>
            <w:vAlign w:val="bottom"/>
            <w:shd w:val="clear" w:color="auto" w:fill="CCEEFF"/>
          </w:tcPr>
          <w:p>
            <w:pPr>
              <w:spacing w:after="0"/>
              <w:rPr>
                <w:sz w:val="24"/>
                <w:szCs w:val="24"/>
                <w:color w:val="auto"/>
              </w:rPr>
            </w:pPr>
          </w:p>
        </w:tc>
        <w:tc>
          <w:tcPr>
            <w:tcW w:w="94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179</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203</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5.46%</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3420" w:type="dxa"/>
            <w:vAlign w:val="bottom"/>
            <w:gridSpan w:val="2"/>
          </w:tcPr>
          <w:p>
            <w:pPr>
              <w:ind w:left="280"/>
              <w:spacing w:after="0"/>
              <w:rPr>
                <w:sz w:val="20"/>
                <w:szCs w:val="20"/>
                <w:color w:val="auto"/>
              </w:rPr>
            </w:pPr>
            <w:r>
              <w:rPr>
                <w:rFonts w:ascii="Arial" w:cs="Arial" w:eastAsia="Arial" w:hAnsi="Arial"/>
                <w:sz w:val="14"/>
                <w:szCs w:val="14"/>
                <w:color w:val="auto"/>
              </w:rPr>
              <w:t>Principal-only strips</w:t>
            </w:r>
          </w:p>
        </w:tc>
        <w:tc>
          <w:tcPr>
            <w:tcW w:w="14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165</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174</w:t>
            </w:r>
          </w:p>
        </w:tc>
        <w:tc>
          <w:tcPr>
            <w:tcW w:w="100" w:type="dxa"/>
            <w:vAlign w:val="bottom"/>
          </w:tcPr>
          <w:p>
            <w:pPr>
              <w:spacing w:after="0"/>
              <w:rPr>
                <w:sz w:val="22"/>
                <w:szCs w:val="22"/>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193</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199</w:t>
            </w:r>
          </w:p>
        </w:tc>
        <w:tc>
          <w:tcPr>
            <w:tcW w:w="120" w:type="dxa"/>
            <w:vAlign w:val="bottom"/>
          </w:tcPr>
          <w:p>
            <w:pPr>
              <w:spacing w:after="0"/>
              <w:rPr>
                <w:sz w:val="22"/>
                <w:szCs w:val="22"/>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50"/>
        </w:trPr>
        <w:tc>
          <w:tcPr>
            <w:tcW w:w="3420" w:type="dxa"/>
            <w:vAlign w:val="bottom"/>
            <w:tcBorders>
              <w:top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CMO agency securities</w:t>
            </w: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88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1,290</w:t>
            </w:r>
          </w:p>
        </w:tc>
        <w:tc>
          <w:tcPr>
            <w:tcW w:w="100" w:type="dxa"/>
            <w:vAlign w:val="bottom"/>
            <w:tcBorders>
              <w:top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auto"/>
            </w:tcBorders>
            <w:shd w:val="clear" w:color="auto" w:fill="CCEEFF"/>
          </w:tcPr>
          <w:p>
            <w:pPr>
              <w:spacing w:after="0"/>
              <w:rPr>
                <w:sz w:val="21"/>
                <w:szCs w:val="21"/>
                <w:color w:val="auto"/>
              </w:rPr>
            </w:pPr>
          </w:p>
        </w:tc>
        <w:tc>
          <w:tcPr>
            <w:tcW w:w="78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1,343</w:t>
            </w:r>
          </w:p>
        </w:tc>
        <w:tc>
          <w:tcPr>
            <w:tcW w:w="100" w:type="dxa"/>
            <w:vAlign w:val="bottom"/>
            <w:tcBorders>
              <w:top w:val="single" w:sz="8" w:color="CCEEFF"/>
            </w:tcBorders>
            <w:shd w:val="clear" w:color="auto" w:fill="CCEEFF"/>
          </w:tcPr>
          <w:p>
            <w:pPr>
              <w:spacing w:after="0"/>
              <w:rPr>
                <w:sz w:val="21"/>
                <w:szCs w:val="21"/>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3.97%</w:t>
            </w:r>
          </w:p>
        </w:tc>
        <w:tc>
          <w:tcPr>
            <w:tcW w:w="100" w:type="dxa"/>
            <w:vAlign w:val="bottom"/>
            <w:tcBorders>
              <w:top w:val="single" w:sz="8" w:color="CCEEFF"/>
            </w:tcBorders>
            <w:shd w:val="clear" w:color="auto" w:fill="CCEEFF"/>
          </w:tcPr>
          <w:p>
            <w:pPr>
              <w:spacing w:after="0"/>
              <w:rPr>
                <w:sz w:val="21"/>
                <w:szCs w:val="21"/>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220" w:type="dxa"/>
            <w:vAlign w:val="bottom"/>
            <w:tcBorders>
              <w:top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auto"/>
            </w:tcBorders>
            <w:shd w:val="clear" w:color="auto" w:fill="CCEEFF"/>
          </w:tcPr>
          <w:p>
            <w:pPr>
              <w:spacing w:after="0"/>
              <w:rPr>
                <w:sz w:val="21"/>
                <w:szCs w:val="21"/>
                <w:color w:val="auto"/>
              </w:rPr>
            </w:pPr>
          </w:p>
        </w:tc>
        <w:tc>
          <w:tcPr>
            <w:tcW w:w="8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1,544</w:t>
            </w:r>
          </w:p>
        </w:tc>
        <w:tc>
          <w:tcPr>
            <w:tcW w:w="120" w:type="dxa"/>
            <w:vAlign w:val="bottom"/>
            <w:tcBorders>
              <w:top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auto"/>
            </w:tcBorders>
            <w:shd w:val="clear" w:color="auto" w:fill="CCEEFF"/>
          </w:tcPr>
          <w:p>
            <w:pPr>
              <w:spacing w:after="0"/>
              <w:rPr>
                <w:sz w:val="21"/>
                <w:szCs w:val="21"/>
                <w:color w:val="auto"/>
              </w:rPr>
            </w:pPr>
          </w:p>
        </w:tc>
        <w:tc>
          <w:tcPr>
            <w:tcW w:w="7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1,597</w:t>
            </w:r>
          </w:p>
        </w:tc>
        <w:tc>
          <w:tcPr>
            <w:tcW w:w="120" w:type="dxa"/>
            <w:vAlign w:val="bottom"/>
            <w:tcBorders>
              <w:top w:val="single" w:sz="8" w:color="CCEEFF"/>
            </w:tcBorders>
            <w:shd w:val="clear" w:color="auto" w:fill="CCEEFF"/>
          </w:tcPr>
          <w:p>
            <w:pPr>
              <w:spacing w:after="0"/>
              <w:rPr>
                <w:sz w:val="21"/>
                <w:szCs w:val="21"/>
                <w:color w:val="auto"/>
              </w:rPr>
            </w:pP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4.02%</w:t>
            </w:r>
          </w:p>
        </w:tc>
        <w:tc>
          <w:tcPr>
            <w:tcW w:w="100" w:type="dxa"/>
            <w:vAlign w:val="bottom"/>
            <w:tcBorders>
              <w:top w:val="single" w:sz="8" w:color="CCEEFF"/>
            </w:tcBorders>
            <w:shd w:val="clear" w:color="auto" w:fill="CCEEFF"/>
          </w:tcPr>
          <w:p>
            <w:pPr>
              <w:spacing w:after="0"/>
              <w:rPr>
                <w:sz w:val="21"/>
                <w:szCs w:val="21"/>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324"/>
        </w:trPr>
        <w:tc>
          <w:tcPr>
            <w:tcW w:w="3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34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MBS and TBA securities</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59,894</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59,917</w:t>
            </w:r>
          </w:p>
        </w:tc>
        <w:tc>
          <w:tcPr>
            <w:tcW w:w="1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3.53%</w:t>
            </w:r>
          </w:p>
        </w:tc>
        <w:tc>
          <w:tcPr>
            <w:tcW w:w="100" w:type="dxa"/>
            <w:vAlign w:val="bottom"/>
            <w:tcBorders>
              <w:bottom w:val="single" w:sz="8" w:color="CCEEFF"/>
            </w:tcBorders>
            <w:shd w:val="clear" w:color="auto" w:fill="CCEEFF"/>
          </w:tcPr>
          <w:p>
            <w:pPr>
              <w:spacing w:after="0"/>
              <w:rPr>
                <w:sz w:val="22"/>
                <w:szCs w:val="22"/>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w:t>
            </w:r>
          </w:p>
        </w:tc>
        <w:tc>
          <w:tcPr>
            <w:tcW w:w="2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70,724</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71,516</w:t>
            </w:r>
          </w:p>
        </w:tc>
        <w:tc>
          <w:tcPr>
            <w:tcW w:w="12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3.47%</w:t>
            </w:r>
          </w:p>
        </w:tc>
        <w:tc>
          <w:tcPr>
            <w:tcW w:w="100" w:type="dxa"/>
            <w:vAlign w:val="bottom"/>
            <w:tcBorders>
              <w:bottom w:val="single" w:sz="8" w:color="CCEEFF"/>
            </w:tcBorders>
            <w:shd w:val="clear" w:color="auto" w:fill="CCEEFF"/>
          </w:tcPr>
          <w:p>
            <w:pPr>
              <w:spacing w:after="0"/>
              <w:rPr>
                <w:sz w:val="22"/>
                <w:szCs w:val="22"/>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20"/>
        </w:trPr>
        <w:tc>
          <w:tcPr>
            <w:tcW w:w="3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Our TBA positions are recorded as derivative instruments in our accompanying consolidated financial statements, with the TBA dollar roll transactions representing a form of off-balance sheet financing. As of December 31, 2015 and 2014, our TBA position had a net carrying value of $14 million and $192 million, respectively, reported in derivative assets/(liabilities) on our accompanying consolidated balance sheets. The net carrying value represents the difference between the fair value of the underlying agency security in the TBA contract and the cost basis or the forward price to be paid or received for the underlying agency security.</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20"/>
          </w:cols>
          <w:pgMar w:left="240" w:top="742" w:right="239" w:bottom="1440" w:gutter="0" w:footer="0" w:header="0"/>
        </w:sectPr>
      </w:pPr>
    </w:p>
    <w:bookmarkStart w:id="45" w:name="page46"/>
    <w:bookmarkEnd w:id="45"/>
    <w:p>
      <w:pPr>
        <w:ind w:firstLine="432"/>
        <w:spacing w:after="0" w:line="277" w:lineRule="auto"/>
        <w:rPr>
          <w:sz w:val="20"/>
          <w:szCs w:val="20"/>
          <w:color w:val="auto"/>
        </w:rPr>
      </w:pPr>
      <w:r>
        <w:rPr>
          <w:rFonts w:ascii="Arial" w:cs="Arial" w:eastAsia="Arial" w:hAnsi="Arial"/>
          <w:sz w:val="18"/>
          <w:szCs w:val="18"/>
          <w:color w:val="auto"/>
        </w:rPr>
        <w:t>The following tables summarize certain characteristics of our agency MBS fixed rate portfolio, inclusive of our net TBA position as of December 31, 2015 and 2014 (dollars in millions):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3"/>
          </w:tcPr>
          <w:p>
            <w:pPr>
              <w:spacing w:after="0"/>
              <w:rPr>
                <w:sz w:val="20"/>
                <w:szCs w:val="20"/>
                <w:color w:val="auto"/>
              </w:rPr>
            </w:pPr>
            <w:r>
              <w:rPr>
                <w:rFonts w:ascii="Arial" w:cs="Arial" w:eastAsia="Arial" w:hAnsi="Arial"/>
                <w:sz w:val="14"/>
                <w:szCs w:val="14"/>
                <w:b w:val="1"/>
                <w:bCs w:val="1"/>
                <w:color w:val="auto"/>
              </w:rPr>
              <w:t>December 31, 2015</w:t>
            </w:r>
          </w:p>
        </w:tc>
        <w:tc>
          <w:tcPr>
            <w:tcW w:w="6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23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920" w:type="dxa"/>
            <w:vAlign w:val="bottom"/>
            <w:tcBorders>
              <w:bottom w:val="single" w:sz="8" w:color="auto"/>
            </w:tcBorders>
            <w:gridSpan w:val="5"/>
          </w:tcPr>
          <w:p>
            <w:pPr>
              <w:ind w:left="60"/>
              <w:spacing w:after="0"/>
              <w:rPr>
                <w:sz w:val="20"/>
                <w:szCs w:val="20"/>
                <w:color w:val="auto"/>
              </w:rPr>
            </w:pPr>
            <w:r>
              <w:rPr>
                <w:rFonts w:ascii="Arial" w:cs="Arial" w:eastAsia="Arial" w:hAnsi="Arial"/>
                <w:sz w:val="14"/>
                <w:szCs w:val="14"/>
                <w:b w:val="1"/>
                <w:bCs w:val="1"/>
                <w:color w:val="auto"/>
              </w:rPr>
              <w:t>Includes Net TBA Position</w:t>
            </w:r>
          </w:p>
        </w:tc>
        <w:tc>
          <w:tcPr>
            <w:tcW w:w="900" w:type="dxa"/>
            <w:vAlign w:val="bottom"/>
            <w:tcBorders>
              <w:bottom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800" w:type="dxa"/>
            <w:vAlign w:val="bottom"/>
            <w:tcBorders>
              <w:bottom w:val="single" w:sz="8" w:color="auto"/>
            </w:tcBorders>
            <w:gridSpan w:val="6"/>
          </w:tcPr>
          <w:p>
            <w:pPr>
              <w:ind w:left="460"/>
              <w:spacing w:after="0"/>
              <w:rPr>
                <w:sz w:val="20"/>
                <w:szCs w:val="20"/>
                <w:color w:val="auto"/>
              </w:rPr>
            </w:pPr>
            <w:r>
              <w:rPr>
                <w:rFonts w:ascii="Arial" w:cs="Arial" w:eastAsia="Arial" w:hAnsi="Arial"/>
                <w:sz w:val="14"/>
                <w:szCs w:val="14"/>
                <w:b w:val="1"/>
                <w:bCs w:val="1"/>
                <w:color w:val="auto"/>
              </w:rPr>
              <w:t>Excludes Net TBA Position</w:t>
            </w:r>
          </w:p>
        </w:tc>
        <w:tc>
          <w:tcPr>
            <w:tcW w:w="90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rPr>
              <w:t>% Lower</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20" w:type="dxa"/>
            <w:vAlign w:val="bottom"/>
            <w:gridSpan w:val="4"/>
          </w:tcPr>
          <w:p>
            <w:pPr>
              <w:ind w:left="20"/>
              <w:spacing w:after="0"/>
              <w:rPr>
                <w:sz w:val="20"/>
                <w:szCs w:val="20"/>
                <w:color w:val="auto"/>
              </w:rPr>
            </w:pPr>
            <w:r>
              <w:rPr>
                <w:rFonts w:ascii="Arial" w:cs="Arial" w:eastAsia="Arial" w:hAnsi="Arial"/>
                <w:sz w:val="14"/>
                <w:szCs w:val="14"/>
                <w:b w:val="1"/>
                <w:bCs w:val="1"/>
                <w:color w:val="auto"/>
              </w:rPr>
              <w:t>Weighted Average</w:t>
            </w: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90"/>
              </w:rPr>
              <w:t>Projected</w:t>
            </w:r>
          </w:p>
        </w:tc>
        <w:tc>
          <w:tcPr>
            <w:tcW w:w="0" w:type="dxa"/>
            <w:vAlign w:val="bottom"/>
          </w:tcPr>
          <w:p>
            <w:pPr>
              <w:spacing w:after="0"/>
              <w:rPr>
                <w:sz w:val="1"/>
                <w:szCs w:val="1"/>
                <w:color w:val="auto"/>
              </w:rPr>
            </w:pPr>
          </w:p>
        </w:tc>
      </w:tr>
      <w:tr>
        <w:trPr>
          <w:trHeight w:val="54"/>
        </w:trPr>
        <w:tc>
          <w:tcPr>
            <w:tcW w:w="23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20" w:type="dxa"/>
            <w:vAlign w:val="bottom"/>
            <w:gridSpan w:val="2"/>
            <w:vMerge w:val="restart"/>
          </w:tcPr>
          <w:p>
            <w:pPr>
              <w:ind w:left="40"/>
              <w:spacing w:after="0" w:line="139" w:lineRule="exact"/>
              <w:rPr>
                <w:sz w:val="20"/>
                <w:szCs w:val="20"/>
                <w:color w:val="auto"/>
              </w:rPr>
            </w:pPr>
            <w:r>
              <w:rPr>
                <w:rFonts w:ascii="Arial" w:cs="Arial" w:eastAsia="Arial" w:hAnsi="Arial"/>
                <w:sz w:val="14"/>
                <w:szCs w:val="14"/>
                <w:b w:val="1"/>
                <w:bCs w:val="1"/>
                <w:color w:val="auto"/>
              </w:rPr>
              <w:t>Amortized</w:t>
            </w:r>
          </w:p>
        </w:tc>
        <w:tc>
          <w:tcPr>
            <w:tcW w:w="200" w:type="dxa"/>
            <w:vAlign w:val="bottom"/>
          </w:tcPr>
          <w:p>
            <w:pPr>
              <w:spacing w:after="0"/>
              <w:rPr>
                <w:sz w:val="4"/>
                <w:szCs w:val="4"/>
                <w:color w:val="auto"/>
              </w:rPr>
            </w:pPr>
          </w:p>
        </w:tc>
        <w:tc>
          <w:tcPr>
            <w:tcW w:w="600" w:type="dxa"/>
            <w:vAlign w:val="bottom"/>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w w:val="92"/>
              </w:rPr>
              <w:t>Loan Balance</w:t>
            </w:r>
          </w:p>
        </w:tc>
        <w:tc>
          <w:tcPr>
            <w:tcW w:w="220" w:type="dxa"/>
            <w:vAlign w:val="bottom"/>
          </w:tcPr>
          <w:p>
            <w:pPr>
              <w:spacing w:after="0"/>
              <w:rPr>
                <w:sz w:val="4"/>
                <w:szCs w:val="4"/>
                <w:color w:val="auto"/>
              </w:rPr>
            </w:pPr>
          </w:p>
        </w:tc>
        <w:tc>
          <w:tcPr>
            <w:tcW w:w="1120" w:type="dxa"/>
            <w:vAlign w:val="bottom"/>
            <w:gridSpan w:val="2"/>
            <w:vMerge w:val="restart"/>
          </w:tcPr>
          <w:p>
            <w:pPr>
              <w:ind w:left="180"/>
              <w:spacing w:after="0" w:line="139" w:lineRule="exact"/>
              <w:rPr>
                <w:sz w:val="20"/>
                <w:szCs w:val="20"/>
                <w:color w:val="auto"/>
              </w:rPr>
            </w:pPr>
            <w:r>
              <w:rPr>
                <w:rFonts w:ascii="Arial" w:cs="Arial" w:eastAsia="Arial" w:hAnsi="Arial"/>
                <w:sz w:val="14"/>
                <w:szCs w:val="14"/>
                <w:b w:val="1"/>
                <w:bCs w:val="1"/>
                <w:color w:val="auto"/>
              </w:rPr>
              <w:t>Amortized</w:t>
            </w:r>
          </w:p>
        </w:tc>
        <w:tc>
          <w:tcPr>
            <w:tcW w:w="6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rPr>
              <w:t>Life</w:t>
            </w:r>
          </w:p>
        </w:tc>
        <w:tc>
          <w:tcPr>
            <w:tcW w:w="0" w:type="dxa"/>
            <w:vAlign w:val="bottom"/>
          </w:tcPr>
          <w:p>
            <w:pPr>
              <w:spacing w:after="0"/>
              <w:rPr>
                <w:sz w:val="1"/>
                <w:szCs w:val="1"/>
                <w:color w:val="auto"/>
              </w:rPr>
            </w:pPr>
          </w:p>
        </w:tc>
      </w:tr>
      <w:tr>
        <w:trPr>
          <w:trHeight w:val="65"/>
        </w:trPr>
        <w:tc>
          <w:tcPr>
            <w:tcW w:w="23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Fixed Rate Agency Securities</w:t>
            </w:r>
          </w:p>
        </w:tc>
        <w:tc>
          <w:tcPr>
            <w:tcW w:w="120" w:type="dxa"/>
            <w:vAlign w:val="bottom"/>
            <w:vMerge w:val="restart"/>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0"/>
              </w:rPr>
              <w:t>Par Value</w:t>
            </w:r>
          </w:p>
        </w:tc>
        <w:tc>
          <w:tcPr>
            <w:tcW w:w="120" w:type="dxa"/>
            <w:vAlign w:val="bottom"/>
            <w:vMerge w:val="restart"/>
          </w:tcPr>
          <w:p>
            <w:pPr>
              <w:spacing w:after="0"/>
              <w:rPr>
                <w:sz w:val="5"/>
                <w:szCs w:val="5"/>
                <w:color w:val="auto"/>
              </w:rPr>
            </w:pPr>
          </w:p>
        </w:tc>
        <w:tc>
          <w:tcPr>
            <w:tcW w:w="140" w:type="dxa"/>
            <w:vAlign w:val="bottom"/>
          </w:tcPr>
          <w:p>
            <w:pPr>
              <w:spacing w:after="0"/>
              <w:rPr>
                <w:sz w:val="5"/>
                <w:szCs w:val="5"/>
                <w:color w:val="auto"/>
              </w:rPr>
            </w:pPr>
          </w:p>
        </w:tc>
        <w:tc>
          <w:tcPr>
            <w:tcW w:w="1020" w:type="dxa"/>
            <w:vAlign w:val="bottom"/>
            <w:gridSpan w:val="2"/>
            <w:vMerge w:val="continue"/>
          </w:tcPr>
          <w:p>
            <w:pPr>
              <w:spacing w:after="0"/>
              <w:rPr>
                <w:sz w:val="5"/>
                <w:szCs w:val="5"/>
                <w:color w:val="auto"/>
              </w:rPr>
            </w:pPr>
          </w:p>
        </w:tc>
        <w:tc>
          <w:tcPr>
            <w:tcW w:w="800" w:type="dxa"/>
            <w:vAlign w:val="bottom"/>
            <w:gridSpan w:val="2"/>
            <w:vMerge w:val="restart"/>
          </w:tcPr>
          <w:p>
            <w:pPr>
              <w:jc w:val="right"/>
              <w:ind w:right="8"/>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5"/>
                <w:szCs w:val="5"/>
                <w:color w:val="auto"/>
              </w:rPr>
            </w:pPr>
          </w:p>
        </w:tc>
        <w:tc>
          <w:tcPr>
            <w:tcW w:w="90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1120" w:type="dxa"/>
            <w:vAlign w:val="bottom"/>
            <w:gridSpan w:val="2"/>
            <w:vMerge w:val="continue"/>
          </w:tcPr>
          <w:p>
            <w:pPr>
              <w:spacing w:after="0"/>
              <w:rPr>
                <w:sz w:val="5"/>
                <w:szCs w:val="5"/>
                <w:color w:val="auto"/>
              </w:rPr>
            </w:pPr>
          </w:p>
        </w:tc>
        <w:tc>
          <w:tcPr>
            <w:tcW w:w="680" w:type="dxa"/>
            <w:vAlign w:val="bottom"/>
            <w:vMerge w:val="restart"/>
          </w:tcPr>
          <w:p>
            <w:pPr>
              <w:ind w:left="140"/>
              <w:spacing w:after="0"/>
              <w:rPr>
                <w:sz w:val="20"/>
                <w:szCs w:val="20"/>
                <w:color w:val="auto"/>
              </w:rPr>
            </w:pPr>
            <w:r>
              <w:rPr>
                <w:rFonts w:ascii="Arial" w:cs="Arial" w:eastAsia="Arial" w:hAnsi="Arial"/>
                <w:sz w:val="14"/>
                <w:szCs w:val="14"/>
                <w:b w:val="1"/>
                <w:bCs w:val="1"/>
                <w:color w:val="auto"/>
              </w:rPr>
              <w:t xml:space="preserve">WAC </w:t>
            </w:r>
            <w:r>
              <w:rPr>
                <w:rFonts w:ascii="Arial" w:cs="Arial" w:eastAsia="Arial" w:hAnsi="Arial"/>
                <w:sz w:val="8"/>
                <w:szCs w:val="8"/>
                <w:b w:val="1"/>
                <w:bCs w:val="1"/>
                <w:color w:val="auto"/>
              </w:rPr>
              <w:t>3</w:t>
            </w:r>
          </w:p>
        </w:tc>
        <w:tc>
          <w:tcPr>
            <w:tcW w:w="100" w:type="dxa"/>
            <w:vAlign w:val="bottom"/>
            <w:vMerge w:val="restart"/>
          </w:tcPr>
          <w:p>
            <w:pPr>
              <w:spacing w:after="0"/>
              <w:rPr>
                <w:sz w:val="5"/>
                <w:szCs w:val="5"/>
                <w:color w:val="auto"/>
              </w:rPr>
            </w:pPr>
          </w:p>
        </w:tc>
        <w:tc>
          <w:tcPr>
            <w:tcW w:w="800" w:type="dxa"/>
            <w:vAlign w:val="bottom"/>
            <w:vMerge w:val="restart"/>
          </w:tcPr>
          <w:p>
            <w:pPr>
              <w:ind w:left="200"/>
              <w:spacing w:after="0"/>
              <w:rPr>
                <w:sz w:val="20"/>
                <w:szCs w:val="20"/>
                <w:color w:val="auto"/>
              </w:rPr>
            </w:pPr>
            <w:r>
              <w:rPr>
                <w:rFonts w:ascii="Arial" w:cs="Arial" w:eastAsia="Arial" w:hAnsi="Arial"/>
                <w:sz w:val="14"/>
                <w:szCs w:val="14"/>
                <w:b w:val="1"/>
                <w:bCs w:val="1"/>
                <w:color w:val="auto"/>
              </w:rPr>
              <w:t xml:space="preserve">Yield </w:t>
            </w:r>
            <w:r>
              <w:rPr>
                <w:rFonts w:ascii="Arial" w:cs="Arial" w:eastAsia="Arial" w:hAnsi="Arial"/>
                <w:sz w:val="8"/>
                <w:szCs w:val="8"/>
                <w:b w:val="1"/>
                <w:bCs w:val="1"/>
                <w:color w:val="auto"/>
              </w:rPr>
              <w:t>4</w:t>
            </w:r>
          </w:p>
        </w:tc>
        <w:tc>
          <w:tcPr>
            <w:tcW w:w="100" w:type="dxa"/>
            <w:vAlign w:val="bottom"/>
            <w:vMerge w:val="restart"/>
          </w:tcPr>
          <w:p>
            <w:pPr>
              <w:spacing w:after="0"/>
              <w:rPr>
                <w:sz w:val="5"/>
                <w:szCs w:val="5"/>
                <w:color w:val="auto"/>
              </w:rPr>
            </w:pPr>
          </w:p>
        </w:tc>
        <w:tc>
          <w:tcPr>
            <w:tcW w:w="1020" w:type="dxa"/>
            <w:vAlign w:val="bottom"/>
            <w:vMerge w:val="restart"/>
          </w:tcPr>
          <w:p>
            <w:pPr>
              <w:ind w:left="80"/>
              <w:spacing w:after="0"/>
              <w:rPr>
                <w:sz w:val="20"/>
                <w:szCs w:val="20"/>
                <w:color w:val="auto"/>
              </w:rPr>
            </w:pPr>
            <w:r>
              <w:rPr>
                <w:rFonts w:ascii="Arial" w:cs="Arial" w:eastAsia="Arial" w:hAnsi="Arial"/>
                <w:sz w:val="14"/>
                <w:szCs w:val="14"/>
                <w:b w:val="1"/>
                <w:bCs w:val="1"/>
                <w:color w:val="auto"/>
              </w:rPr>
              <w:t>Age (Months)</w:t>
            </w:r>
          </w:p>
        </w:tc>
        <w:tc>
          <w:tcPr>
            <w:tcW w:w="100" w:type="dxa"/>
            <w:vAlign w:val="bottom"/>
            <w:vMerge w:val="restart"/>
          </w:tcPr>
          <w:p>
            <w:pPr>
              <w:spacing w:after="0"/>
              <w:rPr>
                <w:sz w:val="5"/>
                <w:szCs w:val="5"/>
                <w:color w:val="auto"/>
              </w:rPr>
            </w:pPr>
          </w:p>
        </w:tc>
        <w:tc>
          <w:tcPr>
            <w:tcW w:w="9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23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80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 xml:space="preserve">&amp; HARP </w:t>
            </w:r>
            <w:r>
              <w:rPr>
                <w:rFonts w:ascii="Arial" w:cs="Arial" w:eastAsia="Arial" w:hAnsi="Arial"/>
                <w:sz w:val="8"/>
                <w:szCs w:val="8"/>
                <w:b w:val="1"/>
                <w:bCs w:val="1"/>
                <w:color w:val="auto"/>
              </w:rPr>
              <w:t>1,2</w:t>
            </w:r>
          </w:p>
        </w:tc>
        <w:tc>
          <w:tcPr>
            <w:tcW w:w="2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ind w:left="200"/>
              <w:spacing w:after="0"/>
              <w:rPr>
                <w:sz w:val="20"/>
                <w:szCs w:val="20"/>
                <w:color w:val="auto"/>
              </w:rPr>
            </w:pPr>
            <w:r>
              <w:rPr>
                <w:rFonts w:ascii="Arial" w:cs="Arial" w:eastAsia="Arial" w:hAnsi="Arial"/>
                <w:sz w:val="14"/>
                <w:szCs w:val="14"/>
                <w:b w:val="1"/>
                <w:bCs w:val="1"/>
                <w:color w:val="auto"/>
              </w:rPr>
              <w:t>Cost Basis</w:t>
            </w:r>
          </w:p>
        </w:tc>
        <w:tc>
          <w:tcPr>
            <w:tcW w:w="100" w:type="dxa"/>
            <w:vAlign w:val="bottom"/>
            <w:tcBorders>
              <w:bottom w:val="single" w:sz="8" w:color="CCEEFF"/>
            </w:tcBorders>
          </w:tcPr>
          <w:p>
            <w:pPr>
              <w:spacing w:after="0"/>
              <w:rPr>
                <w:sz w:val="16"/>
                <w:szCs w:val="16"/>
                <w:color w:val="auto"/>
              </w:rPr>
            </w:pPr>
          </w:p>
        </w:tc>
        <w:tc>
          <w:tcPr>
            <w:tcW w:w="6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 xml:space="preserve">CPR </w:t>
            </w:r>
            <w:r>
              <w:rPr>
                <w:rFonts w:ascii="Arial" w:cs="Arial" w:eastAsia="Arial" w:hAnsi="Arial"/>
                <w:sz w:val="8"/>
                <w:szCs w:val="8"/>
                <w:b w:val="1"/>
                <w:bCs w:val="1"/>
                <w:color w:val="auto"/>
              </w:rPr>
              <w:t>4</w:t>
            </w: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Fixed rate</w:t>
            </w:r>
          </w:p>
        </w:tc>
        <w:tc>
          <w:tcPr>
            <w:tcW w:w="1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6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420" w:type="dxa"/>
            <w:vAlign w:val="bottom"/>
            <w:gridSpan w:val="2"/>
          </w:tcPr>
          <w:p>
            <w:pPr>
              <w:ind w:left="320"/>
              <w:spacing w:after="0"/>
              <w:rPr>
                <w:sz w:val="20"/>
                <w:szCs w:val="20"/>
                <w:color w:val="auto"/>
              </w:rPr>
            </w:pPr>
            <w:r>
              <w:rPr>
                <w:rFonts w:ascii="Arial" w:cs="Arial" w:eastAsia="Arial" w:hAnsi="Arial"/>
                <w:sz w:val="14"/>
                <w:szCs w:val="14"/>
                <w:color w:val="auto"/>
              </w:rPr>
              <w:t>≤ 15-year</w:t>
            </w:r>
          </w:p>
        </w:tc>
        <w:tc>
          <w:tcPr>
            <w:tcW w:w="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420" w:type="dxa"/>
            <w:vAlign w:val="bottom"/>
            <w:gridSpan w:val="2"/>
            <w:shd w:val="clear" w:color="auto" w:fill="CCEEFF"/>
          </w:tcPr>
          <w:p>
            <w:pPr>
              <w:ind w:left="420"/>
              <w:spacing w:after="0"/>
              <w:rPr>
                <w:sz w:val="20"/>
                <w:szCs w:val="20"/>
                <w:color w:val="auto"/>
              </w:rPr>
            </w:pPr>
            <w:r>
              <w:rPr>
                <w:rFonts w:ascii="Arial" w:cs="Arial" w:eastAsia="Arial" w:hAnsi="Arial"/>
                <w:sz w:val="14"/>
                <w:szCs w:val="14"/>
                <w:color w:val="auto"/>
              </w:rPr>
              <w:t>≤ 2.5%</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4,162</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4,238</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4,221</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47%</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101.8%</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2.97%</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2.04%</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38</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4,178</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4,307</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4,319</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73%</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103.1%</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3.50%</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2.22%</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43</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4,332</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4,489</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4,557</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88%</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103.6%</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3.95%</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2.53%</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51</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3,439</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3,591</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3,662</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89%</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104.4%</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4.40%</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2.71%</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60</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372</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390</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394</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98%</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104.9%</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4.87%</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3.04%</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64</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64"/>
        </w:trPr>
        <w:tc>
          <w:tcPr>
            <w:tcW w:w="242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5.0%</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28%</w:t>
            </w:r>
          </w:p>
        </w:tc>
        <w:tc>
          <w:tcPr>
            <w:tcW w:w="2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103.8%</w:t>
            </w:r>
          </w:p>
        </w:tc>
        <w:tc>
          <w:tcPr>
            <w:tcW w:w="10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ind w:left="160"/>
              <w:spacing w:after="0"/>
              <w:rPr>
                <w:sz w:val="20"/>
                <w:szCs w:val="20"/>
                <w:color w:val="auto"/>
              </w:rPr>
            </w:pPr>
            <w:r>
              <w:rPr>
                <w:rFonts w:ascii="Arial" w:cs="Arial" w:eastAsia="Arial" w:hAnsi="Arial"/>
                <w:sz w:val="14"/>
                <w:szCs w:val="14"/>
                <w:color w:val="auto"/>
              </w:rPr>
              <w:t>6.51%</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4.54%</w:t>
            </w:r>
          </w:p>
        </w:tc>
        <w:tc>
          <w:tcPr>
            <w:tcW w:w="10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9"/>
              </w:rPr>
              <w:t>97</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13%</w:t>
            </w:r>
          </w:p>
        </w:tc>
        <w:tc>
          <w:tcPr>
            <w:tcW w:w="0" w:type="dxa"/>
            <w:vAlign w:val="bottom"/>
          </w:tcPr>
          <w:p>
            <w:pPr>
              <w:spacing w:after="0"/>
              <w:rPr>
                <w:sz w:val="1"/>
                <w:szCs w:val="1"/>
                <w:color w:val="auto"/>
              </w:rPr>
            </w:pPr>
          </w:p>
        </w:tc>
      </w:tr>
      <w:tr>
        <w:trPr>
          <w:trHeight w:val="256"/>
        </w:trPr>
        <w:tc>
          <w:tcPr>
            <w:tcW w:w="242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 ≤ 15-year</w:t>
            </w: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16,488</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17,020</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17,158</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75%</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103.2%</w:t>
            </w:r>
          </w:p>
        </w:tc>
        <w:tc>
          <w:tcPr>
            <w:tcW w:w="100" w:type="dxa"/>
            <w:vAlign w:val="bottom"/>
            <w:shd w:val="clear" w:color="auto" w:fill="CCEEFF"/>
          </w:tcPr>
          <w:p>
            <w:pPr>
              <w:spacing w:after="0"/>
              <w:rPr>
                <w:sz w:val="22"/>
                <w:szCs w:val="22"/>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3.71%</w:t>
            </w:r>
          </w:p>
        </w:tc>
        <w:tc>
          <w:tcPr>
            <w:tcW w:w="100" w:type="dxa"/>
            <w:vAlign w:val="bottom"/>
            <w:shd w:val="clear" w:color="auto" w:fill="CCEEFF"/>
          </w:tcPr>
          <w:p>
            <w:pPr>
              <w:spacing w:after="0"/>
              <w:rPr>
                <w:sz w:val="22"/>
                <w:szCs w:val="22"/>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2.38%</w:t>
            </w: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48</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58"/>
        </w:trPr>
        <w:tc>
          <w:tcPr>
            <w:tcW w:w="2420" w:type="dxa"/>
            <w:vAlign w:val="bottom"/>
            <w:gridSpan w:val="2"/>
          </w:tcPr>
          <w:p>
            <w:pPr>
              <w:ind w:left="280"/>
              <w:spacing w:after="0"/>
              <w:rPr>
                <w:sz w:val="20"/>
                <w:szCs w:val="20"/>
                <w:color w:val="auto"/>
              </w:rPr>
            </w:pPr>
            <w:r>
              <w:rPr>
                <w:rFonts w:ascii="Arial" w:cs="Arial" w:eastAsia="Arial" w:hAnsi="Arial"/>
                <w:sz w:val="14"/>
                <w:szCs w:val="14"/>
                <w:color w:val="auto"/>
              </w:rPr>
              <w:t>20-year</w:t>
            </w:r>
          </w:p>
        </w:tc>
        <w:tc>
          <w:tcPr>
            <w:tcW w:w="10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6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420" w:type="dxa"/>
            <w:vAlign w:val="bottom"/>
            <w:gridSpan w:val="2"/>
            <w:shd w:val="clear" w:color="auto" w:fill="CCEEFF"/>
          </w:tcPr>
          <w:p>
            <w:pPr>
              <w:ind w:left="420"/>
              <w:spacing w:after="0"/>
              <w:rPr>
                <w:sz w:val="20"/>
                <w:szCs w:val="20"/>
                <w:color w:val="auto"/>
              </w:rPr>
            </w:pPr>
            <w:r>
              <w:rPr>
                <w:rFonts w:ascii="Arial" w:cs="Arial" w:eastAsia="Arial" w:hAnsi="Arial"/>
                <w:sz w:val="14"/>
                <w:szCs w:val="14"/>
                <w:color w:val="auto"/>
              </w:rPr>
              <w:t>≤ 3.0%</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287</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285</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294</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28%</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5"/>
              </w:rPr>
              <w:t>99.3%</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3.55%</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3.11%</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31</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600</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613</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628</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64%</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102.2%</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4.05%</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3.04%</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33</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66</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69</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70</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48%</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104.5%</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4.54%</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2.97%</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52</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84</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90</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92</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99%</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106.7%</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4.90%</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3.03%</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61</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 5.0%</w:t>
            </w:r>
          </w:p>
        </w:tc>
        <w:tc>
          <w:tcPr>
            <w:tcW w:w="1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8"/>
              </w:rPr>
              <w:t>—%</w:t>
            </w:r>
          </w:p>
        </w:tc>
        <w:tc>
          <w:tcPr>
            <w:tcW w:w="22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6"/>
              </w:rPr>
              <w:t>106.1%</w:t>
            </w:r>
          </w:p>
        </w:tc>
        <w:tc>
          <w:tcPr>
            <w:tcW w:w="100" w:type="dxa"/>
            <w:vAlign w:val="bottom"/>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ind w:left="160"/>
              <w:spacing w:after="0"/>
              <w:rPr>
                <w:sz w:val="20"/>
                <w:szCs w:val="20"/>
                <w:color w:val="auto"/>
              </w:rPr>
            </w:pPr>
            <w:r>
              <w:rPr>
                <w:rFonts w:ascii="Arial" w:cs="Arial" w:eastAsia="Arial" w:hAnsi="Arial"/>
                <w:sz w:val="14"/>
                <w:szCs w:val="14"/>
                <w:color w:val="auto"/>
              </w:rPr>
              <w:t>5.92%</w:t>
            </w:r>
          </w:p>
        </w:tc>
        <w:tc>
          <w:tcPr>
            <w:tcW w:w="100" w:type="dxa"/>
            <w:vAlign w:val="bottom"/>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3.35%</w:t>
            </w:r>
          </w:p>
        </w:tc>
        <w:tc>
          <w:tcPr>
            <w:tcW w:w="10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92</w:t>
            </w:r>
          </w:p>
        </w:tc>
        <w:tc>
          <w:tcPr>
            <w:tcW w:w="100" w:type="dxa"/>
            <w:vAlign w:val="bottom"/>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18%</w:t>
            </w:r>
          </w:p>
        </w:tc>
        <w:tc>
          <w:tcPr>
            <w:tcW w:w="0" w:type="dxa"/>
            <w:vAlign w:val="bottom"/>
          </w:tcPr>
          <w:p>
            <w:pPr>
              <w:spacing w:after="0"/>
              <w:rPr>
                <w:sz w:val="1"/>
                <w:szCs w:val="1"/>
                <w:color w:val="auto"/>
              </w:rPr>
            </w:pPr>
          </w:p>
        </w:tc>
      </w:tr>
      <w:tr>
        <w:trPr>
          <w:trHeight w:val="250"/>
        </w:trPr>
        <w:tc>
          <w:tcPr>
            <w:tcW w:w="2420" w:type="dxa"/>
            <w:vAlign w:val="bottom"/>
            <w:gridSpan w:val="2"/>
          </w:tcPr>
          <w:p>
            <w:pPr>
              <w:ind w:left="280"/>
              <w:spacing w:after="0"/>
              <w:rPr>
                <w:sz w:val="20"/>
                <w:szCs w:val="20"/>
                <w:color w:val="auto"/>
              </w:rPr>
            </w:pPr>
            <w:r>
              <w:rPr>
                <w:rFonts w:ascii="Arial" w:cs="Arial" w:eastAsia="Arial" w:hAnsi="Arial"/>
                <w:sz w:val="14"/>
                <w:szCs w:val="14"/>
                <w:color w:val="auto"/>
              </w:rPr>
              <w:t>Total 20-year:</w:t>
            </w:r>
          </w:p>
        </w:tc>
        <w:tc>
          <w:tcPr>
            <w:tcW w:w="100" w:type="dxa"/>
            <w:vAlign w:val="bottom"/>
          </w:tcPr>
          <w:p>
            <w:pPr>
              <w:spacing w:after="0"/>
              <w:rPr>
                <w:sz w:val="21"/>
                <w:szCs w:val="21"/>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1,041</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1,061</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1,088</w:t>
            </w:r>
          </w:p>
        </w:tc>
        <w:tc>
          <w:tcPr>
            <w:tcW w:w="10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56%</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101.9%</w:t>
            </w:r>
          </w:p>
        </w:tc>
        <w:tc>
          <w:tcPr>
            <w:tcW w:w="100" w:type="dxa"/>
            <w:vAlign w:val="bottom"/>
          </w:tcPr>
          <w:p>
            <w:pPr>
              <w:spacing w:after="0"/>
              <w:rPr>
                <w:sz w:val="21"/>
                <w:szCs w:val="21"/>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4.03%</w:t>
            </w:r>
          </w:p>
        </w:tc>
        <w:tc>
          <w:tcPr>
            <w:tcW w:w="100" w:type="dxa"/>
            <w:vAlign w:val="bottom"/>
          </w:tcPr>
          <w:p>
            <w:pPr>
              <w:spacing w:after="0"/>
              <w:rPr>
                <w:sz w:val="21"/>
                <w:szCs w:val="21"/>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3.06%</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37</w:t>
            </w:r>
          </w:p>
        </w:tc>
        <w:tc>
          <w:tcPr>
            <w:tcW w:w="10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70"/>
        </w:trPr>
        <w:tc>
          <w:tcPr>
            <w:tcW w:w="2420" w:type="dxa"/>
            <w:vAlign w:val="bottom"/>
            <w:tcBorders>
              <w:top w:val="single" w:sz="8" w:color="CCEEFF"/>
            </w:tcBorders>
            <w:gridSpan w:val="2"/>
            <w:shd w:val="clear" w:color="auto" w:fill="CCEEFF"/>
          </w:tcPr>
          <w:p>
            <w:pPr>
              <w:ind w:left="280"/>
              <w:spacing w:after="0"/>
              <w:rPr>
                <w:sz w:val="20"/>
                <w:szCs w:val="20"/>
                <w:color w:val="auto"/>
              </w:rPr>
            </w:pPr>
            <w:r>
              <w:rPr>
                <w:rFonts w:ascii="Arial" w:cs="Arial" w:eastAsia="Arial" w:hAnsi="Arial"/>
                <w:sz w:val="14"/>
                <w:szCs w:val="14"/>
                <w:color w:val="auto"/>
              </w:rPr>
              <w:t>30-year:</w:t>
            </w:r>
          </w:p>
        </w:tc>
        <w:tc>
          <w:tcPr>
            <w:tcW w:w="100" w:type="dxa"/>
            <w:vAlign w:val="bottom"/>
            <w:tcBorders>
              <w:top w:val="single" w:sz="8" w:color="auto"/>
            </w:tcBorders>
            <w:shd w:val="clear" w:color="auto" w:fill="CCEEFF"/>
          </w:tcPr>
          <w:p>
            <w:pPr>
              <w:spacing w:after="0"/>
              <w:rPr>
                <w:sz w:val="23"/>
                <w:szCs w:val="23"/>
                <w:color w:val="auto"/>
              </w:rPr>
            </w:pPr>
          </w:p>
        </w:tc>
        <w:tc>
          <w:tcPr>
            <w:tcW w:w="72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90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60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900" w:type="dxa"/>
            <w:vAlign w:val="bottom"/>
            <w:tcBorders>
              <w:top w:val="single" w:sz="8" w:color="auto"/>
            </w:tcBorders>
            <w:shd w:val="clear" w:color="auto" w:fill="CCEEFF"/>
          </w:tcPr>
          <w:p>
            <w:pPr>
              <w:spacing w:after="0"/>
              <w:rPr>
                <w:sz w:val="23"/>
                <w:szCs w:val="23"/>
                <w:color w:val="auto"/>
              </w:rPr>
            </w:pPr>
          </w:p>
        </w:tc>
        <w:tc>
          <w:tcPr>
            <w:tcW w:w="220" w:type="dxa"/>
            <w:vAlign w:val="bottom"/>
            <w:tcBorders>
              <w:top w:val="single" w:sz="8" w:color="CCEEFF"/>
            </w:tcBorders>
            <w:shd w:val="clear" w:color="auto" w:fill="CCEEFF"/>
          </w:tcPr>
          <w:p>
            <w:pPr>
              <w:spacing w:after="0"/>
              <w:rPr>
                <w:sz w:val="23"/>
                <w:szCs w:val="23"/>
                <w:color w:val="auto"/>
              </w:rPr>
            </w:pPr>
          </w:p>
        </w:tc>
        <w:tc>
          <w:tcPr>
            <w:tcW w:w="10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68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80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0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900" w:type="dxa"/>
            <w:vAlign w:val="bottom"/>
            <w:tcBorders>
              <w:top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420" w:type="dxa"/>
            <w:vAlign w:val="bottom"/>
            <w:gridSpan w:val="2"/>
          </w:tcPr>
          <w:p>
            <w:pPr>
              <w:ind w:left="420"/>
              <w:spacing w:after="0"/>
              <w:rPr>
                <w:sz w:val="20"/>
                <w:szCs w:val="20"/>
                <w:color w:val="auto"/>
              </w:rPr>
            </w:pPr>
            <w:r>
              <w:rPr>
                <w:rFonts w:ascii="Arial" w:cs="Arial" w:eastAsia="Arial" w:hAnsi="Arial"/>
                <w:sz w:val="14"/>
                <w:szCs w:val="14"/>
                <w:color w:val="auto"/>
              </w:rPr>
              <w:t>≤ 3.0%</w:t>
            </w: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6,837</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6,852</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6,845</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8"/>
              </w:rPr>
              <w:t>2%</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100.6%</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3.59%</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2.92%</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31</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6%</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16,627</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17,383</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17,188</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51%</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104.7%</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4.09%</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2.84%</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26</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7%</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12,888</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13,733</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13,687</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57%</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106.7%</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4.54%</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2.99%</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29</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1,524</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1,629</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1,664</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87%</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106.8%</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4.96%</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3.39%</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55</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5.0%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148</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158</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163</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66%</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106.4%</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5.45%</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3.74%</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92</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 5.5%</w:t>
            </w:r>
          </w:p>
        </w:tc>
        <w:tc>
          <w:tcPr>
            <w:tcW w:w="1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155</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170</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173</w:t>
            </w:r>
          </w:p>
        </w:tc>
        <w:tc>
          <w:tcPr>
            <w:tcW w:w="100" w:type="dxa"/>
            <w:vAlign w:val="bottom"/>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38%</w:t>
            </w:r>
          </w:p>
        </w:tc>
        <w:tc>
          <w:tcPr>
            <w:tcW w:w="22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6"/>
              </w:rPr>
              <w:t>109.5%</w:t>
            </w:r>
          </w:p>
        </w:tc>
        <w:tc>
          <w:tcPr>
            <w:tcW w:w="100" w:type="dxa"/>
            <w:vAlign w:val="bottom"/>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ind w:left="160"/>
              <w:spacing w:after="0"/>
              <w:rPr>
                <w:sz w:val="20"/>
                <w:szCs w:val="20"/>
                <w:color w:val="auto"/>
              </w:rPr>
            </w:pPr>
            <w:r>
              <w:rPr>
                <w:rFonts w:ascii="Arial" w:cs="Arial" w:eastAsia="Arial" w:hAnsi="Arial"/>
                <w:sz w:val="14"/>
                <w:szCs w:val="14"/>
                <w:color w:val="auto"/>
              </w:rPr>
              <w:t>6.20%</w:t>
            </w:r>
          </w:p>
        </w:tc>
        <w:tc>
          <w:tcPr>
            <w:tcW w:w="100" w:type="dxa"/>
            <w:vAlign w:val="bottom"/>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3.40%</w:t>
            </w:r>
          </w:p>
        </w:tc>
        <w:tc>
          <w:tcPr>
            <w:tcW w:w="10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4"/>
              </w:rPr>
              <w:t>109</w:t>
            </w:r>
          </w:p>
        </w:tc>
        <w:tc>
          <w:tcPr>
            <w:tcW w:w="100" w:type="dxa"/>
            <w:vAlign w:val="bottom"/>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16%</w:t>
            </w:r>
          </w:p>
        </w:tc>
        <w:tc>
          <w:tcPr>
            <w:tcW w:w="0" w:type="dxa"/>
            <w:vAlign w:val="bottom"/>
          </w:tcPr>
          <w:p>
            <w:pPr>
              <w:spacing w:after="0"/>
              <w:rPr>
                <w:sz w:val="1"/>
                <w:szCs w:val="1"/>
                <w:color w:val="auto"/>
              </w:rPr>
            </w:pPr>
          </w:p>
        </w:tc>
      </w:tr>
      <w:tr>
        <w:trPr>
          <w:trHeight w:val="250"/>
        </w:trPr>
        <w:tc>
          <w:tcPr>
            <w:tcW w:w="2420" w:type="dxa"/>
            <w:vAlign w:val="bottom"/>
            <w:tcBorders>
              <w:bottom w:val="single" w:sz="8" w:color="CCEEFF"/>
            </w:tcBorders>
            <w:gridSpan w:val="2"/>
          </w:tcPr>
          <w:p>
            <w:pPr>
              <w:ind w:left="280"/>
              <w:spacing w:after="0"/>
              <w:rPr>
                <w:sz w:val="20"/>
                <w:szCs w:val="20"/>
                <w:color w:val="auto"/>
              </w:rPr>
            </w:pPr>
            <w:r>
              <w:rPr>
                <w:rFonts w:ascii="Arial" w:cs="Arial" w:eastAsia="Arial" w:hAnsi="Arial"/>
                <w:sz w:val="14"/>
                <w:szCs w:val="14"/>
                <w:color w:val="auto"/>
              </w:rPr>
              <w:t>Total 30-year</w:t>
            </w:r>
          </w:p>
        </w:tc>
        <w:tc>
          <w:tcPr>
            <w:tcW w:w="10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38,179</w:t>
            </w:r>
          </w:p>
        </w:tc>
        <w:tc>
          <w:tcPr>
            <w:tcW w:w="12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39,925</w:t>
            </w:r>
          </w:p>
        </w:tc>
        <w:tc>
          <w:tcPr>
            <w:tcW w:w="12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39,720</w:t>
            </w:r>
          </w:p>
        </w:tc>
        <w:tc>
          <w:tcPr>
            <w:tcW w:w="100" w:type="dxa"/>
            <w:vAlign w:val="bottom"/>
            <w:tcBorders>
              <w:bottom w:val="single" w:sz="8" w:color="CCEEFF"/>
            </w:tcBorders>
          </w:tcPr>
          <w:p>
            <w:pPr>
              <w:spacing w:after="0"/>
              <w:rPr>
                <w:sz w:val="21"/>
                <w:szCs w:val="21"/>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46%</w:t>
            </w:r>
          </w:p>
        </w:tc>
        <w:tc>
          <w:tcPr>
            <w:tcW w:w="220" w:type="dxa"/>
            <w:vAlign w:val="bottom"/>
            <w:tcBorders>
              <w:bottom w:val="single" w:sz="8" w:color="CCEEFF"/>
            </w:tcBorders>
          </w:tcPr>
          <w:p>
            <w:pPr>
              <w:spacing w:after="0"/>
              <w:rPr>
                <w:sz w:val="21"/>
                <w:szCs w:val="21"/>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105.2%</w:t>
            </w:r>
          </w:p>
        </w:tc>
        <w:tc>
          <w:tcPr>
            <w:tcW w:w="100" w:type="dxa"/>
            <w:vAlign w:val="bottom"/>
            <w:tcBorders>
              <w:bottom w:val="single" w:sz="8" w:color="CCEEFF"/>
            </w:tcBorders>
          </w:tcPr>
          <w:p>
            <w:pPr>
              <w:spacing w:after="0"/>
              <w:rPr>
                <w:sz w:val="21"/>
                <w:szCs w:val="21"/>
                <w:color w:val="auto"/>
              </w:rPr>
            </w:pPr>
          </w:p>
        </w:tc>
        <w:tc>
          <w:tcPr>
            <w:tcW w:w="680" w:type="dxa"/>
            <w:vAlign w:val="bottom"/>
            <w:tcBorders>
              <w:bottom w:val="single" w:sz="8" w:color="auto"/>
            </w:tcBorders>
          </w:tcPr>
          <w:p>
            <w:pPr>
              <w:ind w:left="160"/>
              <w:spacing w:after="0"/>
              <w:rPr>
                <w:sz w:val="20"/>
                <w:szCs w:val="20"/>
                <w:color w:val="auto"/>
              </w:rPr>
            </w:pPr>
            <w:r>
              <w:rPr>
                <w:rFonts w:ascii="Arial" w:cs="Arial" w:eastAsia="Arial" w:hAnsi="Arial"/>
                <w:sz w:val="14"/>
                <w:szCs w:val="14"/>
                <w:color w:val="auto"/>
              </w:rPr>
              <w:t>4.27%</w:t>
            </w:r>
          </w:p>
        </w:tc>
        <w:tc>
          <w:tcPr>
            <w:tcW w:w="100" w:type="dxa"/>
            <w:vAlign w:val="bottom"/>
            <w:tcBorders>
              <w:bottom w:val="single" w:sz="8" w:color="CCEEFF"/>
            </w:tcBorders>
          </w:tcPr>
          <w:p>
            <w:pPr>
              <w:spacing w:after="0"/>
              <w:rPr>
                <w:sz w:val="21"/>
                <w:szCs w:val="21"/>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2.93%</w:t>
            </w:r>
          </w:p>
        </w:tc>
        <w:tc>
          <w:tcPr>
            <w:tcW w:w="100" w:type="dxa"/>
            <w:vAlign w:val="bottom"/>
            <w:tcBorders>
              <w:bottom w:val="single" w:sz="8" w:color="CCEEFF"/>
            </w:tcBorders>
          </w:tcPr>
          <w:p>
            <w:pPr>
              <w:spacing w:after="0"/>
              <w:rPr>
                <w:sz w:val="21"/>
                <w:szCs w:val="21"/>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9"/>
              </w:rPr>
              <w:t>30</w:t>
            </w:r>
          </w:p>
        </w:tc>
        <w:tc>
          <w:tcPr>
            <w:tcW w:w="100" w:type="dxa"/>
            <w:vAlign w:val="bottom"/>
            <w:tcBorders>
              <w:bottom w:val="single" w:sz="8" w:color="CCEEFF"/>
            </w:tcBorders>
          </w:tcPr>
          <w:p>
            <w:pPr>
              <w:spacing w:after="0"/>
              <w:rPr>
                <w:sz w:val="21"/>
                <w:szCs w:val="21"/>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43"/>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Total fixed rate</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55,708</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58,006</w:t>
            </w:r>
          </w:p>
        </w:tc>
        <w:tc>
          <w:tcPr>
            <w:tcW w:w="120" w:type="dxa"/>
            <w:vAlign w:val="bottom"/>
            <w:shd w:val="clear" w:color="auto" w:fill="CCEEFF"/>
          </w:tcPr>
          <w:p>
            <w:pPr>
              <w:spacing w:after="0"/>
              <w:rPr>
                <w:sz w:val="21"/>
                <w:szCs w:val="21"/>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57,966</w:t>
            </w:r>
          </w:p>
        </w:tc>
        <w:tc>
          <w:tcPr>
            <w:tcW w:w="100" w:type="dxa"/>
            <w:vAlign w:val="bottom"/>
            <w:shd w:val="clear" w:color="auto" w:fill="CCEEFF"/>
          </w:tcPr>
          <w:p>
            <w:pPr>
              <w:spacing w:after="0"/>
              <w:rPr>
                <w:sz w:val="21"/>
                <w:szCs w:val="21"/>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55%</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104.5%</w:t>
            </w:r>
          </w:p>
        </w:tc>
        <w:tc>
          <w:tcPr>
            <w:tcW w:w="100" w:type="dxa"/>
            <w:vAlign w:val="bottom"/>
            <w:shd w:val="clear" w:color="auto" w:fill="CCEEFF"/>
          </w:tcPr>
          <w:p>
            <w:pPr>
              <w:spacing w:after="0"/>
              <w:rPr>
                <w:sz w:val="21"/>
                <w:szCs w:val="21"/>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4.08%</w:t>
            </w:r>
          </w:p>
        </w:tc>
        <w:tc>
          <w:tcPr>
            <w:tcW w:w="100" w:type="dxa"/>
            <w:vAlign w:val="bottom"/>
            <w:shd w:val="clear" w:color="auto" w:fill="CCEEFF"/>
          </w:tcPr>
          <w:p>
            <w:pPr>
              <w:spacing w:after="0"/>
              <w:rPr>
                <w:sz w:val="21"/>
                <w:szCs w:val="21"/>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2.75%</w:t>
            </w:r>
          </w:p>
        </w:tc>
        <w:tc>
          <w:tcPr>
            <w:tcW w:w="100" w:type="dxa"/>
            <w:vAlign w:val="bottom"/>
            <w:shd w:val="clear" w:color="auto" w:fill="CCEEFF"/>
          </w:tcPr>
          <w:p>
            <w:pPr>
              <w:spacing w:after="0"/>
              <w:rPr>
                <w:sz w:val="21"/>
                <w:szCs w:val="21"/>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36</w:t>
            </w:r>
          </w:p>
        </w:tc>
        <w:tc>
          <w:tcPr>
            <w:tcW w:w="100" w:type="dxa"/>
            <w:vAlign w:val="bottom"/>
            <w:shd w:val="clear" w:color="auto" w:fill="CCEEFF"/>
          </w:tcPr>
          <w:p>
            <w:pPr>
              <w:spacing w:after="0"/>
              <w:rPr>
                <w:sz w:val="21"/>
                <w:szCs w:val="21"/>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0"/>
        </w:trPr>
        <w:tc>
          <w:tcPr>
            <w:tcW w:w="23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w w:val="99"/>
              </w:rPr>
              <w:t>_______________________</w:t>
            </w:r>
          </w:p>
        </w:tc>
        <w:tc>
          <w:tcPr>
            <w:tcW w:w="120" w:type="dxa"/>
            <w:vAlign w:val="bottom"/>
            <w:tcBorders>
              <w:top w:val="single" w:sz="8" w:color="CCEEFF"/>
              <w:bottom w:val="single" w:sz="8" w:color="CCEEFF"/>
            </w:tcBorders>
            <w:vMerge w:val="restart"/>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300" w:type="dxa"/>
            <w:vAlign w:val="bottom"/>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left="660" w:hanging="328"/>
        <w:spacing w:after="0" w:line="241" w:lineRule="auto"/>
        <w:tabs>
          <w:tab w:leader="none" w:pos="660" w:val="left"/>
        </w:tabs>
        <w:numPr>
          <w:ilvl w:val="0"/>
          <w:numId w:val="27"/>
        </w:numPr>
        <w:rPr>
          <w:rFonts w:ascii="Arial" w:cs="Arial" w:eastAsia="Arial" w:hAnsi="Arial"/>
          <w:sz w:val="14"/>
          <w:szCs w:val="14"/>
          <w:color w:val="auto"/>
        </w:rPr>
      </w:pPr>
      <w:r>
        <w:rPr>
          <w:rFonts w:ascii="Arial" w:cs="Arial" w:eastAsia="Arial" w:hAnsi="Arial"/>
          <w:sz w:val="14"/>
          <w:szCs w:val="14"/>
          <w:color w:val="auto"/>
        </w:rPr>
        <w:t>Lower loan balance securities represent pools backed by an original loan balance of ≤ $150,000. Our lower loan balance securities had a weighted average original loan balance of $97,000 and $98,000 for 15-year and 30-year securities, respectively, as of December 31, 2015.</w:t>
      </w:r>
    </w:p>
    <w:p>
      <w:pPr>
        <w:jc w:val="both"/>
        <w:ind w:left="660" w:hanging="328"/>
        <w:spacing w:after="0" w:line="241" w:lineRule="auto"/>
        <w:tabs>
          <w:tab w:leader="none" w:pos="660" w:val="left"/>
        </w:tabs>
        <w:numPr>
          <w:ilvl w:val="0"/>
          <w:numId w:val="27"/>
        </w:numPr>
        <w:rPr>
          <w:rFonts w:ascii="Arial" w:cs="Arial" w:eastAsia="Arial" w:hAnsi="Arial"/>
          <w:sz w:val="14"/>
          <w:szCs w:val="14"/>
          <w:color w:val="auto"/>
        </w:rPr>
      </w:pPr>
      <w:r>
        <w:rPr>
          <w:rFonts w:ascii="Arial" w:cs="Arial" w:eastAsia="Arial" w:hAnsi="Arial"/>
          <w:sz w:val="14"/>
          <w:szCs w:val="14"/>
          <w:color w:val="auto"/>
        </w:rPr>
        <w:t>HARP securities are defined as pools backed by 100% refinance loans with LTV ≥ 80%. Our HARP securities had a weighted average LTV of 110% and 127% for 15-year and 30-year securities, respectively, as of December 31, 2015. Includes $0.9 billion and $4.0 billion of 15-year and 30-year securities, respectively, with &gt;105 LTV pools which are not deliverable into TBA securities.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7"/>
        </w:numPr>
        <w:rPr>
          <w:rFonts w:ascii="Arial" w:cs="Arial" w:eastAsia="Arial" w:hAnsi="Arial"/>
          <w:sz w:val="14"/>
          <w:szCs w:val="14"/>
          <w:color w:val="auto"/>
        </w:rPr>
      </w:pPr>
      <w:r>
        <w:rPr>
          <w:rFonts w:ascii="Arial" w:cs="Arial" w:eastAsia="Arial" w:hAnsi="Arial"/>
          <w:sz w:val="14"/>
          <w:szCs w:val="14"/>
          <w:color w:val="auto"/>
        </w:rPr>
        <w:t>WAC represents the weighted average coupon of the underlying collateral.</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7"/>
        </w:numPr>
        <w:rPr>
          <w:rFonts w:ascii="Arial" w:cs="Arial" w:eastAsia="Arial" w:hAnsi="Arial"/>
          <w:sz w:val="14"/>
          <w:szCs w:val="14"/>
          <w:color w:val="auto"/>
        </w:rPr>
      </w:pPr>
      <w:r>
        <w:rPr>
          <w:rFonts w:ascii="Arial" w:cs="Arial" w:eastAsia="Arial" w:hAnsi="Arial"/>
          <w:sz w:val="14"/>
          <w:szCs w:val="14"/>
          <w:color w:val="auto"/>
        </w:rPr>
        <w:t>Portfolio yield incorporates a projected life CPR assumption based on forward rate assumptions as of December 31, 2015.</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20"/>
          </w:cols>
          <w:pgMar w:left="240" w:top="746" w:right="239" w:bottom="1440" w:gutter="0" w:footer="0" w:header="0"/>
        </w:sectPr>
      </w:pPr>
    </w:p>
    <w:bookmarkStart w:id="46" w:name="page47"/>
    <w:bookmarkEnd w:id="46"/>
    <w:tbl>
      <w:tblPr>
        <w:tblLayout w:type="fixed"/>
        <w:tblInd w:w="0" w:type="dxa"/>
        <w:tblCellMar>
          <w:top w:w="0" w:type="dxa"/>
          <w:left w:w="0" w:type="dxa"/>
          <w:bottom w:w="0" w:type="dxa"/>
          <w:right w:w="0" w:type="dxa"/>
        </w:tblCellMar>
      </w:tblPr>
      <w:tr>
        <w:trPr>
          <w:trHeight w:val="192"/>
        </w:trPr>
        <w:tc>
          <w:tcPr>
            <w:tcW w:w="2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3"/>
          </w:tcPr>
          <w:p>
            <w:pPr>
              <w:spacing w:after="0"/>
              <w:rPr>
                <w:sz w:val="20"/>
                <w:szCs w:val="20"/>
                <w:color w:val="auto"/>
              </w:rPr>
            </w:pPr>
            <w:r>
              <w:rPr>
                <w:rFonts w:ascii="Arial" w:cs="Arial" w:eastAsia="Arial" w:hAnsi="Arial"/>
                <w:sz w:val="14"/>
                <w:szCs w:val="14"/>
                <w:b w:val="1"/>
                <w:bCs w:val="1"/>
                <w:color w:val="auto"/>
              </w:rPr>
              <w:t>December 31, 2014</w:t>
            </w:r>
          </w:p>
        </w:tc>
        <w:tc>
          <w:tcPr>
            <w:tcW w:w="6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23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920" w:type="dxa"/>
            <w:vAlign w:val="bottom"/>
            <w:tcBorders>
              <w:bottom w:val="single" w:sz="8" w:color="auto"/>
            </w:tcBorders>
            <w:gridSpan w:val="5"/>
          </w:tcPr>
          <w:p>
            <w:pPr>
              <w:ind w:left="60"/>
              <w:spacing w:after="0"/>
              <w:rPr>
                <w:sz w:val="20"/>
                <w:szCs w:val="20"/>
                <w:color w:val="auto"/>
              </w:rPr>
            </w:pPr>
            <w:r>
              <w:rPr>
                <w:rFonts w:ascii="Arial" w:cs="Arial" w:eastAsia="Arial" w:hAnsi="Arial"/>
                <w:sz w:val="14"/>
                <w:szCs w:val="14"/>
                <w:b w:val="1"/>
                <w:bCs w:val="1"/>
                <w:color w:val="auto"/>
              </w:rPr>
              <w:t>Includes Net TBA Position</w:t>
            </w:r>
          </w:p>
        </w:tc>
        <w:tc>
          <w:tcPr>
            <w:tcW w:w="900" w:type="dxa"/>
            <w:vAlign w:val="bottom"/>
            <w:tcBorders>
              <w:bottom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800" w:type="dxa"/>
            <w:vAlign w:val="bottom"/>
            <w:tcBorders>
              <w:bottom w:val="single" w:sz="8" w:color="auto"/>
            </w:tcBorders>
            <w:gridSpan w:val="6"/>
          </w:tcPr>
          <w:p>
            <w:pPr>
              <w:ind w:left="460"/>
              <w:spacing w:after="0"/>
              <w:rPr>
                <w:sz w:val="20"/>
                <w:szCs w:val="20"/>
                <w:color w:val="auto"/>
              </w:rPr>
            </w:pPr>
            <w:r>
              <w:rPr>
                <w:rFonts w:ascii="Arial" w:cs="Arial" w:eastAsia="Arial" w:hAnsi="Arial"/>
                <w:sz w:val="14"/>
                <w:szCs w:val="14"/>
                <w:b w:val="1"/>
                <w:bCs w:val="1"/>
                <w:color w:val="auto"/>
              </w:rPr>
              <w:t>Excludes Net TBA Position</w:t>
            </w:r>
          </w:p>
        </w:tc>
        <w:tc>
          <w:tcPr>
            <w:tcW w:w="90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rPr>
              <w:t>% Lower</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20" w:type="dxa"/>
            <w:vAlign w:val="bottom"/>
            <w:gridSpan w:val="4"/>
          </w:tcPr>
          <w:p>
            <w:pPr>
              <w:ind w:left="20"/>
              <w:spacing w:after="0"/>
              <w:rPr>
                <w:sz w:val="20"/>
                <w:szCs w:val="20"/>
                <w:color w:val="auto"/>
              </w:rPr>
            </w:pPr>
            <w:r>
              <w:rPr>
                <w:rFonts w:ascii="Arial" w:cs="Arial" w:eastAsia="Arial" w:hAnsi="Arial"/>
                <w:sz w:val="14"/>
                <w:szCs w:val="14"/>
                <w:b w:val="1"/>
                <w:bCs w:val="1"/>
                <w:color w:val="auto"/>
              </w:rPr>
              <w:t>Weighted Average</w:t>
            </w: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90"/>
              </w:rPr>
              <w:t>Projected</w:t>
            </w:r>
          </w:p>
        </w:tc>
        <w:tc>
          <w:tcPr>
            <w:tcW w:w="0" w:type="dxa"/>
            <w:vAlign w:val="bottom"/>
          </w:tcPr>
          <w:p>
            <w:pPr>
              <w:spacing w:after="0"/>
              <w:rPr>
                <w:sz w:val="1"/>
                <w:szCs w:val="1"/>
                <w:color w:val="auto"/>
              </w:rPr>
            </w:pPr>
          </w:p>
        </w:tc>
      </w:tr>
      <w:tr>
        <w:trPr>
          <w:trHeight w:val="54"/>
        </w:trPr>
        <w:tc>
          <w:tcPr>
            <w:tcW w:w="23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20" w:type="dxa"/>
            <w:vAlign w:val="bottom"/>
            <w:gridSpan w:val="2"/>
            <w:vMerge w:val="restart"/>
          </w:tcPr>
          <w:p>
            <w:pPr>
              <w:ind w:left="40"/>
              <w:spacing w:after="0" w:line="139" w:lineRule="exact"/>
              <w:rPr>
                <w:sz w:val="20"/>
                <w:szCs w:val="20"/>
                <w:color w:val="auto"/>
              </w:rPr>
            </w:pPr>
            <w:r>
              <w:rPr>
                <w:rFonts w:ascii="Arial" w:cs="Arial" w:eastAsia="Arial" w:hAnsi="Arial"/>
                <w:sz w:val="14"/>
                <w:szCs w:val="14"/>
                <w:b w:val="1"/>
                <w:bCs w:val="1"/>
                <w:color w:val="auto"/>
              </w:rPr>
              <w:t>Amortized</w:t>
            </w:r>
          </w:p>
        </w:tc>
        <w:tc>
          <w:tcPr>
            <w:tcW w:w="200" w:type="dxa"/>
            <w:vAlign w:val="bottom"/>
          </w:tcPr>
          <w:p>
            <w:pPr>
              <w:spacing w:after="0"/>
              <w:rPr>
                <w:sz w:val="4"/>
                <w:szCs w:val="4"/>
                <w:color w:val="auto"/>
              </w:rPr>
            </w:pPr>
          </w:p>
        </w:tc>
        <w:tc>
          <w:tcPr>
            <w:tcW w:w="600" w:type="dxa"/>
            <w:vAlign w:val="bottom"/>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w w:val="92"/>
              </w:rPr>
              <w:t>Loan Balance</w:t>
            </w:r>
          </w:p>
        </w:tc>
        <w:tc>
          <w:tcPr>
            <w:tcW w:w="220" w:type="dxa"/>
            <w:vAlign w:val="bottom"/>
          </w:tcPr>
          <w:p>
            <w:pPr>
              <w:spacing w:after="0"/>
              <w:rPr>
                <w:sz w:val="4"/>
                <w:szCs w:val="4"/>
                <w:color w:val="auto"/>
              </w:rPr>
            </w:pPr>
          </w:p>
        </w:tc>
        <w:tc>
          <w:tcPr>
            <w:tcW w:w="1120" w:type="dxa"/>
            <w:vAlign w:val="bottom"/>
            <w:gridSpan w:val="2"/>
            <w:vMerge w:val="restart"/>
          </w:tcPr>
          <w:p>
            <w:pPr>
              <w:ind w:left="180"/>
              <w:spacing w:after="0" w:line="139" w:lineRule="exact"/>
              <w:rPr>
                <w:sz w:val="20"/>
                <w:szCs w:val="20"/>
                <w:color w:val="auto"/>
              </w:rPr>
            </w:pPr>
            <w:r>
              <w:rPr>
                <w:rFonts w:ascii="Arial" w:cs="Arial" w:eastAsia="Arial" w:hAnsi="Arial"/>
                <w:sz w:val="14"/>
                <w:szCs w:val="14"/>
                <w:b w:val="1"/>
                <w:bCs w:val="1"/>
                <w:color w:val="auto"/>
              </w:rPr>
              <w:t>Amortized</w:t>
            </w:r>
          </w:p>
        </w:tc>
        <w:tc>
          <w:tcPr>
            <w:tcW w:w="6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rPr>
              <w:t>Life</w:t>
            </w:r>
          </w:p>
        </w:tc>
        <w:tc>
          <w:tcPr>
            <w:tcW w:w="0" w:type="dxa"/>
            <w:vAlign w:val="bottom"/>
          </w:tcPr>
          <w:p>
            <w:pPr>
              <w:spacing w:after="0"/>
              <w:rPr>
                <w:sz w:val="1"/>
                <w:szCs w:val="1"/>
                <w:color w:val="auto"/>
              </w:rPr>
            </w:pPr>
          </w:p>
        </w:tc>
      </w:tr>
      <w:tr>
        <w:trPr>
          <w:trHeight w:val="65"/>
        </w:trPr>
        <w:tc>
          <w:tcPr>
            <w:tcW w:w="23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Agency Fixed Rate Securities</w:t>
            </w:r>
          </w:p>
        </w:tc>
        <w:tc>
          <w:tcPr>
            <w:tcW w:w="120" w:type="dxa"/>
            <w:vAlign w:val="bottom"/>
            <w:vMerge w:val="restart"/>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0"/>
              </w:rPr>
              <w:t>Par Value</w:t>
            </w:r>
          </w:p>
        </w:tc>
        <w:tc>
          <w:tcPr>
            <w:tcW w:w="120" w:type="dxa"/>
            <w:vAlign w:val="bottom"/>
            <w:vMerge w:val="restart"/>
          </w:tcPr>
          <w:p>
            <w:pPr>
              <w:spacing w:after="0"/>
              <w:rPr>
                <w:sz w:val="5"/>
                <w:szCs w:val="5"/>
                <w:color w:val="auto"/>
              </w:rPr>
            </w:pPr>
          </w:p>
        </w:tc>
        <w:tc>
          <w:tcPr>
            <w:tcW w:w="140" w:type="dxa"/>
            <w:vAlign w:val="bottom"/>
          </w:tcPr>
          <w:p>
            <w:pPr>
              <w:spacing w:after="0"/>
              <w:rPr>
                <w:sz w:val="5"/>
                <w:szCs w:val="5"/>
                <w:color w:val="auto"/>
              </w:rPr>
            </w:pPr>
          </w:p>
        </w:tc>
        <w:tc>
          <w:tcPr>
            <w:tcW w:w="1020" w:type="dxa"/>
            <w:vAlign w:val="bottom"/>
            <w:gridSpan w:val="2"/>
            <w:vMerge w:val="continue"/>
          </w:tcPr>
          <w:p>
            <w:pPr>
              <w:spacing w:after="0"/>
              <w:rPr>
                <w:sz w:val="5"/>
                <w:szCs w:val="5"/>
                <w:color w:val="auto"/>
              </w:rPr>
            </w:pPr>
          </w:p>
        </w:tc>
        <w:tc>
          <w:tcPr>
            <w:tcW w:w="800" w:type="dxa"/>
            <w:vAlign w:val="bottom"/>
            <w:gridSpan w:val="2"/>
            <w:vMerge w:val="restart"/>
          </w:tcPr>
          <w:p>
            <w:pPr>
              <w:jc w:val="right"/>
              <w:ind w:right="8"/>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5"/>
                <w:szCs w:val="5"/>
                <w:color w:val="auto"/>
              </w:rPr>
            </w:pPr>
          </w:p>
        </w:tc>
        <w:tc>
          <w:tcPr>
            <w:tcW w:w="90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1120" w:type="dxa"/>
            <w:vAlign w:val="bottom"/>
            <w:gridSpan w:val="2"/>
            <w:vMerge w:val="continue"/>
          </w:tcPr>
          <w:p>
            <w:pPr>
              <w:spacing w:after="0"/>
              <w:rPr>
                <w:sz w:val="5"/>
                <w:szCs w:val="5"/>
                <w:color w:val="auto"/>
              </w:rPr>
            </w:pPr>
          </w:p>
        </w:tc>
        <w:tc>
          <w:tcPr>
            <w:tcW w:w="680" w:type="dxa"/>
            <w:vAlign w:val="bottom"/>
            <w:vMerge w:val="restart"/>
          </w:tcPr>
          <w:p>
            <w:pPr>
              <w:ind w:left="140"/>
              <w:spacing w:after="0"/>
              <w:rPr>
                <w:sz w:val="20"/>
                <w:szCs w:val="20"/>
                <w:color w:val="auto"/>
              </w:rPr>
            </w:pPr>
            <w:r>
              <w:rPr>
                <w:rFonts w:ascii="Arial" w:cs="Arial" w:eastAsia="Arial" w:hAnsi="Arial"/>
                <w:sz w:val="14"/>
                <w:szCs w:val="14"/>
                <w:b w:val="1"/>
                <w:bCs w:val="1"/>
                <w:color w:val="auto"/>
              </w:rPr>
              <w:t xml:space="preserve">WAC </w:t>
            </w:r>
            <w:r>
              <w:rPr>
                <w:rFonts w:ascii="Arial" w:cs="Arial" w:eastAsia="Arial" w:hAnsi="Arial"/>
                <w:sz w:val="8"/>
                <w:szCs w:val="8"/>
                <w:b w:val="1"/>
                <w:bCs w:val="1"/>
                <w:color w:val="auto"/>
              </w:rPr>
              <w:t>3</w:t>
            </w:r>
          </w:p>
        </w:tc>
        <w:tc>
          <w:tcPr>
            <w:tcW w:w="100" w:type="dxa"/>
            <w:vAlign w:val="bottom"/>
            <w:vMerge w:val="restart"/>
          </w:tcPr>
          <w:p>
            <w:pPr>
              <w:spacing w:after="0"/>
              <w:rPr>
                <w:sz w:val="5"/>
                <w:szCs w:val="5"/>
                <w:color w:val="auto"/>
              </w:rPr>
            </w:pPr>
          </w:p>
        </w:tc>
        <w:tc>
          <w:tcPr>
            <w:tcW w:w="800" w:type="dxa"/>
            <w:vAlign w:val="bottom"/>
            <w:vMerge w:val="restart"/>
          </w:tcPr>
          <w:p>
            <w:pPr>
              <w:ind w:left="200"/>
              <w:spacing w:after="0"/>
              <w:rPr>
                <w:sz w:val="20"/>
                <w:szCs w:val="20"/>
                <w:color w:val="auto"/>
              </w:rPr>
            </w:pPr>
            <w:r>
              <w:rPr>
                <w:rFonts w:ascii="Arial" w:cs="Arial" w:eastAsia="Arial" w:hAnsi="Arial"/>
                <w:sz w:val="14"/>
                <w:szCs w:val="14"/>
                <w:b w:val="1"/>
                <w:bCs w:val="1"/>
                <w:color w:val="auto"/>
              </w:rPr>
              <w:t xml:space="preserve">Yield </w:t>
            </w:r>
            <w:r>
              <w:rPr>
                <w:rFonts w:ascii="Arial" w:cs="Arial" w:eastAsia="Arial" w:hAnsi="Arial"/>
                <w:sz w:val="8"/>
                <w:szCs w:val="8"/>
                <w:b w:val="1"/>
                <w:bCs w:val="1"/>
                <w:color w:val="auto"/>
              </w:rPr>
              <w:t>4</w:t>
            </w:r>
          </w:p>
        </w:tc>
        <w:tc>
          <w:tcPr>
            <w:tcW w:w="100" w:type="dxa"/>
            <w:vAlign w:val="bottom"/>
            <w:vMerge w:val="restart"/>
          </w:tcPr>
          <w:p>
            <w:pPr>
              <w:spacing w:after="0"/>
              <w:rPr>
                <w:sz w:val="5"/>
                <w:szCs w:val="5"/>
                <w:color w:val="auto"/>
              </w:rPr>
            </w:pPr>
          </w:p>
        </w:tc>
        <w:tc>
          <w:tcPr>
            <w:tcW w:w="10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3"/>
              </w:rPr>
              <w:t>Age (Months)</w:t>
            </w:r>
          </w:p>
        </w:tc>
        <w:tc>
          <w:tcPr>
            <w:tcW w:w="100" w:type="dxa"/>
            <w:vAlign w:val="bottom"/>
            <w:vMerge w:val="restart"/>
          </w:tcPr>
          <w:p>
            <w:pPr>
              <w:spacing w:after="0"/>
              <w:rPr>
                <w:sz w:val="5"/>
                <w:szCs w:val="5"/>
                <w:color w:val="auto"/>
              </w:rPr>
            </w:pPr>
          </w:p>
        </w:tc>
        <w:tc>
          <w:tcPr>
            <w:tcW w:w="9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23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80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 xml:space="preserve">&amp; HARP </w:t>
            </w:r>
            <w:r>
              <w:rPr>
                <w:rFonts w:ascii="Arial" w:cs="Arial" w:eastAsia="Arial" w:hAnsi="Arial"/>
                <w:sz w:val="8"/>
                <w:szCs w:val="8"/>
                <w:b w:val="1"/>
                <w:bCs w:val="1"/>
                <w:color w:val="auto"/>
              </w:rPr>
              <w:t>1,2</w:t>
            </w:r>
          </w:p>
        </w:tc>
        <w:tc>
          <w:tcPr>
            <w:tcW w:w="2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ind w:left="200"/>
              <w:spacing w:after="0"/>
              <w:rPr>
                <w:sz w:val="20"/>
                <w:szCs w:val="20"/>
                <w:color w:val="auto"/>
              </w:rPr>
            </w:pPr>
            <w:r>
              <w:rPr>
                <w:rFonts w:ascii="Arial" w:cs="Arial" w:eastAsia="Arial" w:hAnsi="Arial"/>
                <w:sz w:val="14"/>
                <w:szCs w:val="14"/>
                <w:b w:val="1"/>
                <w:bCs w:val="1"/>
                <w:color w:val="auto"/>
              </w:rPr>
              <w:t>Cost Basis</w:t>
            </w:r>
          </w:p>
        </w:tc>
        <w:tc>
          <w:tcPr>
            <w:tcW w:w="100" w:type="dxa"/>
            <w:vAlign w:val="bottom"/>
            <w:tcBorders>
              <w:bottom w:val="single" w:sz="8" w:color="CCEEFF"/>
            </w:tcBorders>
          </w:tcPr>
          <w:p>
            <w:pPr>
              <w:spacing w:after="0"/>
              <w:rPr>
                <w:sz w:val="16"/>
                <w:szCs w:val="16"/>
                <w:color w:val="auto"/>
              </w:rPr>
            </w:pPr>
          </w:p>
        </w:tc>
        <w:tc>
          <w:tcPr>
            <w:tcW w:w="6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 xml:space="preserve">CPR </w:t>
            </w:r>
            <w:r>
              <w:rPr>
                <w:rFonts w:ascii="Arial" w:cs="Arial" w:eastAsia="Arial" w:hAnsi="Arial"/>
                <w:sz w:val="8"/>
                <w:szCs w:val="8"/>
                <w:b w:val="1"/>
                <w:bCs w:val="1"/>
                <w:color w:val="auto"/>
              </w:rPr>
              <w:t>4</w:t>
            </w: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Fixed rate</w:t>
            </w:r>
          </w:p>
        </w:tc>
        <w:tc>
          <w:tcPr>
            <w:tcW w:w="1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6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420" w:type="dxa"/>
            <w:vAlign w:val="bottom"/>
            <w:gridSpan w:val="2"/>
          </w:tcPr>
          <w:p>
            <w:pPr>
              <w:ind w:left="580"/>
              <w:spacing w:after="0"/>
              <w:rPr>
                <w:sz w:val="20"/>
                <w:szCs w:val="20"/>
                <w:color w:val="auto"/>
              </w:rPr>
            </w:pPr>
            <w:r>
              <w:rPr>
                <w:rFonts w:ascii="Arial" w:cs="Arial" w:eastAsia="Arial" w:hAnsi="Arial"/>
                <w:sz w:val="14"/>
                <w:szCs w:val="14"/>
                <w:color w:val="auto"/>
              </w:rPr>
              <w:t>≤ 15-year</w:t>
            </w:r>
          </w:p>
        </w:tc>
        <w:tc>
          <w:tcPr>
            <w:tcW w:w="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420" w:type="dxa"/>
            <w:vAlign w:val="bottom"/>
            <w:gridSpan w:val="2"/>
            <w:shd w:val="clear" w:color="auto" w:fill="CCEEFF"/>
          </w:tcPr>
          <w:p>
            <w:pPr>
              <w:ind w:left="420"/>
              <w:spacing w:after="0"/>
              <w:rPr>
                <w:sz w:val="20"/>
                <w:szCs w:val="20"/>
                <w:color w:val="auto"/>
              </w:rPr>
            </w:pPr>
            <w:r>
              <w:rPr>
                <w:rFonts w:ascii="Arial" w:cs="Arial" w:eastAsia="Arial" w:hAnsi="Arial"/>
                <w:sz w:val="14"/>
                <w:szCs w:val="14"/>
                <w:color w:val="auto"/>
              </w:rPr>
              <w:t>≤ 2.5%</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7,828</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7,972</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7,993</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30%</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102.0%</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2.96%</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2.03%</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26</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7,635</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7,897</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7,950</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48%</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103.1%</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3.50%</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2.25%</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31</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4,726</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4,889</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5,017</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99%</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103.6%</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3.95%</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2.56%</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41</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4,569</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4,776</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4,906</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89%</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104.5%</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4.40%</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2.72%</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49</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478</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501</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508</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97%</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105.0%</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4.87%</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3.06%</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52</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64"/>
        </w:trPr>
        <w:tc>
          <w:tcPr>
            <w:tcW w:w="242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5.0%</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26%</w:t>
            </w:r>
          </w:p>
        </w:tc>
        <w:tc>
          <w:tcPr>
            <w:tcW w:w="2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104.2%</w:t>
            </w:r>
          </w:p>
        </w:tc>
        <w:tc>
          <w:tcPr>
            <w:tcW w:w="10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ind w:left="160"/>
              <w:spacing w:after="0"/>
              <w:rPr>
                <w:sz w:val="20"/>
                <w:szCs w:val="20"/>
                <w:color w:val="auto"/>
              </w:rPr>
            </w:pPr>
            <w:r>
              <w:rPr>
                <w:rFonts w:ascii="Arial" w:cs="Arial" w:eastAsia="Arial" w:hAnsi="Arial"/>
                <w:sz w:val="14"/>
                <w:szCs w:val="14"/>
                <w:color w:val="auto"/>
              </w:rPr>
              <w:t>6.46%</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4.44%</w:t>
            </w:r>
          </w:p>
        </w:tc>
        <w:tc>
          <w:tcPr>
            <w:tcW w:w="10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9"/>
              </w:rPr>
              <w:t>84</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14%</w:t>
            </w:r>
          </w:p>
        </w:tc>
        <w:tc>
          <w:tcPr>
            <w:tcW w:w="0" w:type="dxa"/>
            <w:vAlign w:val="bottom"/>
          </w:tcPr>
          <w:p>
            <w:pPr>
              <w:spacing w:after="0"/>
              <w:rPr>
                <w:sz w:val="1"/>
                <w:szCs w:val="1"/>
                <w:color w:val="auto"/>
              </w:rPr>
            </w:pPr>
          </w:p>
        </w:tc>
      </w:tr>
      <w:tr>
        <w:trPr>
          <w:trHeight w:val="256"/>
        </w:trPr>
        <w:tc>
          <w:tcPr>
            <w:tcW w:w="2420" w:type="dxa"/>
            <w:vAlign w:val="bottom"/>
            <w:gridSpan w:val="2"/>
            <w:shd w:val="clear" w:color="auto" w:fill="CCEEFF"/>
          </w:tcPr>
          <w:p>
            <w:pPr>
              <w:ind w:left="540"/>
              <w:spacing w:after="0"/>
              <w:rPr>
                <w:sz w:val="20"/>
                <w:szCs w:val="20"/>
                <w:color w:val="auto"/>
              </w:rPr>
            </w:pPr>
            <w:r>
              <w:rPr>
                <w:rFonts w:ascii="Arial" w:cs="Arial" w:eastAsia="Arial" w:hAnsi="Arial"/>
                <w:sz w:val="14"/>
                <w:szCs w:val="14"/>
                <w:color w:val="auto"/>
              </w:rPr>
              <w:t>Total ≤ 15-year</w:t>
            </w: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25,242</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26,042</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26,381</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61%</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103.2%</w:t>
            </w:r>
          </w:p>
        </w:tc>
        <w:tc>
          <w:tcPr>
            <w:tcW w:w="100" w:type="dxa"/>
            <w:vAlign w:val="bottom"/>
            <w:shd w:val="clear" w:color="auto" w:fill="CCEEFF"/>
          </w:tcPr>
          <w:p>
            <w:pPr>
              <w:spacing w:after="0"/>
              <w:rPr>
                <w:sz w:val="22"/>
                <w:szCs w:val="22"/>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3.65%</w:t>
            </w:r>
          </w:p>
        </w:tc>
        <w:tc>
          <w:tcPr>
            <w:tcW w:w="100" w:type="dxa"/>
            <w:vAlign w:val="bottom"/>
            <w:shd w:val="clear" w:color="auto" w:fill="CCEEFF"/>
          </w:tcPr>
          <w:p>
            <w:pPr>
              <w:spacing w:after="0"/>
              <w:rPr>
                <w:sz w:val="22"/>
                <w:szCs w:val="22"/>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2.37%</w:t>
            </w: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36</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58"/>
        </w:trPr>
        <w:tc>
          <w:tcPr>
            <w:tcW w:w="2420" w:type="dxa"/>
            <w:vAlign w:val="bottom"/>
            <w:gridSpan w:val="2"/>
          </w:tcPr>
          <w:p>
            <w:pPr>
              <w:ind w:left="540"/>
              <w:spacing w:after="0"/>
              <w:rPr>
                <w:sz w:val="20"/>
                <w:szCs w:val="20"/>
                <w:color w:val="auto"/>
              </w:rPr>
            </w:pPr>
            <w:r>
              <w:rPr>
                <w:rFonts w:ascii="Arial" w:cs="Arial" w:eastAsia="Arial" w:hAnsi="Arial"/>
                <w:sz w:val="14"/>
                <w:szCs w:val="14"/>
                <w:color w:val="auto"/>
              </w:rPr>
              <w:t>20-year</w:t>
            </w:r>
          </w:p>
        </w:tc>
        <w:tc>
          <w:tcPr>
            <w:tcW w:w="10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6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420" w:type="dxa"/>
            <w:vAlign w:val="bottom"/>
            <w:gridSpan w:val="2"/>
            <w:shd w:val="clear" w:color="auto" w:fill="CCEEFF"/>
          </w:tcPr>
          <w:p>
            <w:pPr>
              <w:ind w:left="420"/>
              <w:spacing w:after="0"/>
              <w:rPr>
                <w:sz w:val="20"/>
                <w:szCs w:val="20"/>
                <w:color w:val="auto"/>
              </w:rPr>
            </w:pPr>
            <w:r>
              <w:rPr>
                <w:rFonts w:ascii="Arial" w:cs="Arial" w:eastAsia="Arial" w:hAnsi="Arial"/>
                <w:sz w:val="14"/>
                <w:szCs w:val="14"/>
                <w:color w:val="auto"/>
              </w:rPr>
              <w:t>≤ 3.0%</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324</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322</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334</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28%</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5"/>
              </w:rPr>
              <w:t>99.3%</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3.55%</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3.11%</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7%</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698</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713</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736</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63%</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102.2%</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4.05%</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3.05%</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22</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80</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84</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86</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47%</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104.5%</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4.53%</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2.98%</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40</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101</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108</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111</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99%</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106.8%</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4.89%</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3.05%</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49</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 5.0%</w:t>
            </w:r>
          </w:p>
        </w:tc>
        <w:tc>
          <w:tcPr>
            <w:tcW w:w="1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w:t>
            </w:r>
          </w:p>
        </w:tc>
        <w:tc>
          <w:tcPr>
            <w:tcW w:w="100" w:type="dxa"/>
            <w:vAlign w:val="bottom"/>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8"/>
              </w:rPr>
              <w:t>—%</w:t>
            </w:r>
          </w:p>
        </w:tc>
        <w:tc>
          <w:tcPr>
            <w:tcW w:w="22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6"/>
              </w:rPr>
              <w:t>106.0%</w:t>
            </w:r>
          </w:p>
        </w:tc>
        <w:tc>
          <w:tcPr>
            <w:tcW w:w="100" w:type="dxa"/>
            <w:vAlign w:val="bottom"/>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ind w:left="160"/>
              <w:spacing w:after="0"/>
              <w:rPr>
                <w:sz w:val="20"/>
                <w:szCs w:val="20"/>
                <w:color w:val="auto"/>
              </w:rPr>
            </w:pPr>
            <w:r>
              <w:rPr>
                <w:rFonts w:ascii="Arial" w:cs="Arial" w:eastAsia="Arial" w:hAnsi="Arial"/>
                <w:sz w:val="14"/>
                <w:szCs w:val="14"/>
                <w:color w:val="auto"/>
              </w:rPr>
              <w:t>5.91%</w:t>
            </w:r>
          </w:p>
        </w:tc>
        <w:tc>
          <w:tcPr>
            <w:tcW w:w="100" w:type="dxa"/>
            <w:vAlign w:val="bottom"/>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3.34%</w:t>
            </w:r>
          </w:p>
        </w:tc>
        <w:tc>
          <w:tcPr>
            <w:tcW w:w="10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79</w:t>
            </w:r>
          </w:p>
        </w:tc>
        <w:tc>
          <w:tcPr>
            <w:tcW w:w="100" w:type="dxa"/>
            <w:vAlign w:val="bottom"/>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20%</w:t>
            </w:r>
          </w:p>
        </w:tc>
        <w:tc>
          <w:tcPr>
            <w:tcW w:w="0" w:type="dxa"/>
            <w:vAlign w:val="bottom"/>
          </w:tcPr>
          <w:p>
            <w:pPr>
              <w:spacing w:after="0"/>
              <w:rPr>
                <w:sz w:val="1"/>
                <w:szCs w:val="1"/>
                <w:color w:val="auto"/>
              </w:rPr>
            </w:pPr>
          </w:p>
        </w:tc>
      </w:tr>
      <w:tr>
        <w:trPr>
          <w:trHeight w:val="250"/>
        </w:trPr>
        <w:tc>
          <w:tcPr>
            <w:tcW w:w="2420" w:type="dxa"/>
            <w:vAlign w:val="bottom"/>
            <w:gridSpan w:val="2"/>
          </w:tcPr>
          <w:p>
            <w:pPr>
              <w:ind w:left="540"/>
              <w:spacing w:after="0"/>
              <w:rPr>
                <w:sz w:val="20"/>
                <w:szCs w:val="20"/>
                <w:color w:val="auto"/>
              </w:rPr>
            </w:pPr>
            <w:r>
              <w:rPr>
                <w:rFonts w:ascii="Arial" w:cs="Arial" w:eastAsia="Arial" w:hAnsi="Arial"/>
                <w:sz w:val="14"/>
                <w:szCs w:val="14"/>
                <w:color w:val="auto"/>
              </w:rPr>
              <w:t>Total 20-year:</w:t>
            </w:r>
          </w:p>
        </w:tc>
        <w:tc>
          <w:tcPr>
            <w:tcW w:w="100" w:type="dxa"/>
            <w:vAlign w:val="bottom"/>
          </w:tcPr>
          <w:p>
            <w:pPr>
              <w:spacing w:after="0"/>
              <w:rPr>
                <w:sz w:val="21"/>
                <w:szCs w:val="21"/>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1,208</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1,232</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1,272</w:t>
            </w:r>
          </w:p>
        </w:tc>
        <w:tc>
          <w:tcPr>
            <w:tcW w:w="10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55%</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102.0%</w:t>
            </w:r>
          </w:p>
        </w:tc>
        <w:tc>
          <w:tcPr>
            <w:tcW w:w="100" w:type="dxa"/>
            <w:vAlign w:val="bottom"/>
          </w:tcPr>
          <w:p>
            <w:pPr>
              <w:spacing w:after="0"/>
              <w:rPr>
                <w:sz w:val="21"/>
                <w:szCs w:val="21"/>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4.03%</w:t>
            </w:r>
          </w:p>
        </w:tc>
        <w:tc>
          <w:tcPr>
            <w:tcW w:w="100" w:type="dxa"/>
            <w:vAlign w:val="bottom"/>
          </w:tcPr>
          <w:p>
            <w:pPr>
              <w:spacing w:after="0"/>
              <w:rPr>
                <w:sz w:val="21"/>
                <w:szCs w:val="21"/>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3.06%</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25</w:t>
            </w:r>
          </w:p>
        </w:tc>
        <w:tc>
          <w:tcPr>
            <w:tcW w:w="10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70"/>
        </w:trPr>
        <w:tc>
          <w:tcPr>
            <w:tcW w:w="2420" w:type="dxa"/>
            <w:vAlign w:val="bottom"/>
            <w:tcBorders>
              <w:top w:val="single" w:sz="8" w:color="CCEEFF"/>
            </w:tcBorders>
            <w:gridSpan w:val="2"/>
            <w:shd w:val="clear" w:color="auto" w:fill="CCEEFF"/>
          </w:tcPr>
          <w:p>
            <w:pPr>
              <w:ind w:left="540"/>
              <w:spacing w:after="0"/>
              <w:rPr>
                <w:sz w:val="20"/>
                <w:szCs w:val="20"/>
                <w:color w:val="auto"/>
              </w:rPr>
            </w:pPr>
            <w:r>
              <w:rPr>
                <w:rFonts w:ascii="Arial" w:cs="Arial" w:eastAsia="Arial" w:hAnsi="Arial"/>
                <w:sz w:val="14"/>
                <w:szCs w:val="14"/>
                <w:color w:val="auto"/>
              </w:rPr>
              <w:t>30-year:</w:t>
            </w:r>
          </w:p>
        </w:tc>
        <w:tc>
          <w:tcPr>
            <w:tcW w:w="100" w:type="dxa"/>
            <w:vAlign w:val="bottom"/>
            <w:tcBorders>
              <w:top w:val="single" w:sz="8" w:color="auto"/>
            </w:tcBorders>
            <w:shd w:val="clear" w:color="auto" w:fill="CCEEFF"/>
          </w:tcPr>
          <w:p>
            <w:pPr>
              <w:spacing w:after="0"/>
              <w:rPr>
                <w:sz w:val="23"/>
                <w:szCs w:val="23"/>
                <w:color w:val="auto"/>
              </w:rPr>
            </w:pPr>
          </w:p>
        </w:tc>
        <w:tc>
          <w:tcPr>
            <w:tcW w:w="72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90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60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900" w:type="dxa"/>
            <w:vAlign w:val="bottom"/>
            <w:tcBorders>
              <w:top w:val="single" w:sz="8" w:color="auto"/>
            </w:tcBorders>
            <w:shd w:val="clear" w:color="auto" w:fill="CCEEFF"/>
          </w:tcPr>
          <w:p>
            <w:pPr>
              <w:spacing w:after="0"/>
              <w:rPr>
                <w:sz w:val="23"/>
                <w:szCs w:val="23"/>
                <w:color w:val="auto"/>
              </w:rPr>
            </w:pPr>
          </w:p>
        </w:tc>
        <w:tc>
          <w:tcPr>
            <w:tcW w:w="220" w:type="dxa"/>
            <w:vAlign w:val="bottom"/>
            <w:tcBorders>
              <w:top w:val="single" w:sz="8" w:color="CCEEFF"/>
            </w:tcBorders>
            <w:shd w:val="clear" w:color="auto" w:fill="CCEEFF"/>
          </w:tcPr>
          <w:p>
            <w:pPr>
              <w:spacing w:after="0"/>
              <w:rPr>
                <w:sz w:val="23"/>
                <w:szCs w:val="23"/>
                <w:color w:val="auto"/>
              </w:rPr>
            </w:pPr>
          </w:p>
        </w:tc>
        <w:tc>
          <w:tcPr>
            <w:tcW w:w="10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68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80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0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900" w:type="dxa"/>
            <w:vAlign w:val="bottom"/>
            <w:tcBorders>
              <w:top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420" w:type="dxa"/>
            <w:vAlign w:val="bottom"/>
            <w:gridSpan w:val="2"/>
          </w:tcPr>
          <w:p>
            <w:pPr>
              <w:ind w:left="420"/>
              <w:spacing w:after="0"/>
              <w:rPr>
                <w:sz w:val="20"/>
                <w:szCs w:val="20"/>
                <w:color w:val="auto"/>
              </w:rPr>
            </w:pPr>
            <w:r>
              <w:rPr>
                <w:rFonts w:ascii="Arial" w:cs="Arial" w:eastAsia="Arial" w:hAnsi="Arial"/>
                <w:sz w:val="14"/>
                <w:szCs w:val="14"/>
                <w:color w:val="auto"/>
              </w:rPr>
              <w:t>≤ 3.0%</w:t>
            </w: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6,887</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6,875</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6,969</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8"/>
              </w:rPr>
              <w:t>2%</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5"/>
              </w:rPr>
              <w:t>98.9%</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3.58%</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3.14%</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19</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6%</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17,970</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18,748</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18,765</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49%</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105.2%</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3.98%</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2.78%</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27</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7%</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12,644</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13,398</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13,551</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61%</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106.4%</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4.43%</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3.00%</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20</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1,699</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1,807</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1,868</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96%</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106.5%</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4.96%</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3.41%</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43</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5.0%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183</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194</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203</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65%</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106.2%</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5.45%</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3.74%</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80</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 5.5%</w:t>
            </w:r>
          </w:p>
        </w:tc>
        <w:tc>
          <w:tcPr>
            <w:tcW w:w="1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207</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225</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232</w:t>
            </w:r>
          </w:p>
        </w:tc>
        <w:tc>
          <w:tcPr>
            <w:tcW w:w="100" w:type="dxa"/>
            <w:vAlign w:val="bottom"/>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36%</w:t>
            </w:r>
          </w:p>
        </w:tc>
        <w:tc>
          <w:tcPr>
            <w:tcW w:w="22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6"/>
              </w:rPr>
              <w:t>108.9%</w:t>
            </w:r>
          </w:p>
        </w:tc>
        <w:tc>
          <w:tcPr>
            <w:tcW w:w="100" w:type="dxa"/>
            <w:vAlign w:val="bottom"/>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ind w:left="160"/>
              <w:spacing w:after="0"/>
              <w:rPr>
                <w:sz w:val="20"/>
                <w:szCs w:val="20"/>
                <w:color w:val="auto"/>
              </w:rPr>
            </w:pPr>
            <w:r>
              <w:rPr>
                <w:rFonts w:ascii="Arial" w:cs="Arial" w:eastAsia="Arial" w:hAnsi="Arial"/>
                <w:sz w:val="14"/>
                <w:szCs w:val="14"/>
                <w:color w:val="auto"/>
              </w:rPr>
              <w:t>6.23%</w:t>
            </w:r>
          </w:p>
        </w:tc>
        <w:tc>
          <w:tcPr>
            <w:tcW w:w="100" w:type="dxa"/>
            <w:vAlign w:val="bottom"/>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3.40%</w:t>
            </w:r>
          </w:p>
        </w:tc>
        <w:tc>
          <w:tcPr>
            <w:tcW w:w="10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96</w:t>
            </w:r>
          </w:p>
        </w:tc>
        <w:tc>
          <w:tcPr>
            <w:tcW w:w="100" w:type="dxa"/>
            <w:vAlign w:val="bottom"/>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18%</w:t>
            </w:r>
          </w:p>
        </w:tc>
        <w:tc>
          <w:tcPr>
            <w:tcW w:w="0" w:type="dxa"/>
            <w:vAlign w:val="bottom"/>
          </w:tcPr>
          <w:p>
            <w:pPr>
              <w:spacing w:after="0"/>
              <w:rPr>
                <w:sz w:val="1"/>
                <w:szCs w:val="1"/>
                <w:color w:val="auto"/>
              </w:rPr>
            </w:pPr>
          </w:p>
        </w:tc>
      </w:tr>
      <w:tr>
        <w:trPr>
          <w:trHeight w:val="250"/>
        </w:trPr>
        <w:tc>
          <w:tcPr>
            <w:tcW w:w="2420" w:type="dxa"/>
            <w:vAlign w:val="bottom"/>
            <w:tcBorders>
              <w:bottom w:val="single" w:sz="8" w:color="CCEEFF"/>
            </w:tcBorders>
            <w:gridSpan w:val="2"/>
          </w:tcPr>
          <w:p>
            <w:pPr>
              <w:ind w:left="540"/>
              <w:spacing w:after="0"/>
              <w:rPr>
                <w:sz w:val="20"/>
                <w:szCs w:val="20"/>
                <w:color w:val="auto"/>
              </w:rPr>
            </w:pPr>
            <w:r>
              <w:rPr>
                <w:rFonts w:ascii="Arial" w:cs="Arial" w:eastAsia="Arial" w:hAnsi="Arial"/>
                <w:sz w:val="14"/>
                <w:szCs w:val="14"/>
                <w:color w:val="auto"/>
              </w:rPr>
              <w:t>Total 30-year</w:t>
            </w:r>
          </w:p>
        </w:tc>
        <w:tc>
          <w:tcPr>
            <w:tcW w:w="10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39,590</w:t>
            </w:r>
          </w:p>
        </w:tc>
        <w:tc>
          <w:tcPr>
            <w:tcW w:w="12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41,247</w:t>
            </w:r>
          </w:p>
        </w:tc>
        <w:tc>
          <w:tcPr>
            <w:tcW w:w="12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41,588</w:t>
            </w:r>
          </w:p>
        </w:tc>
        <w:tc>
          <w:tcPr>
            <w:tcW w:w="100" w:type="dxa"/>
            <w:vAlign w:val="bottom"/>
            <w:tcBorders>
              <w:bottom w:val="single" w:sz="8" w:color="CCEEFF"/>
            </w:tcBorders>
          </w:tcPr>
          <w:p>
            <w:pPr>
              <w:spacing w:after="0"/>
              <w:rPr>
                <w:sz w:val="21"/>
                <w:szCs w:val="21"/>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47%</w:t>
            </w:r>
          </w:p>
        </w:tc>
        <w:tc>
          <w:tcPr>
            <w:tcW w:w="220" w:type="dxa"/>
            <w:vAlign w:val="bottom"/>
            <w:tcBorders>
              <w:bottom w:val="single" w:sz="8" w:color="CCEEFF"/>
            </w:tcBorders>
          </w:tcPr>
          <w:p>
            <w:pPr>
              <w:spacing w:after="0"/>
              <w:rPr>
                <w:sz w:val="21"/>
                <w:szCs w:val="21"/>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105.6%</w:t>
            </w:r>
          </w:p>
        </w:tc>
        <w:tc>
          <w:tcPr>
            <w:tcW w:w="100" w:type="dxa"/>
            <w:vAlign w:val="bottom"/>
            <w:tcBorders>
              <w:bottom w:val="single" w:sz="8" w:color="CCEEFF"/>
            </w:tcBorders>
          </w:tcPr>
          <w:p>
            <w:pPr>
              <w:spacing w:after="0"/>
              <w:rPr>
                <w:sz w:val="21"/>
                <w:szCs w:val="21"/>
                <w:color w:val="auto"/>
              </w:rPr>
            </w:pPr>
          </w:p>
        </w:tc>
        <w:tc>
          <w:tcPr>
            <w:tcW w:w="680" w:type="dxa"/>
            <w:vAlign w:val="bottom"/>
            <w:tcBorders>
              <w:bottom w:val="single" w:sz="8" w:color="auto"/>
            </w:tcBorders>
          </w:tcPr>
          <w:p>
            <w:pPr>
              <w:ind w:left="160"/>
              <w:spacing w:after="0"/>
              <w:rPr>
                <w:sz w:val="20"/>
                <w:szCs w:val="20"/>
                <w:color w:val="auto"/>
              </w:rPr>
            </w:pPr>
            <w:r>
              <w:rPr>
                <w:rFonts w:ascii="Arial" w:cs="Arial" w:eastAsia="Arial" w:hAnsi="Arial"/>
                <w:sz w:val="14"/>
                <w:szCs w:val="14"/>
                <w:color w:val="auto"/>
              </w:rPr>
              <w:t>4.28%</w:t>
            </w:r>
          </w:p>
        </w:tc>
        <w:tc>
          <w:tcPr>
            <w:tcW w:w="100" w:type="dxa"/>
            <w:vAlign w:val="bottom"/>
            <w:tcBorders>
              <w:bottom w:val="single" w:sz="8" w:color="CCEEFF"/>
            </w:tcBorders>
          </w:tcPr>
          <w:p>
            <w:pPr>
              <w:spacing w:after="0"/>
              <w:rPr>
                <w:sz w:val="21"/>
                <w:szCs w:val="21"/>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2.96%</w:t>
            </w:r>
          </w:p>
        </w:tc>
        <w:tc>
          <w:tcPr>
            <w:tcW w:w="100" w:type="dxa"/>
            <w:vAlign w:val="bottom"/>
            <w:tcBorders>
              <w:bottom w:val="single" w:sz="8" w:color="CCEEFF"/>
            </w:tcBorders>
          </w:tcPr>
          <w:p>
            <w:pPr>
              <w:spacing w:after="0"/>
              <w:rPr>
                <w:sz w:val="21"/>
                <w:szCs w:val="21"/>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9"/>
              </w:rPr>
              <w:t>25</w:t>
            </w:r>
          </w:p>
        </w:tc>
        <w:tc>
          <w:tcPr>
            <w:tcW w:w="100" w:type="dxa"/>
            <w:vAlign w:val="bottom"/>
            <w:tcBorders>
              <w:bottom w:val="single" w:sz="8" w:color="CCEEFF"/>
            </w:tcBorders>
          </w:tcPr>
          <w:p>
            <w:pPr>
              <w:spacing w:after="0"/>
              <w:rPr>
                <w:sz w:val="21"/>
                <w:szCs w:val="21"/>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43"/>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Total fixed rate</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66,040</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68,521</w:t>
            </w:r>
          </w:p>
        </w:tc>
        <w:tc>
          <w:tcPr>
            <w:tcW w:w="120" w:type="dxa"/>
            <w:vAlign w:val="bottom"/>
            <w:shd w:val="clear" w:color="auto" w:fill="CCEEFF"/>
          </w:tcPr>
          <w:p>
            <w:pPr>
              <w:spacing w:after="0"/>
              <w:rPr>
                <w:sz w:val="21"/>
                <w:szCs w:val="21"/>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69,241</w:t>
            </w:r>
          </w:p>
        </w:tc>
        <w:tc>
          <w:tcPr>
            <w:tcW w:w="100" w:type="dxa"/>
            <w:vAlign w:val="bottom"/>
            <w:shd w:val="clear" w:color="auto" w:fill="CCEEFF"/>
          </w:tcPr>
          <w:p>
            <w:pPr>
              <w:spacing w:after="0"/>
              <w:rPr>
                <w:sz w:val="21"/>
                <w:szCs w:val="21"/>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53%</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104.5%</w:t>
            </w:r>
          </w:p>
        </w:tc>
        <w:tc>
          <w:tcPr>
            <w:tcW w:w="100" w:type="dxa"/>
            <w:vAlign w:val="bottom"/>
            <w:shd w:val="clear" w:color="auto" w:fill="CCEEFF"/>
          </w:tcPr>
          <w:p>
            <w:pPr>
              <w:spacing w:after="0"/>
              <w:rPr>
                <w:sz w:val="21"/>
                <w:szCs w:val="21"/>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4.01%</w:t>
            </w:r>
          </w:p>
        </w:tc>
        <w:tc>
          <w:tcPr>
            <w:tcW w:w="100" w:type="dxa"/>
            <w:vAlign w:val="bottom"/>
            <w:shd w:val="clear" w:color="auto" w:fill="CCEEFF"/>
          </w:tcPr>
          <w:p>
            <w:pPr>
              <w:spacing w:after="0"/>
              <w:rPr>
                <w:sz w:val="21"/>
                <w:szCs w:val="21"/>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2.72%</w:t>
            </w:r>
          </w:p>
        </w:tc>
        <w:tc>
          <w:tcPr>
            <w:tcW w:w="100" w:type="dxa"/>
            <w:vAlign w:val="bottom"/>
            <w:shd w:val="clear" w:color="auto" w:fill="CCEEFF"/>
          </w:tcPr>
          <w:p>
            <w:pPr>
              <w:spacing w:after="0"/>
              <w:rPr>
                <w:sz w:val="21"/>
                <w:szCs w:val="21"/>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29</w:t>
            </w:r>
          </w:p>
        </w:tc>
        <w:tc>
          <w:tcPr>
            <w:tcW w:w="100" w:type="dxa"/>
            <w:vAlign w:val="bottom"/>
            <w:shd w:val="clear" w:color="auto" w:fill="CCEEFF"/>
          </w:tcPr>
          <w:p>
            <w:pPr>
              <w:spacing w:after="0"/>
              <w:rPr>
                <w:sz w:val="21"/>
                <w:szCs w:val="21"/>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0"/>
        </w:trPr>
        <w:tc>
          <w:tcPr>
            <w:tcW w:w="23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_______________</w:t>
            </w:r>
          </w:p>
        </w:tc>
        <w:tc>
          <w:tcPr>
            <w:tcW w:w="120" w:type="dxa"/>
            <w:vAlign w:val="bottom"/>
            <w:tcBorders>
              <w:top w:val="single" w:sz="8" w:color="CCEEFF"/>
              <w:bottom w:val="single" w:sz="8" w:color="CCEEFF"/>
            </w:tcBorders>
            <w:vMerge w:val="restart"/>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300" w:type="dxa"/>
            <w:vAlign w:val="bottom"/>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left="980" w:hanging="648"/>
        <w:spacing w:after="0" w:line="241" w:lineRule="auto"/>
        <w:tabs>
          <w:tab w:leader="none" w:pos="656" w:val="left"/>
        </w:tabs>
        <w:numPr>
          <w:ilvl w:val="0"/>
          <w:numId w:val="28"/>
        </w:numPr>
        <w:rPr>
          <w:rFonts w:ascii="Arial" w:cs="Arial" w:eastAsia="Arial" w:hAnsi="Arial"/>
          <w:sz w:val="14"/>
          <w:szCs w:val="14"/>
          <w:color w:val="auto"/>
        </w:rPr>
      </w:pPr>
      <w:r>
        <w:rPr>
          <w:rFonts w:ascii="Arial" w:cs="Arial" w:eastAsia="Arial" w:hAnsi="Arial"/>
          <w:sz w:val="14"/>
          <w:szCs w:val="14"/>
          <w:color w:val="auto"/>
        </w:rPr>
        <w:t>Lower loan balance securities represent pools backed by an original loan balance of ≤ $150,000. Our lower loan balance securities had a weighted average original loan balance of $97,000 and $96,000 for 15-year and 30-year securities, respectively, as of December 31, 2014.</w:t>
      </w:r>
    </w:p>
    <w:p>
      <w:pPr>
        <w:ind w:left="980" w:hanging="648"/>
        <w:spacing w:after="0" w:line="241" w:lineRule="auto"/>
        <w:tabs>
          <w:tab w:leader="none" w:pos="656" w:val="left"/>
        </w:tabs>
        <w:numPr>
          <w:ilvl w:val="0"/>
          <w:numId w:val="28"/>
        </w:numPr>
        <w:rPr>
          <w:rFonts w:ascii="Arial" w:cs="Arial" w:eastAsia="Arial" w:hAnsi="Arial"/>
          <w:sz w:val="14"/>
          <w:szCs w:val="14"/>
          <w:color w:val="auto"/>
        </w:rPr>
      </w:pPr>
      <w:r>
        <w:rPr>
          <w:rFonts w:ascii="Arial" w:cs="Arial" w:eastAsia="Arial" w:hAnsi="Arial"/>
          <w:sz w:val="14"/>
          <w:szCs w:val="14"/>
          <w:color w:val="auto"/>
        </w:rPr>
        <w:t>HARP securities are defined as pools backed by 100% refinance loans with LTVs ≥ 80%. Our HARP securities had a weighted average LTV of 109% and 118% for 15-year and 30-year securities, respectively, as of December 31, 2014. Includes $0.9 billion and $3.1 billion of 15-year and 30-year securities, respectively, with &gt;105 LTV pools which are not deliverable into TBA securities.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8"/>
        </w:numPr>
        <w:rPr>
          <w:rFonts w:ascii="Arial" w:cs="Arial" w:eastAsia="Arial" w:hAnsi="Arial"/>
          <w:sz w:val="14"/>
          <w:szCs w:val="14"/>
          <w:color w:val="auto"/>
        </w:rPr>
      </w:pPr>
      <w:r>
        <w:rPr>
          <w:rFonts w:ascii="Arial" w:cs="Arial" w:eastAsia="Arial" w:hAnsi="Arial"/>
          <w:sz w:val="14"/>
          <w:szCs w:val="14"/>
          <w:color w:val="auto"/>
        </w:rPr>
        <w:t>WAC represents the weighted average coupon of the underlying collateral.</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8"/>
        </w:numPr>
        <w:rPr>
          <w:rFonts w:ascii="Arial" w:cs="Arial" w:eastAsia="Arial" w:hAnsi="Arial"/>
          <w:sz w:val="14"/>
          <w:szCs w:val="14"/>
          <w:color w:val="auto"/>
        </w:rPr>
      </w:pPr>
      <w:r>
        <w:rPr>
          <w:rFonts w:ascii="Arial" w:cs="Arial" w:eastAsia="Arial" w:hAnsi="Arial"/>
          <w:sz w:val="14"/>
          <w:szCs w:val="14"/>
          <w:color w:val="auto"/>
        </w:rPr>
        <w:t>Portfolio yield incorporates a projected life CPR assumption based on forward rate assumptions as of December 31, 2014.</w:t>
      </w:r>
    </w:p>
    <w:p>
      <w:pPr>
        <w:spacing w:after="0" w:line="156" w:lineRule="exact"/>
        <w:rPr>
          <w:sz w:val="20"/>
          <w:szCs w:val="20"/>
          <w:color w:val="auto"/>
        </w:rPr>
      </w:pPr>
    </w:p>
    <w:p>
      <w:pPr>
        <w:jc w:val="both"/>
        <w:ind w:right="20" w:firstLine="405"/>
        <w:spacing w:after="0" w:line="277" w:lineRule="auto"/>
        <w:rPr>
          <w:sz w:val="20"/>
          <w:szCs w:val="20"/>
          <w:color w:val="auto"/>
        </w:rPr>
      </w:pPr>
      <w:r>
        <w:rPr>
          <w:rFonts w:ascii="Arial" w:cs="Arial" w:eastAsia="Arial" w:hAnsi="Arial"/>
          <w:sz w:val="18"/>
          <w:szCs w:val="18"/>
          <w:color w:val="auto"/>
        </w:rPr>
        <w:t>As of December 31, 2015 and 2014, the combined weighted average yield of our MBS portfolio, inclusive of interest and principal-only securities and AAA non-agency securities, was 2.78% and 2.74%, respectively.</w:t>
      </w:r>
    </w:p>
    <w:p>
      <w:pPr>
        <w:spacing w:after="0" w:line="116" w:lineRule="exact"/>
        <w:rPr>
          <w:sz w:val="20"/>
          <w:szCs w:val="20"/>
          <w:color w:val="auto"/>
        </w:rPr>
      </w:pPr>
    </w:p>
    <w:p>
      <w:pPr>
        <w:ind w:right="20" w:firstLine="432"/>
        <w:spacing w:after="0" w:line="277" w:lineRule="auto"/>
        <w:rPr>
          <w:sz w:val="20"/>
          <w:szCs w:val="20"/>
          <w:color w:val="auto"/>
        </w:rPr>
      </w:pPr>
      <w:r>
        <w:rPr>
          <w:rFonts w:ascii="Arial" w:cs="Arial" w:eastAsia="Arial" w:hAnsi="Arial"/>
          <w:sz w:val="18"/>
          <w:szCs w:val="18"/>
          <w:color w:val="auto"/>
        </w:rPr>
        <w:t>Our pass-through agency MBS collateralized by adjustable rate mortgage loans, or ARMs, have coupons linked to various indices. As of December 31, 2015 and 2014, our ARM securities had a weighted average next reset date of 46 months and 51 months, respectively.</w:t>
      </w:r>
    </w:p>
    <w:p>
      <w:pPr>
        <w:spacing w:after="0" w:line="275"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SUMMARY OF CRITICAL ACCOUNTING ESTIMATES</w:t>
      </w:r>
    </w:p>
    <w:p>
      <w:pPr>
        <w:spacing w:after="0" w:line="175"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Our critical accounting estimates relate to the recognition of interest income and the fair value of our investments and derivatives. Certain of these items involve estimates that require management to make judgments that are subjective in nature. We rely on our Manager's experience and analysis of historical and current market data in order to arrive at what we believe to be reasonable estimates. Under different conditions, we could report materially different amounts based on such estimates. The remainder of our significant accounting policies are described in Note 2 to the Consolidated Financial Statements included under Item 8 of this Annual Report on Form 10-K.</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20"/>
          </w:cols>
          <w:pgMar w:left="240" w:top="968" w:right="239" w:bottom="1440" w:gutter="0" w:footer="0" w:header="0"/>
        </w:sectPr>
      </w:pPr>
    </w:p>
    <w:bookmarkStart w:id="47" w:name="page48"/>
    <w:bookmarkEnd w:id="47"/>
    <w:p>
      <w:pPr>
        <w:spacing w:after="0"/>
        <w:rPr>
          <w:sz w:val="20"/>
          <w:szCs w:val="20"/>
          <w:color w:val="auto"/>
        </w:rPr>
      </w:pPr>
      <w:r>
        <w:rPr>
          <w:rFonts w:ascii="Arial" w:cs="Arial" w:eastAsia="Arial" w:hAnsi="Arial"/>
          <w:sz w:val="18"/>
          <w:szCs w:val="18"/>
          <w:b w:val="1"/>
          <w:bCs w:val="1"/>
          <w:i w:val="1"/>
          <w:iCs w:val="1"/>
          <w:color w:val="auto"/>
        </w:rPr>
        <w:t>Interest Income</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The effective yield on our investment securities is highly impacted by our estimate of future prepayments. We accrue interest income based on the outstanding principal amount of our investment securities and their contractual terms and we amortize or accrete premiums and discounts associated with the purchase of investment securities into interest income over the projected lives of our securities, including contractual payments and estimated prepayments, using the interest method. The weighted average cost basis of our securities as of December 31, 2015 was 104.6% of par value; therefore, faster actual or projected prepayments can have a meaningful negative impact, while slower actual or projected prepayments can have a meaningful positive impact, on our asset yields.</w:t>
      </w:r>
    </w:p>
    <w:p>
      <w:pPr>
        <w:spacing w:after="0" w:line="139"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Future prepayment rates are difficult to predict and we rely on a third-party service provider and our Manager's experience and analysis of historical and current market data in order to arrive at what we believe to be reasonable estimates. We use a third-party service to provide estimates for prepayment speeds using models that incorporate the forward yield curve, current mortgage rates and mortgage rates of the outstanding loans, age and size of the outstanding loans, loan-to-value ratios, interest rate volatility and other factors. We review the prepayment speeds estimated by the third-party service and compare the results to market consensus prepayment speeds, if available. We also consider historical prepayment speeds and current market conditions to validate the reasonableness of the prepayment speeds estimated by the third-party service and, based on our Manager's judgment, we may make adjustments to their estimates.</w:t>
      </w:r>
    </w:p>
    <w:p>
      <w:pPr>
        <w:spacing w:after="0" w:line="135"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We review our actual and anticipated prepayment experience on at least a quarterly basis and effective yields are recalculated when differences arise between (i) our previously estimated future prepayments and (ii) actual prepayments to date plus current estimated future prepayments. If the actual and estimated future prepayment experience differs from our prior estimate of prepayments, we are required to record an adjustment in the current period to the amortization or accretion of premiums and discounts for the cumulative difference in the effective yield through the reporting date.</w:t>
      </w:r>
    </w:p>
    <w:p>
      <w:pPr>
        <w:spacing w:after="0" w:line="117" w:lineRule="exact"/>
        <w:rPr>
          <w:sz w:val="20"/>
          <w:szCs w:val="20"/>
          <w:color w:val="auto"/>
        </w:rPr>
      </w:pPr>
    </w:p>
    <w:p>
      <w:pPr>
        <w:jc w:val="both"/>
        <w:ind w:firstLine="432"/>
        <w:spacing w:after="0" w:line="289" w:lineRule="auto"/>
        <w:rPr>
          <w:sz w:val="20"/>
          <w:szCs w:val="20"/>
          <w:color w:val="auto"/>
        </w:rPr>
      </w:pPr>
      <w:r>
        <w:rPr>
          <w:rFonts w:ascii="Arial" w:cs="Arial" w:eastAsia="Arial" w:hAnsi="Arial"/>
          <w:sz w:val="16"/>
          <w:szCs w:val="16"/>
          <w:color w:val="auto"/>
        </w:rPr>
        <w:t xml:space="preserve">The most significant factor impacting prepayment rates on our securities is changes to long-term interest rates. Prepayment rates generally increase when interest rates fall and decrease when interest rates rise. However, there are a variety of other factors that may impact the rate of prepayments on our securities. Prepayments can also occur when borrowers sell the property and use the sale proceeds to prepay the mortgage. In addition, changes to underwriting standards, changes in house prices, further modifications to existing U.S. Government sponsored programs such as HARP, or the implementation of new programs can have a significant impact on the rate of prepayments. Further, GSE buyouts of loans that have defaulted, loans in imminent risk of default or loans that have been modified will generally be reflected as prepayments on agency securities and also increase the uncertainty around our estimates. Consequently, under different conditions, we could report materially different amounts. Item 7A. </w:t>
      </w:r>
      <w:r>
        <w:rPr>
          <w:rFonts w:ascii="Arial" w:cs="Arial" w:eastAsia="Arial" w:hAnsi="Arial"/>
          <w:sz w:val="16"/>
          <w:szCs w:val="16"/>
          <w:i w:val="1"/>
          <w:iCs w:val="1"/>
          <w:color w:val="auto"/>
        </w:rPr>
        <w:t>Quantitative and Qualitative</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Disclosures About Market Risk </w:t>
      </w:r>
      <w:r>
        <w:rPr>
          <w:rFonts w:ascii="Arial" w:cs="Arial" w:eastAsia="Arial" w:hAnsi="Arial"/>
          <w:sz w:val="16"/>
          <w:szCs w:val="16"/>
          <w:color w:val="auto"/>
        </w:rPr>
        <w:t>in this Annual Report on Form 10-K includes the estimated change in our net interest income should interest rates go up or</w:t>
      </w:r>
      <w:r>
        <w:rPr>
          <w:rFonts w:ascii="Arial" w:cs="Arial" w:eastAsia="Arial" w:hAnsi="Arial"/>
          <w:sz w:val="16"/>
          <w:szCs w:val="16"/>
          <w:i w:val="1"/>
          <w:iCs w:val="1"/>
          <w:color w:val="auto"/>
        </w:rPr>
        <w:t xml:space="preserve"> </w:t>
      </w:r>
      <w:r>
        <w:rPr>
          <w:rFonts w:ascii="Arial" w:cs="Arial" w:eastAsia="Arial" w:hAnsi="Arial"/>
          <w:sz w:val="16"/>
          <w:szCs w:val="16"/>
          <w:color w:val="auto"/>
        </w:rPr>
        <w:t>down by 50 and 100 basis points, assuming the yield curves of the rate shocks will be parallel to each other and the current yield curve.</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Fair Value of Investment Securities</w:t>
      </w:r>
    </w:p>
    <w:p>
      <w:pPr>
        <w:spacing w:after="0" w:line="171" w:lineRule="exact"/>
        <w:rPr>
          <w:sz w:val="20"/>
          <w:szCs w:val="20"/>
          <w:color w:val="auto"/>
        </w:rPr>
      </w:pPr>
    </w:p>
    <w:p>
      <w:pPr>
        <w:jc w:val="both"/>
        <w:ind w:firstLine="432"/>
        <w:spacing w:after="0" w:line="271" w:lineRule="auto"/>
        <w:rPr>
          <w:sz w:val="20"/>
          <w:szCs w:val="20"/>
          <w:color w:val="auto"/>
        </w:rPr>
      </w:pPr>
      <w:r>
        <w:rPr>
          <w:rFonts w:ascii="Arial" w:cs="Arial" w:eastAsia="Arial" w:hAnsi="Arial"/>
          <w:sz w:val="17"/>
          <w:szCs w:val="17"/>
          <w:color w:val="auto"/>
        </w:rPr>
        <w:t>We estimate the fair value of our mortgage securities based on a market approach using "Level 2" inputs from third-party pricing services and non-binding dealer quotes derived from common market pricing methods. Such methods incorporate, but are not limited to, reported trades and executable bid and ask prices for similar securities, benchmark interest rate curves, such as the spread to the U.S. Treasury rate and interest rate swap curves, convexity, duration and the underlying characteristics of the particular security, including coupon, periodic and life caps, rate reset period, issuer, additional credit support and expected life of the security. We generally obtain 3 to 6 quotes or prices (referred to as "marks") per security. We attempt to validate marks obtained from pricing services and broker dealers by comparing them to our recent completed transactions involving the same or similar securities on or near the reporting date. Changes in the market environment and other events that may occur over the life of our investments may cause the gains or losses ultimately realized on these investments to be different from the valuations currently estimated.</w:t>
      </w:r>
    </w:p>
    <w:p>
      <w:pPr>
        <w:spacing w:after="0" w:line="125"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We also evaluate our securities for other-than-temporary impairment ("OTTI") on at least a quarterly basis. The determination of whether a security is other-than-temporarily impaired may involve judgments and assumptions based on subjective and objective factors. When a security is impaired, an OTTI is considered to have occurred if any one of the following three conditions exists as of the financial reporting date: (i) we intend to sell the security (that is, a decision has been made to sell the security), (ii) it is more likely than not that we will be required to sell the security before recovery of its amortized cost basis or (iii) we do not expect to recover the security's amortized cost basis, even if we do not intend to sell the security and it is not more likely than not that we will be required to sell the security. A general allowance for unidentified impairments in a portfolio of securities is not permitted.</w:t>
      </w:r>
    </w:p>
    <w:p>
      <w:pPr>
        <w:spacing w:after="0" w:line="11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If either of the first two conditions exists as of the financial reporting date, the entire amount of the impairment loss, if any, is recognized in earnings as a realized loss and the cost basis of the security is adjusted to its fair value. However, with respect to the first condition, since the liquidity of the agency securities market, and to a somewhat lesser extent the AAA non-agency</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20"/>
          </w:cols>
          <w:pgMar w:left="240" w:top="746" w:right="239" w:bottom="1440" w:gutter="0" w:footer="0" w:header="0"/>
        </w:sectPr>
      </w:pPr>
    </w:p>
    <w:bookmarkStart w:id="48" w:name="page49"/>
    <w:bookmarkEnd w:id="48"/>
    <w:p>
      <w:pPr>
        <w:jc w:val="both"/>
        <w:spacing w:after="0" w:line="257" w:lineRule="auto"/>
        <w:rPr>
          <w:sz w:val="20"/>
          <w:szCs w:val="20"/>
          <w:color w:val="auto"/>
        </w:rPr>
      </w:pPr>
      <w:r>
        <w:rPr>
          <w:rFonts w:ascii="Arial" w:cs="Arial" w:eastAsia="Arial" w:hAnsi="Arial"/>
          <w:sz w:val="18"/>
          <w:szCs w:val="18"/>
          <w:color w:val="auto"/>
        </w:rPr>
        <w:t>securities market, allows us to obtain competitive bids and execute on a sale transaction typically within a day of making the decision to sell a security, we generally do not make decisions to sell specific securities until shortly prior to initiating a sell order. In some instances, we may sell specific agency securities by delivering the securities into existing short to-be-announced ("TBA") contracts. TBA market conventions require the identification of the specific securities to be delivered no later than 48 hours prior to settlement. If we settle a short TBA contract through the delivery of securities, we will generally identify the specific securities to be delivered within one to two days before the 48-hour deadline.</w:t>
      </w:r>
    </w:p>
    <w:p>
      <w:pPr>
        <w:spacing w:after="0" w:line="134"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If the third condition exists, the OTTI is separated into (i) the amount relating to credit loss (the "credit component") and (ii) the amount relating to all other factors (the "non-credit components"). Only the credit component is recognized in earnings, with the non-credit components recognized in OCI. However, in evaluating if the third condition exists, our investments in agency securities typically would not have a credit component since the principal and interest are guaranteed by a GSE and, therefore, any unrealized loss is not the result of a credit loss. In addition, since we designate our mortgage securities as available-for-sale securities with unrealized gains and losses recognized in OCI, any impairment loss for non-credit components is already recognized in OCI.</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Financial Instruments/Hedging Activity</w:t>
      </w:r>
    </w:p>
    <w:p>
      <w:pPr>
        <w:spacing w:after="0" w:line="225" w:lineRule="exact"/>
        <w:rPr>
          <w:sz w:val="20"/>
          <w:szCs w:val="20"/>
          <w:color w:val="auto"/>
        </w:rPr>
      </w:pPr>
    </w:p>
    <w:p>
      <w:pPr>
        <w:jc w:val="both"/>
        <w:ind w:firstLine="486"/>
        <w:spacing w:after="0" w:line="255" w:lineRule="auto"/>
        <w:rPr>
          <w:sz w:val="20"/>
          <w:szCs w:val="20"/>
          <w:color w:val="auto"/>
        </w:rPr>
      </w:pPr>
      <w:r>
        <w:rPr>
          <w:rFonts w:ascii="Arial" w:cs="Arial" w:eastAsia="Arial" w:hAnsi="Arial"/>
          <w:sz w:val="18"/>
          <w:szCs w:val="18"/>
          <w:color w:val="auto"/>
        </w:rPr>
        <w:t>We maintain a risk management strategy, under which we may use a variety of derivative instruments to economically hedge some of our exposure to market risks, including interest rate, prepayment and extension risks. Our risk management objective is to reduce fluctuations in net book value over a range of interest rate scenarios. The principal instruments that we use are interest rate swaps and swaptions. We also utilize TBA contracts for the forward purchase or sale of agency MBS securities on a generic pool basis and we utilize U.S. Treasury securities and U.S. Treasury futures contracts, primarily through short sales. We may also purchase or write put or call options on TBA securities and we may invest in mortgage and other types of derivatives, such as principal or interest-only securities.</w:t>
      </w:r>
    </w:p>
    <w:p>
      <w:pPr>
        <w:spacing w:after="0" w:line="193" w:lineRule="exact"/>
        <w:rPr>
          <w:sz w:val="20"/>
          <w:szCs w:val="20"/>
          <w:color w:val="auto"/>
        </w:rPr>
      </w:pPr>
    </w:p>
    <w:p>
      <w:pPr>
        <w:jc w:val="both"/>
        <w:ind w:firstLine="486"/>
        <w:spacing w:after="0" w:line="259" w:lineRule="auto"/>
        <w:rPr>
          <w:sz w:val="20"/>
          <w:szCs w:val="20"/>
          <w:color w:val="auto"/>
        </w:rPr>
      </w:pPr>
      <w:r>
        <w:rPr>
          <w:rFonts w:ascii="Arial" w:cs="Arial" w:eastAsia="Arial" w:hAnsi="Arial"/>
          <w:sz w:val="18"/>
          <w:szCs w:val="18"/>
          <w:color w:val="auto"/>
        </w:rPr>
        <w:t>We recognize all derivatives as either assets or liabilities on the balance sheet, measured at fair value. During the third quarter of 2011, we elected to discontinue hedge accounting for our interest rate swaps. Accordingly, subsequent to the third quarter of 2011, all changes in the fair value of our derivative instruments are reported in earnings in our consolidated statement of comprehensive income in gain (loss) on derivatives and other securities, net during the period in which they occur.</w:t>
      </w:r>
    </w:p>
    <w:p>
      <w:pPr>
        <w:spacing w:after="0" w:line="187" w:lineRule="exact"/>
        <w:rPr>
          <w:sz w:val="20"/>
          <w:szCs w:val="20"/>
          <w:color w:val="auto"/>
        </w:rPr>
      </w:pPr>
    </w:p>
    <w:p>
      <w:pPr>
        <w:jc w:val="both"/>
        <w:ind w:firstLine="486"/>
        <w:spacing w:after="0" w:line="286" w:lineRule="auto"/>
        <w:rPr>
          <w:sz w:val="20"/>
          <w:szCs w:val="20"/>
          <w:color w:val="auto"/>
        </w:rPr>
      </w:pPr>
      <w:r>
        <w:rPr>
          <w:rFonts w:ascii="Arial" w:cs="Arial" w:eastAsia="Arial" w:hAnsi="Arial"/>
          <w:sz w:val="17"/>
          <w:szCs w:val="17"/>
          <w:color w:val="auto"/>
        </w:rPr>
        <w:t>The use of derivatives creates exposure to credit risk relating to potential losses that could be recognized in the event that the counterparties to these instruments fail to perform their obligations under the contracts. We attempt to minimize this risk by limiting our counterparties to major financial institutions with acceptable credit ratings, monitoring positions with individual counterparties and adjusting posted collateral as required.</w:t>
      </w:r>
    </w:p>
    <w:p>
      <w:pPr>
        <w:spacing w:after="0" w:line="11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We estimate the fair value of our centrally cleared interest rate swaps using the daily settlement price determined by the respective clearing exchange. Centrally cleared swaps are valued by the exchange using a pricing model that references the underlying rates including the overnight index swap rate and LIBOR forward rate to produce the daily settlement price.</w:t>
      </w:r>
    </w:p>
    <w:p>
      <w:pPr>
        <w:spacing w:after="0" w:line="127"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We estimate the fair value of our "non-centrally cleared" swaps using a combination of inputs from counterparty and third-party pricing models to estimate the net present value of the future cash flows using the forward interest rate yield curve in effect as of the end of the measurement period, adjusted for non-performance risk, if any.</w:t>
      </w:r>
    </w:p>
    <w:p>
      <w:pPr>
        <w:spacing w:after="0" w:line="127"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We estimate the fair value of interest rate swaptions using a combination of inputs from counterparty and third-party pricing models based on the fair value of the future interest rate swap that we have the option to enter into as well as the remaining length of time that we have to exercise the option, adjusted for non-performance risk, if any.</w:t>
      </w:r>
    </w:p>
    <w:p>
      <w:pPr>
        <w:spacing w:after="0" w:line="127"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In considering the effect of nonperformance risk, we consider the impact of netting and credit enhancements, such as collateral postings and guarantees, and have concluded that neither our own nor our counterparty risk is significant to the overall valuation of these agreements.</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420"/>
          </w:cols>
          <w:pgMar w:left="240" w:top="746" w:right="239" w:bottom="1440" w:gutter="0" w:footer="0" w:header="0"/>
        </w:sectPr>
      </w:pPr>
    </w:p>
    <w:bookmarkStart w:id="49" w:name="page50"/>
    <w:bookmarkEnd w:id="49"/>
    <w:p>
      <w:pPr>
        <w:spacing w:after="0"/>
        <w:rPr>
          <w:sz w:val="20"/>
          <w:szCs w:val="20"/>
          <w:color w:val="auto"/>
        </w:rPr>
      </w:pPr>
      <w:r>
        <w:rPr>
          <w:rFonts w:ascii="Arial" w:cs="Arial" w:eastAsia="Arial" w:hAnsi="Arial"/>
          <w:sz w:val="18"/>
          <w:szCs w:val="18"/>
          <w:b w:val="1"/>
          <w:bCs w:val="1"/>
          <w:color w:val="auto"/>
        </w:rPr>
        <w:t>RESULTS OF OPERATIONS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Non-GAAP Financial Measures</w:t>
      </w:r>
    </w:p>
    <w:p>
      <w:pPr>
        <w:spacing w:after="0" w:line="171"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16"/>
          <w:szCs w:val="16"/>
          <w:color w:val="auto"/>
        </w:rPr>
        <w:t>In addition to the results presented in accordance with GAAP, our results of operations discussed below include certain non-GAAP financial information, including "adjusted net interest expense" (defined as interest expense plus the periodic interest rate costs of our interest rate swaps reported in gain (loss) on derivatives and other securities, net in our consolidated statements of comprehensive income), "net spread and dollar roll income" (defined as interest income, TBA dollar roll income and dividends from REIT equity securities, net of adjusted net interest expense and operating expenses) and "estimated taxable income" and certain financial metrics derived from non-GAAP information, such as "cost of funds" and "net interest rate spread." By providing users of our financial information with such measures in addition to the related GAAP measures, we believe it gives users greater transparency into the information used by our management in its financial and operational decision-making and that it is meaningful information to consider related to: (i) the economic costs of financing our investment portfolio inclusive of interest rate swaps used to economically hedge against fluctuations in our borrowing costs,</w:t>
      </w:r>
    </w:p>
    <w:p>
      <w:pPr>
        <w:spacing w:after="0" w:line="1" w:lineRule="exact"/>
        <w:rPr>
          <w:sz w:val="20"/>
          <w:szCs w:val="20"/>
          <w:color w:val="auto"/>
        </w:rPr>
      </w:pPr>
    </w:p>
    <w:p>
      <w:pPr>
        <w:jc w:val="both"/>
        <w:ind w:firstLine="8"/>
        <w:spacing w:after="0" w:line="252" w:lineRule="auto"/>
        <w:tabs>
          <w:tab w:leader="none" w:pos="287" w:val="left"/>
        </w:tabs>
        <w:numPr>
          <w:ilvl w:val="0"/>
          <w:numId w:val="29"/>
        </w:numPr>
        <w:rPr>
          <w:rFonts w:ascii="Arial" w:cs="Arial" w:eastAsia="Arial" w:hAnsi="Arial"/>
          <w:sz w:val="18"/>
          <w:szCs w:val="18"/>
          <w:color w:val="auto"/>
        </w:rPr>
      </w:pPr>
      <w:r>
        <w:rPr>
          <w:rFonts w:ascii="Arial" w:cs="Arial" w:eastAsia="Arial" w:hAnsi="Arial"/>
          <w:sz w:val="18"/>
          <w:szCs w:val="18"/>
          <w:color w:val="auto"/>
        </w:rPr>
        <w:t>in the case of net spread and dollar roll income, our current financial performance without the effects of certain transactions that are not necessarily indicative of our current investment portfolio and operations, and (iii) in the case of estimated taxable income, information that is directly related to the amount of dividends we are required to distribute in order to maintain our REIT qualification status. However, because such measures are incomplete measures of our financial performance and involve differences from results computed in accordance with GAAP, they should be considered as supplementary to, and not as a substitute for, our results computed in accordance with GAAP. In addition, because not all companies use identical calculations, our presentation of such non-GAAP measures may not be comparable to other similarly-titled measures of other companies. Furthermore, estimated taxable income can include certain information that is subject to potential adjustments up to the time of filing our income tax returns, which occurs after the end of our fiscal year.</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FISCAL YEAR 2015 COMPARED TO FISCAL YEAR 2014</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 and Asset Yield</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summarizes our interest income for fiscal years 2015 and 2014 (dollars in millions):</w:t>
      </w:r>
    </w:p>
    <w:p>
      <w:pPr>
        <w:spacing w:after="0" w:line="392" w:lineRule="exact"/>
        <w:rPr>
          <w:sz w:val="20"/>
          <w:szCs w:val="20"/>
          <w:color w:val="auto"/>
        </w:rPr>
      </w:pPr>
    </w:p>
    <w:tbl>
      <w:tblPr>
        <w:tblLayout w:type="fixed"/>
        <w:tblInd w:w="1780" w:type="dxa"/>
        <w:tblCellMar>
          <w:top w:w="0" w:type="dxa"/>
          <w:left w:w="0" w:type="dxa"/>
          <w:bottom w:w="0" w:type="dxa"/>
          <w:right w:w="0" w:type="dxa"/>
        </w:tblCellMar>
      </w:tblPr>
      <w:tr>
        <w:trPr>
          <w:trHeight w:val="192"/>
        </w:trPr>
        <w:tc>
          <w:tcPr>
            <w:tcW w:w="4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700" w:type="dxa"/>
            <w:vAlign w:val="bottom"/>
            <w:tcBorders>
              <w:bottom w:val="single" w:sz="8" w:color="auto"/>
            </w:tcBorders>
            <w:gridSpan w:val="3"/>
          </w:tcPr>
          <w:p>
            <w:pPr>
              <w:jc w:val="right"/>
              <w:ind w:right="328"/>
              <w:spacing w:after="0"/>
              <w:rPr>
                <w:sz w:val="20"/>
                <w:szCs w:val="20"/>
                <w:color w:val="auto"/>
              </w:rPr>
            </w:pPr>
            <w:r>
              <w:rPr>
                <w:rFonts w:ascii="Arial" w:cs="Arial" w:eastAsia="Arial" w:hAnsi="Arial"/>
                <w:sz w:val="14"/>
                <w:szCs w:val="14"/>
                <w:b w:val="1"/>
                <w:bCs w:val="1"/>
                <w:color w:val="auto"/>
              </w:rPr>
              <w:t>Fiscal Year 2015</w:t>
            </w: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700" w:type="dxa"/>
            <w:vAlign w:val="bottom"/>
            <w:tcBorders>
              <w:bottom w:val="single" w:sz="8" w:color="auto"/>
            </w:tcBorders>
            <w:gridSpan w:val="3"/>
          </w:tcPr>
          <w:p>
            <w:pPr>
              <w:jc w:val="right"/>
              <w:ind w:right="328"/>
              <w:spacing w:after="0"/>
              <w:rPr>
                <w:sz w:val="20"/>
                <w:szCs w:val="20"/>
                <w:color w:val="auto"/>
              </w:rPr>
            </w:pPr>
            <w:r>
              <w:rPr>
                <w:rFonts w:ascii="Arial" w:cs="Arial" w:eastAsia="Arial" w:hAnsi="Arial"/>
                <w:sz w:val="14"/>
                <w:szCs w:val="14"/>
                <w:b w:val="1"/>
                <w:bCs w:val="1"/>
                <w:color w:val="auto"/>
              </w:rPr>
              <w:t>Fiscal Year 2014</w:t>
            </w:r>
          </w:p>
        </w:tc>
      </w:tr>
      <w:tr>
        <w:trPr>
          <w:trHeight w:val="264"/>
        </w:trPr>
        <w:tc>
          <w:tcPr>
            <w:tcW w:w="4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20" w:type="dxa"/>
            <w:vAlign w:val="bottom"/>
            <w:gridSpan w:val="2"/>
          </w:tcPr>
          <w:p>
            <w:pPr>
              <w:ind w:left="20"/>
              <w:spacing w:after="0"/>
              <w:rPr>
                <w:sz w:val="20"/>
                <w:szCs w:val="20"/>
                <w:color w:val="auto"/>
              </w:rPr>
            </w:pPr>
            <w:r>
              <w:rPr>
                <w:rFonts w:ascii="Arial" w:cs="Arial" w:eastAsia="Arial" w:hAnsi="Arial"/>
                <w:sz w:val="14"/>
                <w:szCs w:val="14"/>
                <w:b w:val="1"/>
                <w:bCs w:val="1"/>
                <w:color w:val="auto"/>
              </w:rPr>
              <w:t>Amount</w:t>
            </w:r>
          </w:p>
        </w:tc>
        <w:tc>
          <w:tcPr>
            <w:tcW w:w="980" w:type="dxa"/>
            <w:vAlign w:val="bottom"/>
            <w:gridSpan w:val="2"/>
          </w:tcPr>
          <w:p>
            <w:pPr>
              <w:ind w:left="280"/>
              <w:spacing w:after="0"/>
              <w:rPr>
                <w:sz w:val="20"/>
                <w:szCs w:val="20"/>
                <w:color w:val="auto"/>
              </w:rPr>
            </w:pPr>
            <w:r>
              <w:rPr>
                <w:rFonts w:ascii="Arial" w:cs="Arial" w:eastAsia="Arial" w:hAnsi="Arial"/>
                <w:sz w:val="14"/>
                <w:szCs w:val="14"/>
                <w:b w:val="1"/>
                <w:bCs w:val="1"/>
                <w:color w:val="auto"/>
              </w:rPr>
              <w:t>Yield</w:t>
            </w:r>
          </w:p>
        </w:tc>
        <w:tc>
          <w:tcPr>
            <w:tcW w:w="140" w:type="dxa"/>
            <w:vAlign w:val="bottom"/>
          </w:tcPr>
          <w:p>
            <w:pPr>
              <w:spacing w:after="0"/>
              <w:rPr>
                <w:sz w:val="22"/>
                <w:szCs w:val="22"/>
                <w:color w:val="auto"/>
              </w:rPr>
            </w:pPr>
          </w:p>
        </w:tc>
        <w:tc>
          <w:tcPr>
            <w:tcW w:w="820" w:type="dxa"/>
            <w:vAlign w:val="bottom"/>
            <w:gridSpan w:val="2"/>
          </w:tcPr>
          <w:p>
            <w:pPr>
              <w:ind w:left="40"/>
              <w:spacing w:after="0"/>
              <w:rPr>
                <w:sz w:val="20"/>
                <w:szCs w:val="20"/>
                <w:color w:val="auto"/>
              </w:rPr>
            </w:pPr>
            <w:r>
              <w:rPr>
                <w:rFonts w:ascii="Arial" w:cs="Arial" w:eastAsia="Arial" w:hAnsi="Arial"/>
                <w:sz w:val="14"/>
                <w:szCs w:val="14"/>
                <w:b w:val="1"/>
                <w:bCs w:val="1"/>
                <w:color w:val="auto"/>
              </w:rPr>
              <w:t>Amount</w:t>
            </w:r>
          </w:p>
        </w:tc>
        <w:tc>
          <w:tcPr>
            <w:tcW w:w="880" w:type="dxa"/>
            <w:vAlign w:val="bottom"/>
          </w:tcPr>
          <w:p>
            <w:pPr>
              <w:jc w:val="right"/>
              <w:ind w:right="208"/>
              <w:spacing w:after="0"/>
              <w:rPr>
                <w:sz w:val="20"/>
                <w:szCs w:val="20"/>
                <w:color w:val="auto"/>
              </w:rPr>
            </w:pPr>
            <w:r>
              <w:rPr>
                <w:rFonts w:ascii="Arial" w:cs="Arial" w:eastAsia="Arial" w:hAnsi="Arial"/>
                <w:sz w:val="14"/>
                <w:szCs w:val="14"/>
                <w:b w:val="1"/>
                <w:bCs w:val="1"/>
                <w:color w:val="auto"/>
              </w:rPr>
              <w:t>Yield</w:t>
            </w:r>
          </w:p>
        </w:tc>
      </w:tr>
      <w:tr>
        <w:trPr>
          <w:trHeight w:val="256"/>
        </w:trPr>
        <w:tc>
          <w:tcPr>
            <w:tcW w:w="41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Cash/coupon interest income</w:t>
            </w: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1,874</w:t>
            </w:r>
          </w:p>
        </w:tc>
        <w:tc>
          <w:tcPr>
            <w:tcW w:w="100" w:type="dxa"/>
            <w:vAlign w:val="bottom"/>
            <w:tcBorders>
              <w:top w:val="single" w:sz="8" w:color="CCEEFF"/>
            </w:tcBorders>
            <w:shd w:val="clear" w:color="auto" w:fill="CCEEFF"/>
          </w:tcPr>
          <w:p>
            <w:pPr>
              <w:spacing w:after="0"/>
              <w:rPr>
                <w:sz w:val="22"/>
                <w:szCs w:val="22"/>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3.62 %</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1,945</w:t>
            </w:r>
          </w:p>
        </w:tc>
        <w:tc>
          <w:tcPr>
            <w:tcW w:w="100" w:type="dxa"/>
            <w:vAlign w:val="bottom"/>
            <w:tcBorders>
              <w:top w:val="single" w:sz="8" w:color="CCEEFF"/>
            </w:tcBorders>
            <w:shd w:val="clear" w:color="auto" w:fill="CCEEFF"/>
          </w:tcPr>
          <w:p>
            <w:pPr>
              <w:spacing w:after="0"/>
              <w:rPr>
                <w:sz w:val="22"/>
                <w:szCs w:val="22"/>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3.63 %</w:t>
            </w:r>
          </w:p>
        </w:tc>
      </w:tr>
      <w:tr>
        <w:trPr>
          <w:trHeight w:val="264"/>
        </w:trPr>
        <w:tc>
          <w:tcPr>
            <w:tcW w:w="410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Net premium amortization</w:t>
            </w:r>
          </w:p>
        </w:tc>
        <w:tc>
          <w:tcPr>
            <w:tcW w:w="14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(408)</w:t>
            </w:r>
          </w:p>
        </w:tc>
        <w:tc>
          <w:tcPr>
            <w:tcW w:w="100" w:type="dxa"/>
            <w:vAlign w:val="bottom"/>
            <w:tcBorders>
              <w:bottom w:val="single" w:sz="8" w:color="CCEEFF"/>
            </w:tcBorders>
          </w:tcPr>
          <w:p>
            <w:pPr>
              <w:spacing w:after="0"/>
              <w:rPr>
                <w:sz w:val="22"/>
                <w:szCs w:val="22"/>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(0.91)%</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(473)</w:t>
            </w:r>
          </w:p>
        </w:tc>
        <w:tc>
          <w:tcPr>
            <w:tcW w:w="100" w:type="dxa"/>
            <w:vAlign w:val="bottom"/>
            <w:tcBorders>
              <w:bottom w:val="single" w:sz="8" w:color="CCEEFF"/>
            </w:tcBorders>
          </w:tcPr>
          <w:p>
            <w:pPr>
              <w:spacing w:after="0"/>
              <w:rPr>
                <w:sz w:val="22"/>
                <w:szCs w:val="22"/>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(1.00)%</w:t>
            </w:r>
          </w:p>
        </w:tc>
      </w:tr>
      <w:tr>
        <w:trPr>
          <w:trHeight w:val="243"/>
        </w:trPr>
        <w:tc>
          <w:tcPr>
            <w:tcW w:w="41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Interest income</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1,466</w:t>
            </w:r>
          </w:p>
        </w:tc>
        <w:tc>
          <w:tcPr>
            <w:tcW w:w="1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2.71 %</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1,472</w:t>
            </w:r>
          </w:p>
        </w:tc>
        <w:tc>
          <w:tcPr>
            <w:tcW w:w="1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2.63 %</w:t>
            </w:r>
          </w:p>
        </w:tc>
      </w:tr>
      <w:tr>
        <w:trPr>
          <w:trHeight w:val="20"/>
        </w:trPr>
        <w:tc>
          <w:tcPr>
            <w:tcW w:w="4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r>
        <w:trPr>
          <w:trHeight w:val="245"/>
        </w:trPr>
        <w:tc>
          <w:tcPr>
            <w:tcW w:w="4100" w:type="dxa"/>
            <w:vAlign w:val="bottom"/>
          </w:tcPr>
          <w:p>
            <w:pPr>
              <w:ind w:left="20"/>
              <w:spacing w:after="0"/>
              <w:rPr>
                <w:sz w:val="20"/>
                <w:szCs w:val="20"/>
                <w:color w:val="auto"/>
              </w:rPr>
            </w:pPr>
            <w:r>
              <w:rPr>
                <w:rFonts w:ascii="Arial" w:cs="Arial" w:eastAsia="Arial" w:hAnsi="Arial"/>
                <w:sz w:val="14"/>
                <w:szCs w:val="14"/>
                <w:color w:val="auto"/>
              </w:rPr>
              <w:t>Actual portfolio CPR</w:t>
            </w:r>
          </w:p>
        </w:tc>
        <w:tc>
          <w:tcPr>
            <w:tcW w:w="14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10%</w:t>
            </w:r>
          </w:p>
        </w:tc>
        <w:tc>
          <w:tcPr>
            <w:tcW w:w="1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9%</w:t>
            </w:r>
          </w:p>
        </w:tc>
        <w:tc>
          <w:tcPr>
            <w:tcW w:w="100" w:type="dxa"/>
            <w:vAlign w:val="bottom"/>
          </w:tcPr>
          <w:p>
            <w:pPr>
              <w:spacing w:after="0"/>
              <w:rPr>
                <w:sz w:val="21"/>
                <w:szCs w:val="21"/>
                <w:color w:val="auto"/>
              </w:rPr>
            </w:pPr>
          </w:p>
        </w:tc>
        <w:tc>
          <w:tcPr>
            <w:tcW w:w="880" w:type="dxa"/>
            <w:vAlign w:val="bottom"/>
          </w:tcPr>
          <w:p>
            <w:pPr>
              <w:spacing w:after="0"/>
              <w:rPr>
                <w:sz w:val="21"/>
                <w:szCs w:val="21"/>
                <w:color w:val="auto"/>
              </w:rPr>
            </w:pPr>
          </w:p>
        </w:tc>
      </w:tr>
      <w:tr>
        <w:trPr>
          <w:trHeight w:val="276"/>
        </w:trPr>
        <w:tc>
          <w:tcPr>
            <w:tcW w:w="4100" w:type="dxa"/>
            <w:vAlign w:val="bottom"/>
            <w:shd w:val="clear" w:color="auto" w:fill="CCEEFF"/>
          </w:tcPr>
          <w:p>
            <w:pPr>
              <w:ind w:left="20"/>
              <w:spacing w:after="0"/>
              <w:rPr>
                <w:sz w:val="20"/>
                <w:szCs w:val="20"/>
                <w:color w:val="auto"/>
              </w:rPr>
            </w:pPr>
            <w:r>
              <w:rPr>
                <w:rFonts w:ascii="Arial" w:cs="Arial" w:eastAsia="Arial" w:hAnsi="Arial"/>
                <w:sz w:val="14"/>
                <w:szCs w:val="14"/>
                <w:color w:val="auto"/>
              </w:rPr>
              <w:t>Projected life CPR as of period end</w:t>
            </w:r>
          </w:p>
        </w:tc>
        <w:tc>
          <w:tcPr>
            <w:tcW w:w="14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r>
      <w:tr>
        <w:trPr>
          <w:trHeight w:val="264"/>
        </w:trPr>
        <w:tc>
          <w:tcPr>
            <w:tcW w:w="4100" w:type="dxa"/>
            <w:vAlign w:val="bottom"/>
          </w:tcPr>
          <w:p>
            <w:pPr>
              <w:ind w:left="20"/>
              <w:spacing w:after="0"/>
              <w:rPr>
                <w:sz w:val="20"/>
                <w:szCs w:val="20"/>
                <w:color w:val="auto"/>
              </w:rPr>
            </w:pPr>
            <w:r>
              <w:rPr>
                <w:rFonts w:ascii="Arial" w:cs="Arial" w:eastAsia="Arial" w:hAnsi="Arial"/>
                <w:sz w:val="14"/>
                <w:szCs w:val="14"/>
                <w:color w:val="auto"/>
              </w:rPr>
              <w:t xml:space="preserve">Average 30-year fixed rate mortgage rate as of period end </w:t>
            </w:r>
            <w:r>
              <w:rPr>
                <w:rFonts w:ascii="Arial" w:cs="Arial" w:eastAsia="Arial" w:hAnsi="Arial"/>
                <w:sz w:val="8"/>
                <w:szCs w:val="8"/>
                <w:color w:val="auto"/>
              </w:rPr>
              <w:t>1</w:t>
            </w:r>
          </w:p>
        </w:tc>
        <w:tc>
          <w:tcPr>
            <w:tcW w:w="14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4.01%</w:t>
            </w:r>
          </w:p>
        </w:tc>
        <w:tc>
          <w:tcPr>
            <w:tcW w:w="1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3.87%</w:t>
            </w:r>
          </w:p>
        </w:tc>
        <w:tc>
          <w:tcPr>
            <w:tcW w:w="100" w:type="dxa"/>
            <w:vAlign w:val="bottom"/>
          </w:tcPr>
          <w:p>
            <w:pPr>
              <w:spacing w:after="0"/>
              <w:rPr>
                <w:sz w:val="22"/>
                <w:szCs w:val="22"/>
                <w:color w:val="auto"/>
              </w:rPr>
            </w:pPr>
          </w:p>
        </w:tc>
        <w:tc>
          <w:tcPr>
            <w:tcW w:w="880" w:type="dxa"/>
            <w:vAlign w:val="bottom"/>
          </w:tcPr>
          <w:p>
            <w:pPr>
              <w:spacing w:after="0"/>
              <w:rPr>
                <w:sz w:val="22"/>
                <w:szCs w:val="22"/>
                <w:color w:val="auto"/>
              </w:rPr>
            </w:pPr>
          </w:p>
        </w:tc>
      </w:tr>
      <w:tr>
        <w:trPr>
          <w:trHeight w:val="276"/>
        </w:trPr>
        <w:tc>
          <w:tcPr>
            <w:tcW w:w="4100" w:type="dxa"/>
            <w:vAlign w:val="bottom"/>
            <w:shd w:val="clear" w:color="auto" w:fill="CCEEFF"/>
          </w:tcPr>
          <w:p>
            <w:pPr>
              <w:ind w:left="20"/>
              <w:spacing w:after="0"/>
              <w:rPr>
                <w:sz w:val="20"/>
                <w:szCs w:val="20"/>
                <w:color w:val="auto"/>
              </w:rPr>
            </w:pPr>
            <w:r>
              <w:rPr>
                <w:rFonts w:ascii="Arial" w:cs="Arial" w:eastAsia="Arial" w:hAnsi="Arial"/>
                <w:sz w:val="14"/>
                <w:szCs w:val="14"/>
                <w:color w:val="auto"/>
              </w:rPr>
              <w:t>10-year U.S. Treasury rate as of period end</w:t>
            </w:r>
          </w:p>
        </w:tc>
        <w:tc>
          <w:tcPr>
            <w:tcW w:w="14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2.27%</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2.17%</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r>
    </w:tbl>
    <w:p>
      <w:pPr>
        <w:spacing w:after="0" w:line="22" w:lineRule="exact"/>
        <w:rPr>
          <w:sz w:val="20"/>
          <w:szCs w:val="20"/>
          <w:color w:val="auto"/>
        </w:rPr>
      </w:pPr>
    </w:p>
    <w:p>
      <w:pPr>
        <w:ind w:left="60"/>
        <w:spacing w:after="0"/>
        <w:rPr>
          <w:sz w:val="20"/>
          <w:szCs w:val="20"/>
          <w:color w:val="auto"/>
        </w:rPr>
      </w:pPr>
      <w:r>
        <w:rPr>
          <w:rFonts w:ascii="Arial" w:cs="Arial" w:eastAsia="Arial" w:hAnsi="Arial"/>
          <w:sz w:val="14"/>
          <w:szCs w:val="14"/>
          <w:color w:val="auto"/>
        </w:rPr>
        <w:t>_______________________</w:t>
      </w:r>
    </w:p>
    <w:p>
      <w:pPr>
        <w:spacing w:after="0" w:line="28" w:lineRule="exact"/>
        <w:rPr>
          <w:sz w:val="20"/>
          <w:szCs w:val="20"/>
          <w:color w:val="auto"/>
        </w:rPr>
      </w:pPr>
    </w:p>
    <w:p>
      <w:pPr>
        <w:ind w:left="340"/>
        <w:spacing w:after="0"/>
        <w:tabs>
          <w:tab w:leader="none" w:pos="640" w:val="left"/>
        </w:tabs>
        <w:rPr>
          <w:sz w:val="20"/>
          <w:szCs w:val="20"/>
          <w:color w:val="auto"/>
        </w:rPr>
      </w:pPr>
      <w:r>
        <w:rPr>
          <w:rFonts w:ascii="Arial" w:cs="Arial" w:eastAsia="Arial" w:hAnsi="Arial"/>
          <w:sz w:val="14"/>
          <w:szCs w:val="14"/>
          <w:color w:val="auto"/>
        </w:rPr>
        <w:t>1.</w:t>
        <w:tab/>
        <w:t>Source: Freddie Mac Primary Fixed Mortgage Rate Mortgage Market Survey</w:t>
      </w:r>
    </w:p>
    <w:p>
      <w:pPr>
        <w:spacing w:after="0" w:line="303" w:lineRule="exact"/>
        <w:rPr>
          <w:sz w:val="20"/>
          <w:szCs w:val="20"/>
          <w:color w:val="auto"/>
        </w:rPr>
      </w:pPr>
    </w:p>
    <w:p>
      <w:pPr>
        <w:ind w:right="20" w:firstLine="432"/>
        <w:spacing w:after="0" w:line="308" w:lineRule="auto"/>
        <w:rPr>
          <w:sz w:val="20"/>
          <w:szCs w:val="20"/>
          <w:color w:val="auto"/>
        </w:rPr>
      </w:pPr>
      <w:r>
        <w:rPr>
          <w:rFonts w:ascii="Arial" w:cs="Arial" w:eastAsia="Arial" w:hAnsi="Arial"/>
          <w:sz w:val="17"/>
          <w:szCs w:val="17"/>
          <w:color w:val="auto"/>
        </w:rPr>
        <w:t>The principal elements impacting our interest income are the size of our average investment portfolio and the yield on our investments. The following is a summary of the estimated impact of each of these elements on the decrease in interest income from fiscal year 2014 to 2015 (in millions):</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Impact of Changes in the Principal Elements Impacting Interest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168275</wp:posOffset>
            </wp:positionH>
            <wp:positionV relativeFrom="paragraph">
              <wp:posOffset>23495</wp:posOffset>
            </wp:positionV>
            <wp:extent cx="692086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920865" cy="8890"/>
                    </a:xfrm>
                    <a:prstGeom prst="rect">
                      <a:avLst/>
                    </a:prstGeom>
                    <a:noFill/>
                  </pic:spPr>
                </pic:pic>
              </a:graphicData>
            </a:graphic>
          </wp:anchor>
        </w:drawing>
      </w:r>
    </w:p>
    <w:p>
      <w:pPr>
        <w:spacing w:after="0" w:line="3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Fiscal Year 2015 vs. 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168275</wp:posOffset>
            </wp:positionH>
            <wp:positionV relativeFrom="paragraph">
              <wp:posOffset>23495</wp:posOffset>
            </wp:positionV>
            <wp:extent cx="692086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920865" cy="8890"/>
                    </a:xfrm>
                    <a:prstGeom prst="rect">
                      <a:avLst/>
                    </a:prstGeom>
                    <a:noFill/>
                  </pic:spPr>
                </pic:pic>
              </a:graphicData>
            </a:graphic>
          </wp:anchor>
        </w:drawing>
      </w:r>
    </w:p>
    <w:p>
      <w:pPr>
        <w:spacing w:after="0" w:line="103" w:lineRule="exact"/>
        <w:rPr>
          <w:sz w:val="20"/>
          <w:szCs w:val="20"/>
          <w:color w:val="auto"/>
        </w:rPr>
      </w:pPr>
    </w:p>
    <w:tbl>
      <w:tblPr>
        <w:tblLayout w:type="fixed"/>
        <w:tblInd w:w="260" w:type="dxa"/>
        <w:tblCellMar>
          <w:top w:w="0" w:type="dxa"/>
          <w:left w:w="0" w:type="dxa"/>
          <w:bottom w:w="0" w:type="dxa"/>
          <w:right w:w="0" w:type="dxa"/>
        </w:tblCellMar>
      </w:tblPr>
      <w:tr>
        <w:trPr>
          <w:trHeight w:val="192"/>
        </w:trPr>
        <w:tc>
          <w:tcPr>
            <w:tcW w:w="51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5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23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Due to Change in Average</w:t>
            </w:r>
          </w:p>
        </w:tc>
        <w:tc>
          <w:tcPr>
            <w:tcW w:w="1080" w:type="dxa"/>
            <w:vAlign w:val="bottom"/>
            <w:tcBorders>
              <w:bottom w:val="single" w:sz="8" w:color="auto"/>
            </w:tcBorders>
          </w:tcPr>
          <w:p>
            <w:pPr>
              <w:spacing w:after="0"/>
              <w:rPr>
                <w:sz w:val="16"/>
                <w:szCs w:val="16"/>
                <w:color w:val="auto"/>
              </w:rPr>
            </w:pPr>
          </w:p>
        </w:tc>
      </w:tr>
      <w:tr>
        <w:trPr>
          <w:trHeight w:val="153"/>
        </w:trPr>
        <w:tc>
          <w:tcPr>
            <w:tcW w:w="51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680" w:type="dxa"/>
            <w:vAlign w:val="bottom"/>
            <w:gridSpan w:val="2"/>
          </w:tcPr>
          <w:p>
            <w:pPr>
              <w:jc w:val="center"/>
              <w:ind w:right="380"/>
              <w:spacing w:after="0" w:line="153" w:lineRule="exact"/>
              <w:rPr>
                <w:sz w:val="20"/>
                <w:szCs w:val="20"/>
                <w:color w:val="auto"/>
              </w:rPr>
            </w:pPr>
            <w:r>
              <w:rPr>
                <w:rFonts w:ascii="Arial" w:cs="Arial" w:eastAsia="Arial" w:hAnsi="Arial"/>
                <w:sz w:val="14"/>
                <w:szCs w:val="14"/>
                <w:b w:val="1"/>
                <w:bCs w:val="1"/>
                <w:color w:val="auto"/>
                <w:w w:val="92"/>
              </w:rPr>
              <w:t>Total Increase /</w:t>
            </w:r>
          </w:p>
        </w:tc>
        <w:tc>
          <w:tcPr>
            <w:tcW w:w="380" w:type="dxa"/>
            <w:vAlign w:val="bottom"/>
          </w:tcPr>
          <w:p>
            <w:pPr>
              <w:spacing w:after="0"/>
              <w:rPr>
                <w:sz w:val="13"/>
                <w:szCs w:val="13"/>
                <w:color w:val="auto"/>
              </w:rPr>
            </w:pPr>
          </w:p>
        </w:tc>
        <w:tc>
          <w:tcPr>
            <w:tcW w:w="1580" w:type="dxa"/>
            <w:vAlign w:val="bottom"/>
            <w:gridSpan w:val="2"/>
          </w:tcPr>
          <w:p>
            <w:pPr>
              <w:jc w:val="center"/>
              <w:ind w:right="500"/>
              <w:spacing w:after="0" w:line="153" w:lineRule="exact"/>
              <w:rPr>
                <w:sz w:val="20"/>
                <w:szCs w:val="20"/>
                <w:color w:val="auto"/>
              </w:rPr>
            </w:pPr>
            <w:r>
              <w:rPr>
                <w:rFonts w:ascii="Arial" w:cs="Arial" w:eastAsia="Arial" w:hAnsi="Arial"/>
                <w:sz w:val="14"/>
                <w:szCs w:val="14"/>
                <w:b w:val="1"/>
                <w:bCs w:val="1"/>
                <w:color w:val="auto"/>
                <w:w w:val="97"/>
              </w:rPr>
              <w:t>Portfolio</w:t>
            </w:r>
          </w:p>
        </w:tc>
        <w:tc>
          <w:tcPr>
            <w:tcW w:w="760" w:type="dxa"/>
            <w:vAlign w:val="bottom"/>
          </w:tcPr>
          <w:p>
            <w:pPr>
              <w:spacing w:after="0"/>
              <w:rPr>
                <w:sz w:val="13"/>
                <w:szCs w:val="13"/>
                <w:color w:val="auto"/>
              </w:rPr>
            </w:pPr>
          </w:p>
        </w:tc>
        <w:tc>
          <w:tcPr>
            <w:tcW w:w="1080" w:type="dxa"/>
            <w:vAlign w:val="bottom"/>
          </w:tcPr>
          <w:p>
            <w:pPr>
              <w:spacing w:after="0" w:line="153" w:lineRule="exact"/>
              <w:rPr>
                <w:sz w:val="20"/>
                <w:szCs w:val="20"/>
                <w:color w:val="auto"/>
              </w:rPr>
            </w:pPr>
            <w:r>
              <w:rPr>
                <w:rFonts w:ascii="Arial" w:cs="Arial" w:eastAsia="Arial" w:hAnsi="Arial"/>
                <w:sz w:val="14"/>
                <w:szCs w:val="14"/>
                <w:b w:val="1"/>
                <w:bCs w:val="1"/>
                <w:color w:val="auto"/>
              </w:rPr>
              <w:t>Asset</w:t>
            </w:r>
          </w:p>
        </w:tc>
      </w:tr>
      <w:tr>
        <w:trPr>
          <w:trHeight w:val="192"/>
        </w:trPr>
        <w:tc>
          <w:tcPr>
            <w:tcW w:w="51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68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89"/>
              </w:rPr>
              <w:t>(Decrease)</w:t>
            </w:r>
          </w:p>
        </w:tc>
        <w:tc>
          <w:tcPr>
            <w:tcW w:w="380" w:type="dxa"/>
            <w:vAlign w:val="bottom"/>
          </w:tcPr>
          <w:p>
            <w:pPr>
              <w:spacing w:after="0"/>
              <w:rPr>
                <w:sz w:val="16"/>
                <w:szCs w:val="16"/>
                <w:color w:val="auto"/>
              </w:rPr>
            </w:pPr>
          </w:p>
        </w:tc>
        <w:tc>
          <w:tcPr>
            <w:tcW w:w="158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w w:val="85"/>
              </w:rPr>
              <w:t>Size</w:t>
            </w:r>
          </w:p>
        </w:tc>
        <w:tc>
          <w:tcPr>
            <w:tcW w:w="760" w:type="dxa"/>
            <w:vAlign w:val="bottom"/>
          </w:tcPr>
          <w:p>
            <w:pPr>
              <w:spacing w:after="0"/>
              <w:rPr>
                <w:sz w:val="16"/>
                <w:szCs w:val="16"/>
                <w:color w:val="auto"/>
              </w:rPr>
            </w:pPr>
          </w:p>
        </w:tc>
        <w:tc>
          <w:tcPr>
            <w:tcW w:w="1080" w:type="dxa"/>
            <w:vAlign w:val="bottom"/>
          </w:tcPr>
          <w:p>
            <w:pPr>
              <w:spacing w:after="0"/>
              <w:rPr>
                <w:sz w:val="20"/>
                <w:szCs w:val="20"/>
                <w:color w:val="auto"/>
              </w:rPr>
            </w:pPr>
            <w:r>
              <w:rPr>
                <w:rFonts w:ascii="Arial" w:cs="Arial" w:eastAsia="Arial" w:hAnsi="Arial"/>
                <w:sz w:val="14"/>
                <w:szCs w:val="14"/>
                <w:b w:val="1"/>
                <w:bCs w:val="1"/>
                <w:color w:val="auto"/>
              </w:rPr>
              <w:t>Yield</w:t>
            </w:r>
          </w:p>
        </w:tc>
      </w:tr>
      <w:tr>
        <w:trPr>
          <w:trHeight w:val="256"/>
        </w:trPr>
        <w:tc>
          <w:tcPr>
            <w:tcW w:w="5140" w:type="dxa"/>
            <w:vAlign w:val="bottom"/>
            <w:tcBorders>
              <w:top w:val="single" w:sz="8" w:color="BFE4FF"/>
            </w:tcBorders>
            <w:shd w:val="clear" w:color="auto" w:fill="BFE4FF"/>
          </w:tcPr>
          <w:p>
            <w:pPr>
              <w:ind w:left="40"/>
              <w:spacing w:after="0"/>
              <w:rPr>
                <w:sz w:val="20"/>
                <w:szCs w:val="20"/>
                <w:color w:val="auto"/>
              </w:rPr>
            </w:pPr>
            <w:r>
              <w:rPr>
                <w:rFonts w:ascii="Arial" w:cs="Arial" w:eastAsia="Arial" w:hAnsi="Arial"/>
                <w:sz w:val="14"/>
                <w:szCs w:val="14"/>
                <w:color w:val="auto"/>
              </w:rPr>
              <w:t>Interest Income</w:t>
            </w:r>
          </w:p>
        </w:tc>
        <w:tc>
          <w:tcPr>
            <w:tcW w:w="280" w:type="dxa"/>
            <w:vAlign w:val="bottom"/>
            <w:tcBorders>
              <w:top w:val="single" w:sz="8" w:color="auto"/>
            </w:tcBorders>
            <w:shd w:val="clear" w:color="auto" w:fill="BFE4FF"/>
          </w:tcPr>
          <w:p>
            <w:pPr>
              <w:jc w:val="right"/>
              <w:ind w:right="108"/>
              <w:spacing w:after="0"/>
              <w:rPr>
                <w:sz w:val="20"/>
                <w:szCs w:val="20"/>
                <w:color w:val="auto"/>
              </w:rPr>
            </w:pPr>
            <w:r>
              <w:rPr>
                <w:rFonts w:ascii="Arial" w:cs="Arial" w:eastAsia="Arial" w:hAnsi="Arial"/>
                <w:sz w:val="14"/>
                <w:szCs w:val="14"/>
                <w:color w:val="auto"/>
              </w:rPr>
              <w:t>$</w:t>
            </w:r>
          </w:p>
        </w:tc>
        <w:tc>
          <w:tcPr>
            <w:tcW w:w="1560" w:type="dxa"/>
            <w:vAlign w:val="bottom"/>
            <w:tcBorders>
              <w:top w:val="single" w:sz="8" w:color="auto"/>
            </w:tcBorders>
            <w:shd w:val="clear" w:color="auto" w:fill="BFE4FF"/>
          </w:tcPr>
          <w:p>
            <w:pPr>
              <w:jc w:val="right"/>
              <w:spacing w:after="0"/>
              <w:rPr>
                <w:sz w:val="20"/>
                <w:szCs w:val="20"/>
                <w:color w:val="auto"/>
              </w:rPr>
            </w:pPr>
            <w:r>
              <w:rPr>
                <w:rFonts w:ascii="Arial" w:cs="Arial" w:eastAsia="Arial" w:hAnsi="Arial"/>
                <w:sz w:val="14"/>
                <w:szCs w:val="14"/>
                <w:color w:val="auto"/>
              </w:rPr>
              <w:t>(6)</w:t>
            </w:r>
          </w:p>
        </w:tc>
        <w:tc>
          <w:tcPr>
            <w:tcW w:w="120" w:type="dxa"/>
            <w:vAlign w:val="bottom"/>
            <w:tcBorders>
              <w:top w:val="single" w:sz="8" w:color="BFE4FF"/>
            </w:tcBorders>
            <w:shd w:val="clear" w:color="auto" w:fill="BFE4FF"/>
          </w:tcPr>
          <w:p>
            <w:pPr>
              <w:spacing w:after="0"/>
              <w:rPr>
                <w:sz w:val="22"/>
                <w:szCs w:val="22"/>
                <w:color w:val="auto"/>
              </w:rPr>
            </w:pPr>
          </w:p>
        </w:tc>
        <w:tc>
          <w:tcPr>
            <w:tcW w:w="380" w:type="dxa"/>
            <w:vAlign w:val="bottom"/>
            <w:tcBorders>
              <w:top w:val="single" w:sz="8" w:color="auto"/>
            </w:tcBorders>
            <w:shd w:val="clear" w:color="auto" w:fill="BFE4FF"/>
          </w:tcPr>
          <w:p>
            <w:pPr>
              <w:jc w:val="right"/>
              <w:ind w:right="208"/>
              <w:spacing w:after="0"/>
              <w:rPr>
                <w:sz w:val="20"/>
                <w:szCs w:val="20"/>
                <w:color w:val="auto"/>
              </w:rPr>
            </w:pPr>
            <w:r>
              <w:rPr>
                <w:rFonts w:ascii="Arial" w:cs="Arial" w:eastAsia="Arial" w:hAnsi="Arial"/>
                <w:sz w:val="14"/>
                <w:szCs w:val="14"/>
                <w:color w:val="auto"/>
              </w:rPr>
              <w:t>$</w:t>
            </w:r>
          </w:p>
        </w:tc>
        <w:tc>
          <w:tcPr>
            <w:tcW w:w="1460" w:type="dxa"/>
            <w:vAlign w:val="bottom"/>
            <w:tcBorders>
              <w:top w:val="single" w:sz="8" w:color="auto"/>
            </w:tcBorders>
            <w:shd w:val="clear" w:color="auto" w:fill="BFE4FF"/>
          </w:tcPr>
          <w:p>
            <w:pPr>
              <w:jc w:val="right"/>
              <w:spacing w:after="0"/>
              <w:rPr>
                <w:sz w:val="20"/>
                <w:szCs w:val="20"/>
                <w:color w:val="auto"/>
              </w:rPr>
            </w:pPr>
            <w:r>
              <w:rPr>
                <w:rFonts w:ascii="Arial" w:cs="Arial" w:eastAsia="Arial" w:hAnsi="Arial"/>
                <w:sz w:val="14"/>
                <w:szCs w:val="14"/>
                <w:color w:val="auto"/>
              </w:rPr>
              <w:t>(53)</w:t>
            </w:r>
          </w:p>
        </w:tc>
        <w:tc>
          <w:tcPr>
            <w:tcW w:w="120" w:type="dxa"/>
            <w:vAlign w:val="bottom"/>
            <w:tcBorders>
              <w:top w:val="single" w:sz="8" w:color="BFE4FF"/>
            </w:tcBorders>
            <w:shd w:val="clear" w:color="auto" w:fill="BFE4FF"/>
          </w:tcPr>
          <w:p>
            <w:pPr>
              <w:spacing w:after="0"/>
              <w:rPr>
                <w:sz w:val="22"/>
                <w:szCs w:val="22"/>
                <w:color w:val="auto"/>
              </w:rPr>
            </w:pPr>
          </w:p>
        </w:tc>
        <w:tc>
          <w:tcPr>
            <w:tcW w:w="760" w:type="dxa"/>
            <w:vAlign w:val="bottom"/>
            <w:tcBorders>
              <w:top w:val="single" w:sz="8" w:color="auto"/>
            </w:tcBorders>
            <w:shd w:val="clear" w:color="auto" w:fill="BFE4FF"/>
          </w:tcPr>
          <w:p>
            <w:pPr>
              <w:jc w:val="right"/>
              <w:ind w:right="588"/>
              <w:spacing w:after="0"/>
              <w:rPr>
                <w:sz w:val="20"/>
                <w:szCs w:val="20"/>
                <w:color w:val="auto"/>
              </w:rPr>
            </w:pPr>
            <w:r>
              <w:rPr>
                <w:rFonts w:ascii="Arial" w:cs="Arial" w:eastAsia="Arial" w:hAnsi="Arial"/>
                <w:sz w:val="14"/>
                <w:szCs w:val="14"/>
                <w:color w:val="auto"/>
              </w:rPr>
              <w:t>$</w:t>
            </w:r>
          </w:p>
        </w:tc>
        <w:tc>
          <w:tcPr>
            <w:tcW w:w="1080" w:type="dxa"/>
            <w:vAlign w:val="bottom"/>
            <w:tcBorders>
              <w:top w:val="single" w:sz="8" w:color="auto"/>
            </w:tcBorders>
            <w:shd w:val="clear" w:color="auto" w:fill="BFE4FF"/>
          </w:tcPr>
          <w:p>
            <w:pPr>
              <w:jc w:val="right"/>
              <w:ind w:right="28"/>
              <w:spacing w:after="0"/>
              <w:rPr>
                <w:sz w:val="20"/>
                <w:szCs w:val="20"/>
                <w:color w:val="auto"/>
              </w:rPr>
            </w:pPr>
            <w:r>
              <w:rPr>
                <w:rFonts w:ascii="Arial" w:cs="Arial" w:eastAsia="Arial" w:hAnsi="Arial"/>
                <w:sz w:val="14"/>
                <w:szCs w:val="14"/>
                <w:color w:val="auto"/>
              </w:rPr>
              <w:t>47</w:t>
            </w:r>
          </w:p>
        </w:tc>
      </w:tr>
    </w:tbl>
    <w:p>
      <w:pPr>
        <w:spacing w:after="0" w:line="283"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The size of our average investment portfolio decreased in par value by 3% during fiscal year 2015, reflective of lower "at risk" leverage, partially offset by a relative shift from TBA dollar roll funded assets to repo funded assets. In accordance with</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420"/>
          </w:cols>
          <w:pgMar w:left="240" w:top="742" w:right="239" w:bottom="1440" w:gutter="0" w:footer="0" w:header="0"/>
        </w:sectPr>
      </w:pPr>
    </w:p>
    <w:bookmarkStart w:id="50" w:name="page51"/>
    <w:bookmarkEnd w:id="50"/>
    <w:p>
      <w:pPr>
        <w:jc w:val="both"/>
        <w:spacing w:after="0" w:line="277" w:lineRule="auto"/>
        <w:rPr>
          <w:sz w:val="20"/>
          <w:szCs w:val="20"/>
          <w:color w:val="auto"/>
        </w:rPr>
      </w:pPr>
      <w:r>
        <w:rPr>
          <w:rFonts w:ascii="Arial" w:cs="Arial" w:eastAsia="Arial" w:hAnsi="Arial"/>
          <w:sz w:val="18"/>
          <w:szCs w:val="18"/>
          <w:color w:val="auto"/>
        </w:rPr>
        <w:t>GAAP, we report TBA dollar roll income in gain/loss on derivative instruments and other securities, net in our accompanying consolidated financial statements and, therefore, our reported interest income excludes such amounts.</w:t>
      </w:r>
    </w:p>
    <w:p>
      <w:pPr>
        <w:spacing w:after="0" w:line="35"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Our average asset yield increased by 8 bps during fiscal year 2015, primarily due to fluctuations in "catch-up" premium amortization cost recognized due to changes in our projected life CPR forecasts. We recognized "catch-up" premium amortization cost of $1 million for fiscal year 2015, compared to $53 million for fiscal year 2014. Excluding "catch-up" premium amortization adjustments, our average asset yield was 2.72% for fiscal year 2015, unchanged from fiscal year 2014.</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Leverage</w:t>
      </w:r>
    </w:p>
    <w:p>
      <w:pPr>
        <w:spacing w:after="0" w:line="185" w:lineRule="exact"/>
        <w:rPr>
          <w:sz w:val="20"/>
          <w:szCs w:val="20"/>
          <w:color w:val="auto"/>
        </w:rPr>
      </w:pPr>
    </w:p>
    <w:p>
      <w:pPr>
        <w:jc w:val="both"/>
        <w:ind w:firstLine="432"/>
        <w:spacing w:after="0" w:line="272" w:lineRule="auto"/>
        <w:rPr>
          <w:sz w:val="20"/>
          <w:szCs w:val="20"/>
          <w:color w:val="auto"/>
        </w:rPr>
      </w:pPr>
      <w:r>
        <w:rPr>
          <w:rFonts w:ascii="Arial" w:cs="Arial" w:eastAsia="Arial" w:hAnsi="Arial"/>
          <w:sz w:val="17"/>
          <w:szCs w:val="17"/>
          <w:color w:val="auto"/>
        </w:rPr>
        <w:t>Our leverage was 5.8x and 5.3x our stockholders' equity as of December 31, 2015 and 2014, respectively, measured as the sum of our agency repurchase agreements ("agency repo"), FHLB advances and debt of consolidated VIEs (collectively referred to as "mortgage borrowings") and our net receivable / payable for unsettled agency securities divided by the sum of our total stockholders' equity less the fair value of our investments in REIT equity securities as of period end. Since the individual agency mortgage REITs in which we invest employ similar leverage as within our agency portfolio, we acquire these securities on an unlevered basis and, therefore, exclude from our leverage measurements the portion of our stockholders' equity allocated to investments in other mortgage REITs. In addition, our measurement of leverage excludes repurchase agreements used to fund short-term investments in U.S. Treasury securities ("U.S. Treasury repo") due to the temporary and highly liquid nature of these investments.</w:t>
      </w:r>
    </w:p>
    <w:p>
      <w:pPr>
        <w:spacing w:after="0" w:line="124"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 xml:space="preserve">Inclusive of our net TBA position, our total "at risk" leverage was 6.8x and 6.9x our stockholders' equity as of December 31, 2015 and 2014, respectively. Since we recognize our TBA commitments as derivatives under GAAP, they are not included in our repurchase agreement and other debt leverage calculations as measured from our consolidated balance sheets; however, a long TBA position carries similar risks as if we had purchased the underlying MBS assets and funded such purchases with on-balance sheet funding liabilities. Similarly, a short TBA position has substantially the same effect as selling the underlying MBS assets and reducing our on-balance sheet funding commitments. (Refer to </w:t>
      </w:r>
      <w:r>
        <w:rPr>
          <w:rFonts w:ascii="Arial" w:cs="Arial" w:eastAsia="Arial" w:hAnsi="Arial"/>
          <w:sz w:val="17"/>
          <w:szCs w:val="17"/>
          <w:i w:val="1"/>
          <w:iCs w:val="1"/>
          <w:color w:val="auto"/>
        </w:rPr>
        <w:t>Liquidity and Capital Resources</w:t>
      </w:r>
      <w:r>
        <w:rPr>
          <w:rFonts w:ascii="Arial" w:cs="Arial" w:eastAsia="Arial" w:hAnsi="Arial"/>
          <w:sz w:val="17"/>
          <w:szCs w:val="17"/>
          <w:color w:val="auto"/>
        </w:rPr>
        <w:t xml:space="preserve"> for further discussion of TBA dollar roll positions). Therefore, we refer to our leverage adjusted for TBA positions as our "at risk" leverage.</w:t>
      </w:r>
    </w:p>
    <w:p>
      <w:pPr>
        <w:spacing w:after="0" w:line="124"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table below presents our average and quarter-end mortgage borrowings, net TBA position and leverage ratios for each of the three month periods listed below (dollars in millions):</w:t>
      </w: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153"/>
        </w:trPr>
        <w:tc>
          <w:tcPr>
            <w:tcW w:w="25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740" w:type="dxa"/>
            <w:vAlign w:val="bottom"/>
            <w:gridSpan w:val="4"/>
          </w:tcPr>
          <w:p>
            <w:pPr>
              <w:jc w:val="right"/>
              <w:ind w:right="390"/>
              <w:spacing w:after="0"/>
              <w:rPr>
                <w:sz w:val="20"/>
                <w:szCs w:val="20"/>
                <w:color w:val="auto"/>
              </w:rPr>
            </w:pPr>
            <w:r>
              <w:rPr>
                <w:rFonts w:ascii="Arial" w:cs="Arial" w:eastAsia="Arial" w:hAnsi="Arial"/>
                <w:sz w:val="13"/>
                <w:szCs w:val="13"/>
                <w:b w:val="1"/>
                <w:bCs w:val="1"/>
                <w:color w:val="auto"/>
              </w:rPr>
              <w:t>Net TBA Position</w:t>
            </w:r>
          </w:p>
        </w:tc>
        <w:tc>
          <w:tcPr>
            <w:tcW w:w="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2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8"/>
              </w:rPr>
              <w:t>Average Total</w:t>
            </w: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jc w:val="center"/>
              <w:spacing w:after="0"/>
              <w:rPr>
                <w:sz w:val="20"/>
                <w:szCs w:val="20"/>
                <w:color w:val="auto"/>
              </w:rPr>
            </w:pPr>
            <w:r>
              <w:rPr>
                <w:rFonts w:ascii="Arial" w:cs="Arial" w:eastAsia="Arial" w:hAnsi="Arial"/>
                <w:sz w:val="13"/>
                <w:szCs w:val="13"/>
                <w:b w:val="1"/>
                <w:bCs w:val="1"/>
                <w:color w:val="auto"/>
                <w:w w:val="97"/>
              </w:rPr>
              <w:t>"At Risk"</w:t>
            </w:r>
          </w:p>
        </w:tc>
        <w:tc>
          <w:tcPr>
            <w:tcW w:w="0" w:type="dxa"/>
            <w:vAlign w:val="bottom"/>
          </w:tcPr>
          <w:p>
            <w:pPr>
              <w:spacing w:after="0"/>
              <w:rPr>
                <w:sz w:val="1"/>
                <w:szCs w:val="1"/>
                <w:color w:val="auto"/>
              </w:rPr>
            </w:pPr>
          </w:p>
        </w:tc>
      </w:tr>
      <w:tr>
        <w:trPr>
          <w:trHeight w:val="135"/>
        </w:trPr>
        <w:tc>
          <w:tcPr>
            <w:tcW w:w="25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400" w:type="dxa"/>
            <w:vAlign w:val="bottom"/>
            <w:gridSpan w:val="6"/>
          </w:tcPr>
          <w:p>
            <w:pPr>
              <w:jc w:val="center"/>
              <w:ind w:right="28"/>
              <w:spacing w:after="0" w:line="135" w:lineRule="exact"/>
              <w:rPr>
                <w:sz w:val="20"/>
                <w:szCs w:val="20"/>
                <w:color w:val="auto"/>
              </w:rPr>
            </w:pPr>
            <w:r>
              <w:rPr>
                <w:rFonts w:ascii="Arial" w:cs="Arial" w:eastAsia="Arial" w:hAnsi="Arial"/>
                <w:sz w:val="13"/>
                <w:szCs w:val="13"/>
                <w:b w:val="1"/>
                <w:bCs w:val="1"/>
                <w:color w:val="auto"/>
                <w:w w:val="88"/>
              </w:rPr>
              <w:t xml:space="preserve">Mortgage Borrowings </w:t>
            </w:r>
            <w:r>
              <w:rPr>
                <w:rFonts w:ascii="Arial" w:cs="Arial" w:eastAsia="Arial" w:hAnsi="Arial"/>
                <w:sz w:val="8"/>
                <w:szCs w:val="8"/>
                <w:b w:val="1"/>
                <w:bCs w:val="1"/>
                <w:color w:val="auto"/>
                <w:w w:val="88"/>
              </w:rPr>
              <w:t>1</w:t>
            </w: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740" w:type="dxa"/>
            <w:vAlign w:val="bottom"/>
            <w:gridSpan w:val="4"/>
          </w:tcPr>
          <w:p>
            <w:pPr>
              <w:jc w:val="right"/>
              <w:ind w:right="470"/>
              <w:spacing w:after="0" w:line="135" w:lineRule="exact"/>
              <w:rPr>
                <w:sz w:val="20"/>
                <w:szCs w:val="20"/>
                <w:color w:val="auto"/>
              </w:rPr>
            </w:pPr>
            <w:r>
              <w:rPr>
                <w:rFonts w:ascii="Arial" w:cs="Arial" w:eastAsia="Arial" w:hAnsi="Arial"/>
                <w:sz w:val="13"/>
                <w:szCs w:val="13"/>
                <w:b w:val="1"/>
                <w:bCs w:val="1"/>
                <w:color w:val="auto"/>
              </w:rPr>
              <w:t xml:space="preserve">Long / (Short) </w:t>
            </w:r>
            <w:r>
              <w:rPr>
                <w:rFonts w:ascii="Arial" w:cs="Arial" w:eastAsia="Arial" w:hAnsi="Arial"/>
                <w:sz w:val="8"/>
                <w:szCs w:val="8"/>
                <w:b w:val="1"/>
                <w:bCs w:val="1"/>
                <w:color w:val="auto"/>
              </w:rPr>
              <w:t>2</w:t>
            </w:r>
          </w:p>
        </w:tc>
        <w:tc>
          <w:tcPr>
            <w:tcW w:w="100" w:type="dxa"/>
            <w:vAlign w:val="bottom"/>
          </w:tcPr>
          <w:p>
            <w:pPr>
              <w:spacing w:after="0"/>
              <w:rPr>
                <w:sz w:val="11"/>
                <w:szCs w:val="11"/>
                <w:color w:val="auto"/>
              </w:rPr>
            </w:pPr>
          </w:p>
        </w:tc>
        <w:tc>
          <w:tcPr>
            <w:tcW w:w="90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5"/>
              </w:rPr>
              <w:t>Average</w:t>
            </w:r>
          </w:p>
        </w:tc>
        <w:tc>
          <w:tcPr>
            <w:tcW w:w="102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97"/>
              </w:rPr>
              <w:t>"At Risk"</w:t>
            </w:r>
          </w:p>
        </w:tc>
        <w:tc>
          <w:tcPr>
            <w:tcW w:w="90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7"/>
              </w:rPr>
              <w:t>Leverage</w:t>
            </w:r>
          </w:p>
        </w:tc>
        <w:tc>
          <w:tcPr>
            <w:tcW w:w="80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4"/>
              </w:rPr>
              <w:t>Leverage</w:t>
            </w:r>
          </w:p>
        </w:tc>
        <w:tc>
          <w:tcPr>
            <w:tcW w:w="0" w:type="dxa"/>
            <w:vAlign w:val="bottom"/>
          </w:tcPr>
          <w:p>
            <w:pPr>
              <w:spacing w:after="0"/>
              <w:rPr>
                <w:sz w:val="1"/>
                <w:szCs w:val="1"/>
                <w:color w:val="auto"/>
              </w:rPr>
            </w:pPr>
          </w:p>
        </w:tc>
      </w:tr>
      <w:tr>
        <w:trPr>
          <w:trHeight w:val="54"/>
        </w:trPr>
        <w:tc>
          <w:tcPr>
            <w:tcW w:w="25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78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gridSpan w:val="2"/>
            <w:vMerge w:val="restart"/>
          </w:tcPr>
          <w:p>
            <w:pPr>
              <w:jc w:val="center"/>
              <w:ind w:right="100"/>
              <w:spacing w:after="0" w:line="135" w:lineRule="exact"/>
              <w:rPr>
                <w:sz w:val="20"/>
                <w:szCs w:val="20"/>
                <w:color w:val="auto"/>
              </w:rPr>
            </w:pPr>
            <w:r>
              <w:rPr>
                <w:rFonts w:ascii="Arial" w:cs="Arial" w:eastAsia="Arial" w:hAnsi="Arial"/>
                <w:sz w:val="13"/>
                <w:szCs w:val="13"/>
                <w:b w:val="1"/>
                <w:bCs w:val="1"/>
                <w:color w:val="auto"/>
                <w:w w:val="84"/>
              </w:rPr>
              <w:t>Leverage</w:t>
            </w:r>
          </w:p>
        </w:tc>
        <w:tc>
          <w:tcPr>
            <w:tcW w:w="1020" w:type="dxa"/>
            <w:vAlign w:val="bottom"/>
            <w:gridSpan w:val="2"/>
            <w:vMerge w:val="restart"/>
          </w:tcPr>
          <w:p>
            <w:pPr>
              <w:jc w:val="center"/>
              <w:ind w:right="120"/>
              <w:spacing w:after="0" w:line="135" w:lineRule="exact"/>
              <w:rPr>
                <w:sz w:val="20"/>
                <w:szCs w:val="20"/>
                <w:color w:val="auto"/>
              </w:rPr>
            </w:pPr>
            <w:r>
              <w:rPr>
                <w:rFonts w:ascii="Arial" w:cs="Arial" w:eastAsia="Arial" w:hAnsi="Arial"/>
                <w:sz w:val="13"/>
                <w:szCs w:val="13"/>
                <w:b w:val="1"/>
                <w:bCs w:val="1"/>
                <w:color w:val="auto"/>
                <w:w w:val="87"/>
              </w:rPr>
              <w:t>Leverage</w:t>
            </w:r>
          </w:p>
        </w:tc>
        <w:tc>
          <w:tcPr>
            <w:tcW w:w="900" w:type="dxa"/>
            <w:vAlign w:val="bottom"/>
            <w:gridSpan w:val="2"/>
            <w:vMerge w:val="restart"/>
          </w:tcPr>
          <w:p>
            <w:pPr>
              <w:jc w:val="center"/>
              <w:ind w:right="100"/>
              <w:spacing w:after="0" w:line="135" w:lineRule="exact"/>
              <w:rPr>
                <w:sz w:val="20"/>
                <w:szCs w:val="20"/>
                <w:color w:val="auto"/>
              </w:rPr>
            </w:pPr>
            <w:r>
              <w:rPr>
                <w:rFonts w:ascii="Arial" w:cs="Arial" w:eastAsia="Arial" w:hAnsi="Arial"/>
                <w:sz w:val="13"/>
                <w:szCs w:val="13"/>
                <w:b w:val="1"/>
                <w:bCs w:val="1"/>
                <w:color w:val="auto"/>
                <w:w w:val="78"/>
              </w:rPr>
              <w:t>as of</w:t>
            </w:r>
          </w:p>
        </w:tc>
        <w:tc>
          <w:tcPr>
            <w:tcW w:w="800" w:type="dxa"/>
            <w:vAlign w:val="bottom"/>
            <w:vMerge w:val="restart"/>
          </w:tcPr>
          <w:p>
            <w:pPr>
              <w:jc w:val="center"/>
              <w:spacing w:after="0" w:line="135" w:lineRule="exact"/>
              <w:rPr>
                <w:sz w:val="20"/>
                <w:szCs w:val="20"/>
                <w:color w:val="auto"/>
              </w:rPr>
            </w:pPr>
            <w:r>
              <w:rPr>
                <w:rFonts w:ascii="Arial" w:cs="Arial" w:eastAsia="Arial" w:hAnsi="Arial"/>
                <w:sz w:val="13"/>
                <w:szCs w:val="13"/>
                <w:b w:val="1"/>
                <w:bCs w:val="1"/>
                <w:color w:val="auto"/>
                <w:w w:val="78"/>
              </w:rPr>
              <w:t>as of</w:t>
            </w:r>
          </w:p>
        </w:tc>
        <w:tc>
          <w:tcPr>
            <w:tcW w:w="0" w:type="dxa"/>
            <w:vAlign w:val="bottom"/>
          </w:tcPr>
          <w:p>
            <w:pPr>
              <w:spacing w:after="0"/>
              <w:rPr>
                <w:sz w:val="1"/>
                <w:szCs w:val="1"/>
                <w:color w:val="auto"/>
              </w:rPr>
            </w:pPr>
          </w:p>
        </w:tc>
      </w:tr>
      <w:tr>
        <w:trPr>
          <w:trHeight w:val="61"/>
        </w:trPr>
        <w:tc>
          <w:tcPr>
            <w:tcW w:w="2520" w:type="dxa"/>
            <w:vAlign w:val="bottom"/>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tcPr>
          <w:p>
            <w:pPr>
              <w:spacing w:after="0"/>
              <w:rPr>
                <w:sz w:val="5"/>
                <w:szCs w:val="5"/>
                <w:color w:val="auto"/>
              </w:rPr>
            </w:pPr>
          </w:p>
        </w:tc>
        <w:tc>
          <w:tcPr>
            <w:tcW w:w="70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tcPr>
          <w:p>
            <w:pPr>
              <w:spacing w:after="0"/>
              <w:rPr>
                <w:sz w:val="5"/>
                <w:szCs w:val="5"/>
                <w:color w:val="auto"/>
              </w:rPr>
            </w:pPr>
          </w:p>
        </w:tc>
        <w:tc>
          <w:tcPr>
            <w:tcW w:w="780" w:type="dxa"/>
            <w:vAlign w:val="bottom"/>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tcPr>
          <w:p>
            <w:pPr>
              <w:spacing w:after="0"/>
              <w:rPr>
                <w:sz w:val="5"/>
                <w:szCs w:val="5"/>
                <w:color w:val="auto"/>
              </w:rPr>
            </w:pPr>
          </w:p>
        </w:tc>
        <w:tc>
          <w:tcPr>
            <w:tcW w:w="7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7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60" w:type="dxa"/>
            <w:vAlign w:val="bottom"/>
          </w:tcPr>
          <w:p>
            <w:pPr>
              <w:spacing w:after="0"/>
              <w:rPr>
                <w:sz w:val="5"/>
                <w:szCs w:val="5"/>
                <w:color w:val="auto"/>
              </w:rPr>
            </w:pPr>
          </w:p>
        </w:tc>
        <w:tc>
          <w:tcPr>
            <w:tcW w:w="740" w:type="dxa"/>
            <w:vAlign w:val="bottom"/>
          </w:tcPr>
          <w:p>
            <w:pPr>
              <w:spacing w:after="0"/>
              <w:rPr>
                <w:sz w:val="5"/>
                <w:szCs w:val="5"/>
                <w:color w:val="auto"/>
              </w:rPr>
            </w:pPr>
          </w:p>
        </w:tc>
        <w:tc>
          <w:tcPr>
            <w:tcW w:w="100" w:type="dxa"/>
            <w:vAlign w:val="bottom"/>
          </w:tcPr>
          <w:p>
            <w:pPr>
              <w:spacing w:after="0"/>
              <w:rPr>
                <w:sz w:val="5"/>
                <w:szCs w:val="5"/>
                <w:color w:val="auto"/>
              </w:rPr>
            </w:pPr>
          </w:p>
        </w:tc>
        <w:tc>
          <w:tcPr>
            <w:tcW w:w="900" w:type="dxa"/>
            <w:vAlign w:val="bottom"/>
            <w:gridSpan w:val="2"/>
            <w:vMerge w:val="continue"/>
          </w:tcPr>
          <w:p>
            <w:pPr>
              <w:spacing w:after="0"/>
              <w:rPr>
                <w:sz w:val="5"/>
                <w:szCs w:val="5"/>
                <w:color w:val="auto"/>
              </w:rPr>
            </w:pPr>
          </w:p>
        </w:tc>
        <w:tc>
          <w:tcPr>
            <w:tcW w:w="1020" w:type="dxa"/>
            <w:vAlign w:val="bottom"/>
            <w:gridSpan w:val="2"/>
            <w:vMerge w:val="continue"/>
          </w:tcPr>
          <w:p>
            <w:pPr>
              <w:spacing w:after="0"/>
              <w:rPr>
                <w:sz w:val="5"/>
                <w:szCs w:val="5"/>
                <w:color w:val="auto"/>
              </w:rPr>
            </w:pPr>
          </w:p>
        </w:tc>
        <w:tc>
          <w:tcPr>
            <w:tcW w:w="900" w:type="dxa"/>
            <w:vAlign w:val="bottom"/>
            <w:gridSpan w:val="2"/>
            <w:vMerge w:val="continue"/>
          </w:tcPr>
          <w:p>
            <w:pPr>
              <w:spacing w:after="0"/>
              <w:rPr>
                <w:sz w:val="5"/>
                <w:szCs w:val="5"/>
                <w:color w:val="auto"/>
              </w:rPr>
            </w:pPr>
          </w:p>
        </w:tc>
        <w:tc>
          <w:tcPr>
            <w:tcW w:w="8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35"/>
        </w:trPr>
        <w:tc>
          <w:tcPr>
            <w:tcW w:w="2520" w:type="dxa"/>
            <w:vAlign w:val="bottom"/>
            <w:vMerge w:val="restart"/>
          </w:tcPr>
          <w:p>
            <w:pPr>
              <w:ind w:left="40"/>
              <w:spacing w:after="0"/>
              <w:rPr>
                <w:sz w:val="20"/>
                <w:szCs w:val="20"/>
                <w:color w:val="auto"/>
              </w:rPr>
            </w:pPr>
            <w:r>
              <w:rPr>
                <w:rFonts w:ascii="Arial" w:cs="Arial" w:eastAsia="Arial" w:hAnsi="Arial"/>
                <w:sz w:val="13"/>
                <w:szCs w:val="13"/>
                <w:b w:val="1"/>
                <w:bCs w:val="1"/>
                <w:color w:val="auto"/>
              </w:rPr>
              <w:t>Quarter Ended</w:t>
            </w:r>
          </w:p>
        </w:tc>
        <w:tc>
          <w:tcPr>
            <w:tcW w:w="120" w:type="dxa"/>
            <w:vAlign w:val="bottom"/>
            <w:vMerge w:val="restart"/>
          </w:tcPr>
          <w:p>
            <w:pPr>
              <w:spacing w:after="0"/>
              <w:rPr>
                <w:sz w:val="11"/>
                <w:szCs w:val="11"/>
                <w:color w:val="auto"/>
              </w:rPr>
            </w:pPr>
          </w:p>
        </w:tc>
        <w:tc>
          <w:tcPr>
            <w:tcW w:w="880" w:type="dxa"/>
            <w:vAlign w:val="bottom"/>
            <w:gridSpan w:val="2"/>
          </w:tcPr>
          <w:p>
            <w:pPr>
              <w:jc w:val="right"/>
              <w:spacing w:after="0" w:line="135" w:lineRule="exact"/>
              <w:rPr>
                <w:sz w:val="20"/>
                <w:szCs w:val="20"/>
                <w:color w:val="auto"/>
              </w:rPr>
            </w:pPr>
            <w:r>
              <w:rPr>
                <w:rFonts w:ascii="Arial" w:cs="Arial" w:eastAsia="Arial" w:hAnsi="Arial"/>
                <w:sz w:val="13"/>
                <w:szCs w:val="13"/>
                <w:b w:val="1"/>
                <w:bCs w:val="1"/>
                <w:color w:val="auto"/>
                <w:w w:val="95"/>
              </w:rPr>
              <w:t>Average Daily</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93"/>
              </w:rPr>
              <w:t>Maximum</w:t>
            </w:r>
          </w:p>
        </w:tc>
        <w:tc>
          <w:tcPr>
            <w:tcW w:w="180" w:type="dxa"/>
            <w:vAlign w:val="bottom"/>
          </w:tcPr>
          <w:p>
            <w:pPr>
              <w:spacing w:after="0"/>
              <w:rPr>
                <w:sz w:val="11"/>
                <w:szCs w:val="11"/>
                <w:color w:val="auto"/>
              </w:rPr>
            </w:pPr>
          </w:p>
        </w:tc>
        <w:tc>
          <w:tcPr>
            <w:tcW w:w="880" w:type="dxa"/>
            <w:vAlign w:val="bottom"/>
            <w:gridSpan w:val="2"/>
          </w:tcPr>
          <w:p>
            <w:pPr>
              <w:ind w:left="100"/>
              <w:spacing w:after="0" w:line="135" w:lineRule="exact"/>
              <w:rPr>
                <w:sz w:val="20"/>
                <w:szCs w:val="20"/>
                <w:color w:val="auto"/>
              </w:rPr>
            </w:pPr>
            <w:r>
              <w:rPr>
                <w:rFonts w:ascii="Arial" w:cs="Arial" w:eastAsia="Arial" w:hAnsi="Arial"/>
                <w:sz w:val="13"/>
                <w:szCs w:val="13"/>
                <w:b w:val="1"/>
                <w:bCs w:val="1"/>
                <w:color w:val="auto"/>
              </w:rPr>
              <w:t>Ending</w:t>
            </w:r>
          </w:p>
        </w:tc>
        <w:tc>
          <w:tcPr>
            <w:tcW w:w="1000" w:type="dxa"/>
            <w:vAlign w:val="bottom"/>
            <w:gridSpan w:val="3"/>
          </w:tcPr>
          <w:p>
            <w:pPr>
              <w:ind w:left="60"/>
              <w:spacing w:after="0" w:line="135" w:lineRule="exact"/>
              <w:rPr>
                <w:sz w:val="20"/>
                <w:szCs w:val="20"/>
                <w:color w:val="auto"/>
              </w:rPr>
            </w:pPr>
            <w:r>
              <w:rPr>
                <w:rFonts w:ascii="Arial" w:cs="Arial" w:eastAsia="Arial" w:hAnsi="Arial"/>
                <w:sz w:val="13"/>
                <w:szCs w:val="13"/>
                <w:b w:val="1"/>
                <w:bCs w:val="1"/>
                <w:color w:val="auto"/>
              </w:rPr>
              <w:t>Average Daily</w:t>
            </w:r>
          </w:p>
        </w:tc>
        <w:tc>
          <w:tcPr>
            <w:tcW w:w="160" w:type="dxa"/>
            <w:vAlign w:val="bottom"/>
          </w:tcPr>
          <w:p>
            <w:pPr>
              <w:spacing w:after="0"/>
              <w:rPr>
                <w:sz w:val="11"/>
                <w:szCs w:val="11"/>
                <w:color w:val="auto"/>
              </w:rPr>
            </w:pPr>
          </w:p>
        </w:tc>
        <w:tc>
          <w:tcPr>
            <w:tcW w:w="740" w:type="dxa"/>
            <w:vAlign w:val="bottom"/>
          </w:tcPr>
          <w:p>
            <w:pPr>
              <w:jc w:val="right"/>
              <w:ind w:right="190"/>
              <w:spacing w:after="0" w:line="135" w:lineRule="exact"/>
              <w:rPr>
                <w:sz w:val="20"/>
                <w:szCs w:val="20"/>
                <w:color w:val="auto"/>
              </w:rPr>
            </w:pPr>
            <w:r>
              <w:rPr>
                <w:rFonts w:ascii="Arial" w:cs="Arial" w:eastAsia="Arial" w:hAnsi="Arial"/>
                <w:sz w:val="13"/>
                <w:szCs w:val="13"/>
                <w:b w:val="1"/>
                <w:bCs w:val="1"/>
                <w:color w:val="auto"/>
              </w:rPr>
              <w:t>Ending</w:t>
            </w:r>
          </w:p>
        </w:tc>
        <w:tc>
          <w:tcPr>
            <w:tcW w:w="100" w:type="dxa"/>
            <w:vAlign w:val="bottom"/>
          </w:tcPr>
          <w:p>
            <w:pPr>
              <w:spacing w:after="0"/>
              <w:rPr>
                <w:sz w:val="11"/>
                <w:szCs w:val="11"/>
                <w:color w:val="auto"/>
              </w:rPr>
            </w:pPr>
          </w:p>
        </w:tc>
        <w:tc>
          <w:tcPr>
            <w:tcW w:w="90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8"/>
              </w:rPr>
              <w:t>during the</w:t>
            </w:r>
          </w:p>
        </w:tc>
        <w:tc>
          <w:tcPr>
            <w:tcW w:w="102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8"/>
              </w:rPr>
              <w:t>during the</w:t>
            </w:r>
          </w:p>
        </w:tc>
        <w:tc>
          <w:tcPr>
            <w:tcW w:w="90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7"/>
              </w:rPr>
              <w:t>Period End</w:t>
            </w:r>
          </w:p>
        </w:tc>
        <w:tc>
          <w:tcPr>
            <w:tcW w:w="80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7"/>
              </w:rPr>
              <w:t>Period End</w:t>
            </w:r>
          </w:p>
        </w:tc>
        <w:tc>
          <w:tcPr>
            <w:tcW w:w="0" w:type="dxa"/>
            <w:vAlign w:val="bottom"/>
          </w:tcPr>
          <w:p>
            <w:pPr>
              <w:spacing w:after="0"/>
              <w:rPr>
                <w:sz w:val="1"/>
                <w:szCs w:val="1"/>
                <w:color w:val="auto"/>
              </w:rPr>
            </w:pPr>
          </w:p>
        </w:tc>
      </w:tr>
      <w:tr>
        <w:trPr>
          <w:trHeight w:val="162"/>
        </w:trPr>
        <w:tc>
          <w:tcPr>
            <w:tcW w:w="2520" w:type="dxa"/>
            <w:vAlign w:val="bottom"/>
            <w:tcBorders>
              <w:bottom w:val="single" w:sz="8" w:color="auto"/>
            </w:tcBorders>
            <w:vMerge w:val="continue"/>
          </w:tcPr>
          <w:p>
            <w:pPr>
              <w:spacing w:after="0"/>
              <w:rPr>
                <w:sz w:val="14"/>
                <w:szCs w:val="14"/>
                <w:color w:val="auto"/>
              </w:rPr>
            </w:pPr>
          </w:p>
        </w:tc>
        <w:tc>
          <w:tcPr>
            <w:tcW w:w="120" w:type="dxa"/>
            <w:vAlign w:val="bottom"/>
            <w:tcBorders>
              <w:bottom w:val="single" w:sz="8" w:color="CCEEFF"/>
            </w:tcBorders>
            <w:vMerge w:val="continue"/>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29"/>
              <w:spacing w:after="0"/>
              <w:rPr>
                <w:sz w:val="20"/>
                <w:szCs w:val="20"/>
                <w:color w:val="auto"/>
              </w:rPr>
            </w:pPr>
            <w:r>
              <w:rPr>
                <w:rFonts w:ascii="Arial" w:cs="Arial" w:eastAsia="Arial" w:hAnsi="Arial"/>
                <w:sz w:val="13"/>
                <w:szCs w:val="13"/>
                <w:b w:val="1"/>
                <w:bCs w:val="1"/>
                <w:color w:val="auto"/>
                <w:w w:val="97"/>
              </w:rPr>
              <w:t>Amount</w:t>
            </w:r>
          </w:p>
        </w:tc>
        <w:tc>
          <w:tcPr>
            <w:tcW w:w="60" w:type="dxa"/>
            <w:vAlign w:val="bottom"/>
            <w:tcBorders>
              <w:bottom w:val="single" w:sz="8" w:color="auto"/>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920" w:type="dxa"/>
            <w:vAlign w:val="bottom"/>
            <w:tcBorders>
              <w:bottom w:val="single" w:sz="8" w:color="auto"/>
            </w:tcBorders>
            <w:gridSpan w:val="2"/>
          </w:tcPr>
          <w:p>
            <w:pPr>
              <w:jc w:val="center"/>
              <w:spacing w:after="0"/>
              <w:rPr>
                <w:sz w:val="20"/>
                <w:szCs w:val="20"/>
                <w:color w:val="auto"/>
              </w:rPr>
            </w:pPr>
            <w:r>
              <w:rPr>
                <w:rFonts w:ascii="Arial" w:cs="Arial" w:eastAsia="Arial" w:hAnsi="Arial"/>
                <w:sz w:val="13"/>
                <w:szCs w:val="13"/>
                <w:b w:val="1"/>
                <w:bCs w:val="1"/>
                <w:color w:val="auto"/>
                <w:w w:val="90"/>
              </w:rPr>
              <w:t>Daily Amount</w:t>
            </w:r>
          </w:p>
        </w:tc>
        <w:tc>
          <w:tcPr>
            <w:tcW w:w="12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170"/>
              <w:spacing w:after="0"/>
              <w:rPr>
                <w:sz w:val="20"/>
                <w:szCs w:val="20"/>
                <w:color w:val="auto"/>
              </w:rPr>
            </w:pPr>
            <w:r>
              <w:rPr>
                <w:rFonts w:ascii="Arial" w:cs="Arial" w:eastAsia="Arial" w:hAnsi="Arial"/>
                <w:sz w:val="13"/>
                <w:szCs w:val="13"/>
                <w:b w:val="1"/>
                <w:bCs w:val="1"/>
                <w:color w:val="auto"/>
              </w:rPr>
              <w:t>Amount</w:t>
            </w:r>
          </w:p>
        </w:tc>
        <w:tc>
          <w:tcPr>
            <w:tcW w:w="12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170"/>
              <w:spacing w:after="0"/>
              <w:rPr>
                <w:sz w:val="20"/>
                <w:szCs w:val="20"/>
                <w:color w:val="auto"/>
              </w:rPr>
            </w:pPr>
            <w:r>
              <w:rPr>
                <w:rFonts w:ascii="Arial" w:cs="Arial" w:eastAsia="Arial" w:hAnsi="Arial"/>
                <w:sz w:val="13"/>
                <w:szCs w:val="13"/>
                <w:b w:val="1"/>
                <w:bCs w:val="1"/>
                <w:color w:val="auto"/>
                <w:w w:val="97"/>
              </w:rPr>
              <w:t>Amount</w:t>
            </w:r>
          </w:p>
        </w:tc>
        <w:tc>
          <w:tcPr>
            <w:tcW w:w="10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170"/>
              <w:spacing w:after="0"/>
              <w:rPr>
                <w:sz w:val="20"/>
                <w:szCs w:val="20"/>
                <w:color w:val="auto"/>
              </w:rPr>
            </w:pPr>
            <w:r>
              <w:rPr>
                <w:rFonts w:ascii="Arial" w:cs="Arial" w:eastAsia="Arial" w:hAnsi="Arial"/>
                <w:sz w:val="13"/>
                <w:szCs w:val="13"/>
                <w:b w:val="1"/>
                <w:bCs w:val="1"/>
                <w:color w:val="auto"/>
                <w:w w:val="97"/>
              </w:rPr>
              <w:t>Amount</w:t>
            </w:r>
          </w:p>
        </w:tc>
        <w:tc>
          <w:tcPr>
            <w:tcW w:w="100" w:type="dxa"/>
            <w:vAlign w:val="bottom"/>
            <w:tcBorders>
              <w:bottom w:val="single" w:sz="8" w:color="CCEEFF"/>
            </w:tcBorders>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0"/>
              </w:rPr>
              <w:t xml:space="preserve">Period </w:t>
            </w:r>
            <w:r>
              <w:rPr>
                <w:rFonts w:ascii="Arial" w:cs="Arial" w:eastAsia="Arial" w:hAnsi="Arial"/>
                <w:sz w:val="8"/>
                <w:szCs w:val="8"/>
                <w:b w:val="1"/>
                <w:bCs w:val="1"/>
                <w:color w:val="auto"/>
                <w:w w:val="90"/>
              </w:rPr>
              <w:t>1,3</w:t>
            </w:r>
          </w:p>
        </w:tc>
        <w:tc>
          <w:tcPr>
            <w:tcW w:w="100" w:type="dxa"/>
            <w:vAlign w:val="bottom"/>
            <w:tcBorders>
              <w:bottom w:val="single" w:sz="8" w:color="CCEEFF"/>
            </w:tcBorders>
          </w:tcPr>
          <w:p>
            <w:pPr>
              <w:spacing w:after="0"/>
              <w:rPr>
                <w:sz w:val="14"/>
                <w:szCs w:val="14"/>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0"/>
              </w:rPr>
              <w:t xml:space="preserve">Period </w:t>
            </w:r>
            <w:r>
              <w:rPr>
                <w:rFonts w:ascii="Arial" w:cs="Arial" w:eastAsia="Arial" w:hAnsi="Arial"/>
                <w:sz w:val="8"/>
                <w:szCs w:val="8"/>
                <w:b w:val="1"/>
                <w:bCs w:val="1"/>
                <w:color w:val="auto"/>
                <w:w w:val="90"/>
              </w:rPr>
              <w:t>1,4</w:t>
            </w:r>
          </w:p>
        </w:tc>
        <w:tc>
          <w:tcPr>
            <w:tcW w:w="100" w:type="dxa"/>
            <w:vAlign w:val="bottom"/>
            <w:tcBorders>
              <w:bottom w:val="single" w:sz="8" w:color="CCEEFF"/>
            </w:tcBorders>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9"/>
                <w:szCs w:val="9"/>
                <w:b w:val="1"/>
                <w:bCs w:val="1"/>
                <w:color w:val="auto"/>
                <w:w w:val="95"/>
              </w:rPr>
              <w:t>1,5</w:t>
            </w:r>
          </w:p>
        </w:tc>
        <w:tc>
          <w:tcPr>
            <w:tcW w:w="100" w:type="dxa"/>
            <w:vAlign w:val="bottom"/>
            <w:tcBorders>
              <w:bottom w:val="single" w:sz="8" w:color="CCEEFF"/>
            </w:tcBorders>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9"/>
                <w:szCs w:val="9"/>
                <w:b w:val="1"/>
                <w:bCs w:val="1"/>
                <w:color w:val="auto"/>
                <w:w w:val="95"/>
              </w:rPr>
              <w:t>1,6</w:t>
            </w:r>
          </w:p>
        </w:tc>
        <w:tc>
          <w:tcPr>
            <w:tcW w:w="0" w:type="dxa"/>
            <w:vAlign w:val="bottom"/>
          </w:tcPr>
          <w:p>
            <w:pPr>
              <w:spacing w:after="0"/>
              <w:rPr>
                <w:sz w:val="1"/>
                <w:szCs w:val="1"/>
                <w:color w:val="auto"/>
              </w:rPr>
            </w:pPr>
          </w:p>
        </w:tc>
      </w:tr>
      <w:tr>
        <w:trPr>
          <w:trHeight w:val="250"/>
        </w:trPr>
        <w:tc>
          <w:tcPr>
            <w:tcW w:w="26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December 31, 2015</w:t>
            </w:r>
          </w:p>
        </w:tc>
        <w:tc>
          <w:tcPr>
            <w:tcW w:w="1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47,018</w:t>
            </w:r>
          </w:p>
        </w:tc>
        <w:tc>
          <w:tcPr>
            <w:tcW w:w="32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50,078</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46,077</w:t>
            </w:r>
          </w:p>
        </w:tc>
        <w:tc>
          <w:tcPr>
            <w:tcW w:w="12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7,796</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7,430</w:t>
            </w:r>
          </w:p>
        </w:tc>
        <w:tc>
          <w:tcPr>
            <w:tcW w:w="900" w:type="dxa"/>
            <w:vAlign w:val="bottom"/>
            <w:gridSpan w:val="2"/>
            <w:shd w:val="clear" w:color="auto" w:fill="CCEEFF"/>
          </w:tcPr>
          <w:p>
            <w:pPr>
              <w:jc w:val="center"/>
              <w:ind w:left="28"/>
              <w:spacing w:after="0"/>
              <w:rPr>
                <w:sz w:val="20"/>
                <w:szCs w:val="20"/>
                <w:color w:val="auto"/>
              </w:rPr>
            </w:pPr>
            <w:r>
              <w:rPr>
                <w:rFonts w:ascii="Arial" w:cs="Arial" w:eastAsia="Arial" w:hAnsi="Arial"/>
                <w:sz w:val="14"/>
                <w:szCs w:val="14"/>
                <w:color w:val="auto"/>
                <w:w w:val="89"/>
              </w:rPr>
              <w:t>5.8:1</w:t>
            </w:r>
          </w:p>
        </w:tc>
        <w:tc>
          <w:tcPr>
            <w:tcW w:w="100" w:type="dxa"/>
            <w:vAlign w:val="bottom"/>
            <w:shd w:val="clear" w:color="auto" w:fill="CCEEFF"/>
          </w:tcPr>
          <w:p>
            <w:pPr>
              <w:spacing w:after="0"/>
              <w:rPr>
                <w:sz w:val="21"/>
                <w:szCs w:val="21"/>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6.8:1</w:t>
            </w:r>
          </w:p>
        </w:tc>
        <w:tc>
          <w:tcPr>
            <w:tcW w:w="100" w:type="dxa"/>
            <w:vAlign w:val="bottom"/>
            <w:shd w:val="clear" w:color="auto" w:fill="CCEEFF"/>
          </w:tcPr>
          <w:p>
            <w:pPr>
              <w:spacing w:after="0"/>
              <w:rPr>
                <w:sz w:val="21"/>
                <w:szCs w:val="21"/>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5.8:1</w:t>
            </w:r>
          </w:p>
        </w:tc>
        <w:tc>
          <w:tcPr>
            <w:tcW w:w="100" w:type="dxa"/>
            <w:vAlign w:val="bottom"/>
            <w:shd w:val="clear" w:color="auto" w:fill="CCEEFF"/>
          </w:tcPr>
          <w:p>
            <w:pPr>
              <w:spacing w:after="0"/>
              <w:rPr>
                <w:sz w:val="21"/>
                <w:szCs w:val="21"/>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6.8:1</w:t>
            </w:r>
          </w:p>
        </w:tc>
        <w:tc>
          <w:tcPr>
            <w:tcW w:w="0" w:type="dxa"/>
            <w:vAlign w:val="bottom"/>
          </w:tcPr>
          <w:p>
            <w:pPr>
              <w:spacing w:after="0"/>
              <w:rPr>
                <w:sz w:val="1"/>
                <w:szCs w:val="1"/>
                <w:color w:val="auto"/>
              </w:rPr>
            </w:pPr>
          </w:p>
        </w:tc>
      </w:tr>
      <w:tr>
        <w:trPr>
          <w:trHeight w:val="264"/>
        </w:trPr>
        <w:tc>
          <w:tcPr>
            <w:tcW w:w="2640" w:type="dxa"/>
            <w:vAlign w:val="bottom"/>
            <w:gridSpan w:val="2"/>
          </w:tcPr>
          <w:p>
            <w:pPr>
              <w:ind w:left="40"/>
              <w:spacing w:after="0"/>
              <w:rPr>
                <w:sz w:val="20"/>
                <w:szCs w:val="20"/>
                <w:color w:val="auto"/>
              </w:rPr>
            </w:pPr>
            <w:r>
              <w:rPr>
                <w:rFonts w:ascii="Arial" w:cs="Arial" w:eastAsia="Arial" w:hAnsi="Arial"/>
                <w:sz w:val="14"/>
                <w:szCs w:val="14"/>
                <w:color w:val="auto"/>
              </w:rPr>
              <w:t>September 30, 2015</w:t>
            </w:r>
          </w:p>
        </w:tc>
        <w:tc>
          <w:tcPr>
            <w:tcW w:w="18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43,308</w:t>
            </w:r>
          </w:p>
        </w:tc>
        <w:tc>
          <w:tcPr>
            <w:tcW w:w="32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49"/>
              <w:spacing w:after="0"/>
              <w:rPr>
                <w:sz w:val="20"/>
                <w:szCs w:val="20"/>
                <w:color w:val="auto"/>
              </w:rPr>
            </w:pPr>
            <w:r>
              <w:rPr>
                <w:rFonts w:ascii="Arial" w:cs="Arial" w:eastAsia="Arial" w:hAnsi="Arial"/>
                <w:sz w:val="14"/>
                <w:szCs w:val="14"/>
                <w:color w:val="auto"/>
              </w:rPr>
              <w:t>46,049</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50"/>
              <w:spacing w:after="0"/>
              <w:rPr>
                <w:sz w:val="20"/>
                <w:szCs w:val="20"/>
                <w:color w:val="auto"/>
              </w:rPr>
            </w:pPr>
            <w:r>
              <w:rPr>
                <w:rFonts w:ascii="Arial" w:cs="Arial" w:eastAsia="Arial" w:hAnsi="Arial"/>
                <w:sz w:val="14"/>
                <w:szCs w:val="14"/>
                <w:color w:val="auto"/>
              </w:rPr>
              <w:t>44,683</w:t>
            </w:r>
          </w:p>
        </w:tc>
        <w:tc>
          <w:tcPr>
            <w:tcW w:w="12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50"/>
              <w:spacing w:after="0"/>
              <w:rPr>
                <w:sz w:val="20"/>
                <w:szCs w:val="20"/>
                <w:color w:val="auto"/>
              </w:rPr>
            </w:pPr>
            <w:r>
              <w:rPr>
                <w:rFonts w:ascii="Arial" w:cs="Arial" w:eastAsia="Arial" w:hAnsi="Arial"/>
                <w:sz w:val="14"/>
                <w:szCs w:val="14"/>
                <w:color w:val="auto"/>
              </w:rPr>
              <w:t>9,434</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50"/>
              <w:spacing w:after="0"/>
              <w:rPr>
                <w:sz w:val="20"/>
                <w:szCs w:val="20"/>
                <w:color w:val="auto"/>
              </w:rPr>
            </w:pPr>
            <w:r>
              <w:rPr>
                <w:rFonts w:ascii="Arial" w:cs="Arial" w:eastAsia="Arial" w:hAnsi="Arial"/>
                <w:sz w:val="14"/>
                <w:szCs w:val="14"/>
                <w:color w:val="auto"/>
              </w:rPr>
              <w:t>7,265</w:t>
            </w:r>
          </w:p>
        </w:tc>
        <w:tc>
          <w:tcPr>
            <w:tcW w:w="900" w:type="dxa"/>
            <w:vAlign w:val="bottom"/>
            <w:gridSpan w:val="2"/>
          </w:tcPr>
          <w:p>
            <w:pPr>
              <w:jc w:val="center"/>
              <w:ind w:left="28"/>
              <w:spacing w:after="0"/>
              <w:rPr>
                <w:sz w:val="20"/>
                <w:szCs w:val="20"/>
                <w:color w:val="auto"/>
              </w:rPr>
            </w:pPr>
            <w:r>
              <w:rPr>
                <w:rFonts w:ascii="Arial" w:cs="Arial" w:eastAsia="Arial" w:hAnsi="Arial"/>
                <w:sz w:val="14"/>
                <w:szCs w:val="14"/>
                <w:color w:val="auto"/>
                <w:w w:val="89"/>
              </w:rPr>
              <w:t>5.1:1</w:t>
            </w:r>
          </w:p>
        </w:tc>
        <w:tc>
          <w:tcPr>
            <w:tcW w:w="100" w:type="dxa"/>
            <w:vAlign w:val="bottom"/>
          </w:tcPr>
          <w:p>
            <w:pPr>
              <w:spacing w:after="0"/>
              <w:rPr>
                <w:sz w:val="22"/>
                <w:szCs w:val="22"/>
                <w:color w:val="auto"/>
              </w:rPr>
            </w:pPr>
          </w:p>
        </w:tc>
        <w:tc>
          <w:tcPr>
            <w:tcW w:w="920" w:type="dxa"/>
            <w:vAlign w:val="bottom"/>
          </w:tcPr>
          <w:p>
            <w:pPr>
              <w:jc w:val="center"/>
              <w:spacing w:after="0"/>
              <w:rPr>
                <w:sz w:val="20"/>
                <w:szCs w:val="20"/>
                <w:color w:val="auto"/>
              </w:rPr>
            </w:pPr>
            <w:r>
              <w:rPr>
                <w:rFonts w:ascii="Arial" w:cs="Arial" w:eastAsia="Arial" w:hAnsi="Arial"/>
                <w:sz w:val="14"/>
                <w:szCs w:val="14"/>
                <w:color w:val="auto"/>
                <w:w w:val="89"/>
              </w:rPr>
              <w:t>6.2:1</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89"/>
              </w:rPr>
              <w:t>5.9:1</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89"/>
              </w:rPr>
              <w:t>6.8:1</w:t>
            </w:r>
          </w:p>
        </w:tc>
        <w:tc>
          <w:tcPr>
            <w:tcW w:w="0" w:type="dxa"/>
            <w:vAlign w:val="bottom"/>
          </w:tcPr>
          <w:p>
            <w:pPr>
              <w:spacing w:after="0"/>
              <w:rPr>
                <w:sz w:val="1"/>
                <w:szCs w:val="1"/>
                <w:color w:val="auto"/>
              </w:rPr>
            </w:pPr>
          </w:p>
        </w:tc>
      </w:tr>
      <w:tr>
        <w:trPr>
          <w:trHeight w:val="276"/>
        </w:trPr>
        <w:tc>
          <w:tcPr>
            <w:tcW w:w="26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June 30, 2015</w:t>
            </w:r>
          </w:p>
        </w:tc>
        <w:tc>
          <w:tcPr>
            <w:tcW w:w="1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50,410</w:t>
            </w:r>
          </w:p>
        </w:tc>
        <w:tc>
          <w:tcPr>
            <w:tcW w:w="32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55,097</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45,860</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5,973</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7,104</w:t>
            </w:r>
          </w:p>
        </w:tc>
        <w:tc>
          <w:tcPr>
            <w:tcW w:w="900" w:type="dxa"/>
            <w:vAlign w:val="bottom"/>
            <w:gridSpan w:val="2"/>
            <w:shd w:val="clear" w:color="auto" w:fill="CCEEFF"/>
          </w:tcPr>
          <w:p>
            <w:pPr>
              <w:jc w:val="center"/>
              <w:ind w:left="28"/>
              <w:spacing w:after="0"/>
              <w:rPr>
                <w:sz w:val="20"/>
                <w:szCs w:val="20"/>
                <w:color w:val="auto"/>
              </w:rPr>
            </w:pPr>
            <w:r>
              <w:rPr>
                <w:rFonts w:ascii="Arial" w:cs="Arial" w:eastAsia="Arial" w:hAnsi="Arial"/>
                <w:sz w:val="14"/>
                <w:szCs w:val="14"/>
                <w:color w:val="auto"/>
                <w:w w:val="89"/>
              </w:rPr>
              <w:t>5.6:1</w:t>
            </w:r>
          </w:p>
        </w:tc>
        <w:tc>
          <w:tcPr>
            <w:tcW w:w="100" w:type="dxa"/>
            <w:vAlign w:val="bottom"/>
            <w:shd w:val="clear" w:color="auto" w:fill="CCEEFF"/>
          </w:tcPr>
          <w:p>
            <w:pPr>
              <w:spacing w:after="0"/>
              <w:rPr>
                <w:sz w:val="24"/>
                <w:szCs w:val="24"/>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6.2:1</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5.3:1</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6.1:1</w:t>
            </w:r>
          </w:p>
        </w:tc>
        <w:tc>
          <w:tcPr>
            <w:tcW w:w="0" w:type="dxa"/>
            <w:vAlign w:val="bottom"/>
          </w:tcPr>
          <w:p>
            <w:pPr>
              <w:spacing w:after="0"/>
              <w:rPr>
                <w:sz w:val="1"/>
                <w:szCs w:val="1"/>
                <w:color w:val="auto"/>
              </w:rPr>
            </w:pPr>
          </w:p>
        </w:tc>
      </w:tr>
      <w:tr>
        <w:trPr>
          <w:trHeight w:val="264"/>
        </w:trPr>
        <w:tc>
          <w:tcPr>
            <w:tcW w:w="2640" w:type="dxa"/>
            <w:vAlign w:val="bottom"/>
            <w:gridSpan w:val="2"/>
          </w:tcPr>
          <w:p>
            <w:pPr>
              <w:ind w:left="40"/>
              <w:spacing w:after="0"/>
              <w:rPr>
                <w:sz w:val="20"/>
                <w:szCs w:val="20"/>
                <w:color w:val="auto"/>
              </w:rPr>
            </w:pPr>
            <w:r>
              <w:rPr>
                <w:rFonts w:ascii="Arial" w:cs="Arial" w:eastAsia="Arial" w:hAnsi="Arial"/>
                <w:sz w:val="14"/>
                <w:szCs w:val="14"/>
                <w:color w:val="auto"/>
              </w:rPr>
              <w:t>March 31, 2015</w:t>
            </w:r>
          </w:p>
        </w:tc>
        <w:tc>
          <w:tcPr>
            <w:tcW w:w="18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53,963</w:t>
            </w:r>
          </w:p>
        </w:tc>
        <w:tc>
          <w:tcPr>
            <w:tcW w:w="32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49"/>
              <w:spacing w:after="0"/>
              <w:rPr>
                <w:sz w:val="20"/>
                <w:szCs w:val="20"/>
                <w:color w:val="auto"/>
              </w:rPr>
            </w:pPr>
            <w:r>
              <w:rPr>
                <w:rFonts w:ascii="Arial" w:cs="Arial" w:eastAsia="Arial" w:hAnsi="Arial"/>
                <w:sz w:val="14"/>
                <w:szCs w:val="14"/>
                <w:color w:val="auto"/>
              </w:rPr>
              <w:t>58,217</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50"/>
              <w:spacing w:after="0"/>
              <w:rPr>
                <w:sz w:val="20"/>
                <w:szCs w:val="20"/>
                <w:color w:val="auto"/>
              </w:rPr>
            </w:pPr>
            <w:r>
              <w:rPr>
                <w:rFonts w:ascii="Arial" w:cs="Arial" w:eastAsia="Arial" w:hAnsi="Arial"/>
                <w:sz w:val="14"/>
                <w:szCs w:val="14"/>
                <w:color w:val="auto"/>
              </w:rPr>
              <w:t>55,056</w:t>
            </w:r>
          </w:p>
        </w:tc>
        <w:tc>
          <w:tcPr>
            <w:tcW w:w="12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50"/>
              <w:spacing w:after="0"/>
              <w:rPr>
                <w:sz w:val="20"/>
                <w:szCs w:val="20"/>
                <w:color w:val="auto"/>
              </w:rPr>
            </w:pPr>
            <w:r>
              <w:rPr>
                <w:rFonts w:ascii="Arial" w:cs="Arial" w:eastAsia="Arial" w:hAnsi="Arial"/>
                <w:sz w:val="14"/>
                <w:szCs w:val="14"/>
                <w:color w:val="auto"/>
              </w:rPr>
              <w:t>6,957</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50"/>
              <w:spacing w:after="0"/>
              <w:rPr>
                <w:sz w:val="20"/>
                <w:szCs w:val="20"/>
                <w:color w:val="auto"/>
              </w:rPr>
            </w:pPr>
            <w:r>
              <w:rPr>
                <w:rFonts w:ascii="Arial" w:cs="Arial" w:eastAsia="Arial" w:hAnsi="Arial"/>
                <w:sz w:val="14"/>
                <w:szCs w:val="14"/>
                <w:color w:val="auto"/>
              </w:rPr>
              <w:t>4,815</w:t>
            </w:r>
          </w:p>
        </w:tc>
        <w:tc>
          <w:tcPr>
            <w:tcW w:w="900" w:type="dxa"/>
            <w:vAlign w:val="bottom"/>
            <w:gridSpan w:val="2"/>
          </w:tcPr>
          <w:p>
            <w:pPr>
              <w:jc w:val="center"/>
              <w:ind w:left="28"/>
              <w:spacing w:after="0"/>
              <w:rPr>
                <w:sz w:val="20"/>
                <w:szCs w:val="20"/>
                <w:color w:val="auto"/>
              </w:rPr>
            </w:pPr>
            <w:r>
              <w:rPr>
                <w:rFonts w:ascii="Arial" w:cs="Arial" w:eastAsia="Arial" w:hAnsi="Arial"/>
                <w:sz w:val="14"/>
                <w:szCs w:val="14"/>
                <w:color w:val="auto"/>
                <w:w w:val="89"/>
              </w:rPr>
              <w:t>5.8:1</w:t>
            </w:r>
          </w:p>
        </w:tc>
        <w:tc>
          <w:tcPr>
            <w:tcW w:w="100" w:type="dxa"/>
            <w:vAlign w:val="bottom"/>
          </w:tcPr>
          <w:p>
            <w:pPr>
              <w:spacing w:after="0"/>
              <w:rPr>
                <w:sz w:val="22"/>
                <w:szCs w:val="22"/>
                <w:color w:val="auto"/>
              </w:rPr>
            </w:pPr>
          </w:p>
        </w:tc>
        <w:tc>
          <w:tcPr>
            <w:tcW w:w="920" w:type="dxa"/>
            <w:vAlign w:val="bottom"/>
          </w:tcPr>
          <w:p>
            <w:pPr>
              <w:jc w:val="center"/>
              <w:spacing w:after="0"/>
              <w:rPr>
                <w:sz w:val="20"/>
                <w:szCs w:val="20"/>
                <w:color w:val="auto"/>
              </w:rPr>
            </w:pPr>
            <w:r>
              <w:rPr>
                <w:rFonts w:ascii="Arial" w:cs="Arial" w:eastAsia="Arial" w:hAnsi="Arial"/>
                <w:sz w:val="14"/>
                <w:szCs w:val="14"/>
                <w:color w:val="auto"/>
                <w:w w:val="89"/>
              </w:rPr>
              <w:t>6.5:1</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89"/>
              </w:rPr>
              <w:t>5.8:1</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89"/>
              </w:rPr>
              <w:t>6.4:1</w:t>
            </w:r>
          </w:p>
        </w:tc>
        <w:tc>
          <w:tcPr>
            <w:tcW w:w="0" w:type="dxa"/>
            <w:vAlign w:val="bottom"/>
          </w:tcPr>
          <w:p>
            <w:pPr>
              <w:spacing w:after="0"/>
              <w:rPr>
                <w:sz w:val="1"/>
                <w:szCs w:val="1"/>
                <w:color w:val="auto"/>
              </w:rPr>
            </w:pPr>
          </w:p>
        </w:tc>
      </w:tr>
      <w:tr>
        <w:trPr>
          <w:trHeight w:val="276"/>
        </w:trPr>
        <w:tc>
          <w:tcPr>
            <w:tcW w:w="26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December 31, 2014</w:t>
            </w:r>
          </w:p>
        </w:tc>
        <w:tc>
          <w:tcPr>
            <w:tcW w:w="1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45,554</w:t>
            </w:r>
          </w:p>
        </w:tc>
        <w:tc>
          <w:tcPr>
            <w:tcW w:w="32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49,170</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49,150</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18,492</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14,576</w:t>
            </w:r>
          </w:p>
        </w:tc>
        <w:tc>
          <w:tcPr>
            <w:tcW w:w="900" w:type="dxa"/>
            <w:vAlign w:val="bottom"/>
            <w:gridSpan w:val="2"/>
            <w:shd w:val="clear" w:color="auto" w:fill="CCEEFF"/>
          </w:tcPr>
          <w:p>
            <w:pPr>
              <w:jc w:val="center"/>
              <w:ind w:left="28"/>
              <w:spacing w:after="0"/>
              <w:rPr>
                <w:sz w:val="20"/>
                <w:szCs w:val="20"/>
                <w:color w:val="auto"/>
              </w:rPr>
            </w:pPr>
            <w:r>
              <w:rPr>
                <w:rFonts w:ascii="Arial" w:cs="Arial" w:eastAsia="Arial" w:hAnsi="Arial"/>
                <w:sz w:val="14"/>
                <w:szCs w:val="14"/>
                <w:color w:val="auto"/>
                <w:w w:val="89"/>
              </w:rPr>
              <w:t>4.9:1</w:t>
            </w:r>
          </w:p>
        </w:tc>
        <w:tc>
          <w:tcPr>
            <w:tcW w:w="100" w:type="dxa"/>
            <w:vAlign w:val="bottom"/>
            <w:shd w:val="clear" w:color="auto" w:fill="CCEEFF"/>
          </w:tcPr>
          <w:p>
            <w:pPr>
              <w:spacing w:after="0"/>
              <w:rPr>
                <w:sz w:val="24"/>
                <w:szCs w:val="24"/>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6.9:1</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5.3:1</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6.9:1</w:t>
            </w:r>
          </w:p>
        </w:tc>
        <w:tc>
          <w:tcPr>
            <w:tcW w:w="0" w:type="dxa"/>
            <w:vAlign w:val="bottom"/>
          </w:tcPr>
          <w:p>
            <w:pPr>
              <w:spacing w:after="0"/>
              <w:rPr>
                <w:sz w:val="1"/>
                <w:szCs w:val="1"/>
                <w:color w:val="auto"/>
              </w:rPr>
            </w:pPr>
          </w:p>
        </w:tc>
      </w:tr>
      <w:tr>
        <w:trPr>
          <w:trHeight w:val="264"/>
        </w:trPr>
        <w:tc>
          <w:tcPr>
            <w:tcW w:w="2640" w:type="dxa"/>
            <w:vAlign w:val="bottom"/>
            <w:gridSpan w:val="2"/>
          </w:tcPr>
          <w:p>
            <w:pPr>
              <w:ind w:left="40"/>
              <w:spacing w:after="0"/>
              <w:rPr>
                <w:sz w:val="20"/>
                <w:szCs w:val="20"/>
                <w:color w:val="auto"/>
              </w:rPr>
            </w:pPr>
            <w:r>
              <w:rPr>
                <w:rFonts w:ascii="Arial" w:cs="Arial" w:eastAsia="Arial" w:hAnsi="Arial"/>
                <w:sz w:val="14"/>
                <w:szCs w:val="14"/>
                <w:color w:val="auto"/>
              </w:rPr>
              <w:t>September 30, 2014</w:t>
            </w:r>
          </w:p>
        </w:tc>
        <w:tc>
          <w:tcPr>
            <w:tcW w:w="18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46,694</w:t>
            </w:r>
          </w:p>
        </w:tc>
        <w:tc>
          <w:tcPr>
            <w:tcW w:w="32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49"/>
              <w:spacing w:after="0"/>
              <w:rPr>
                <w:sz w:val="20"/>
                <w:szCs w:val="20"/>
                <w:color w:val="auto"/>
              </w:rPr>
            </w:pPr>
            <w:r>
              <w:rPr>
                <w:rFonts w:ascii="Arial" w:cs="Arial" w:eastAsia="Arial" w:hAnsi="Arial"/>
                <w:sz w:val="14"/>
                <w:szCs w:val="14"/>
                <w:color w:val="auto"/>
              </w:rPr>
              <w:t>50,989</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50"/>
              <w:spacing w:after="0"/>
              <w:rPr>
                <w:sz w:val="20"/>
                <w:szCs w:val="20"/>
                <w:color w:val="auto"/>
              </w:rPr>
            </w:pPr>
            <w:r>
              <w:rPr>
                <w:rFonts w:ascii="Arial" w:cs="Arial" w:eastAsia="Arial" w:hAnsi="Arial"/>
                <w:sz w:val="14"/>
                <w:szCs w:val="14"/>
                <w:color w:val="auto"/>
              </w:rPr>
              <w:t>44,368</w:t>
            </w:r>
          </w:p>
        </w:tc>
        <w:tc>
          <w:tcPr>
            <w:tcW w:w="12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50"/>
              <w:spacing w:after="0"/>
              <w:rPr>
                <w:sz w:val="20"/>
                <w:szCs w:val="20"/>
                <w:color w:val="auto"/>
              </w:rPr>
            </w:pPr>
            <w:r>
              <w:rPr>
                <w:rFonts w:ascii="Arial" w:cs="Arial" w:eastAsia="Arial" w:hAnsi="Arial"/>
                <w:sz w:val="14"/>
                <w:szCs w:val="14"/>
                <w:color w:val="auto"/>
              </w:rPr>
              <w:t>15,680</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50"/>
              <w:spacing w:after="0"/>
              <w:rPr>
                <w:sz w:val="20"/>
                <w:szCs w:val="20"/>
                <w:color w:val="auto"/>
              </w:rPr>
            </w:pPr>
            <w:r>
              <w:rPr>
                <w:rFonts w:ascii="Arial" w:cs="Arial" w:eastAsia="Arial" w:hAnsi="Arial"/>
                <w:sz w:val="14"/>
                <w:szCs w:val="14"/>
                <w:color w:val="auto"/>
              </w:rPr>
              <w:t>17,769</w:t>
            </w:r>
          </w:p>
        </w:tc>
        <w:tc>
          <w:tcPr>
            <w:tcW w:w="900" w:type="dxa"/>
            <w:vAlign w:val="bottom"/>
            <w:gridSpan w:val="2"/>
          </w:tcPr>
          <w:p>
            <w:pPr>
              <w:jc w:val="center"/>
              <w:ind w:left="28"/>
              <w:spacing w:after="0"/>
              <w:rPr>
                <w:sz w:val="20"/>
                <w:szCs w:val="20"/>
                <w:color w:val="auto"/>
              </w:rPr>
            </w:pPr>
            <w:r>
              <w:rPr>
                <w:rFonts w:ascii="Arial" w:cs="Arial" w:eastAsia="Arial" w:hAnsi="Arial"/>
                <w:sz w:val="14"/>
                <w:szCs w:val="14"/>
                <w:color w:val="auto"/>
                <w:w w:val="89"/>
              </w:rPr>
              <w:t>5.0:1</w:t>
            </w:r>
          </w:p>
        </w:tc>
        <w:tc>
          <w:tcPr>
            <w:tcW w:w="100" w:type="dxa"/>
            <w:vAlign w:val="bottom"/>
          </w:tcPr>
          <w:p>
            <w:pPr>
              <w:spacing w:after="0"/>
              <w:rPr>
                <w:sz w:val="22"/>
                <w:szCs w:val="22"/>
                <w:color w:val="auto"/>
              </w:rPr>
            </w:pPr>
          </w:p>
        </w:tc>
        <w:tc>
          <w:tcPr>
            <w:tcW w:w="920" w:type="dxa"/>
            <w:vAlign w:val="bottom"/>
          </w:tcPr>
          <w:p>
            <w:pPr>
              <w:jc w:val="center"/>
              <w:spacing w:after="0"/>
              <w:rPr>
                <w:sz w:val="20"/>
                <w:szCs w:val="20"/>
                <w:color w:val="auto"/>
              </w:rPr>
            </w:pPr>
            <w:r>
              <w:rPr>
                <w:rFonts w:ascii="Arial" w:cs="Arial" w:eastAsia="Arial" w:hAnsi="Arial"/>
                <w:sz w:val="14"/>
                <w:szCs w:val="14"/>
                <w:color w:val="auto"/>
                <w:w w:val="89"/>
              </w:rPr>
              <w:t>6.7:1</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89"/>
              </w:rPr>
              <w:t>4.8:1</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89"/>
              </w:rPr>
              <w:t>6.7:1</w:t>
            </w:r>
          </w:p>
        </w:tc>
        <w:tc>
          <w:tcPr>
            <w:tcW w:w="0" w:type="dxa"/>
            <w:vAlign w:val="bottom"/>
          </w:tcPr>
          <w:p>
            <w:pPr>
              <w:spacing w:after="0"/>
              <w:rPr>
                <w:sz w:val="1"/>
                <w:szCs w:val="1"/>
                <w:color w:val="auto"/>
              </w:rPr>
            </w:pPr>
          </w:p>
        </w:tc>
      </w:tr>
      <w:tr>
        <w:trPr>
          <w:trHeight w:val="276"/>
        </w:trPr>
        <w:tc>
          <w:tcPr>
            <w:tcW w:w="26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June 30, 2014</w:t>
            </w:r>
          </w:p>
        </w:tc>
        <w:tc>
          <w:tcPr>
            <w:tcW w:w="1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50,448</w:t>
            </w:r>
          </w:p>
        </w:tc>
        <w:tc>
          <w:tcPr>
            <w:tcW w:w="32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52,945</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48,362</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13,963</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18,184</w:t>
            </w:r>
          </w:p>
        </w:tc>
        <w:tc>
          <w:tcPr>
            <w:tcW w:w="900" w:type="dxa"/>
            <w:vAlign w:val="bottom"/>
            <w:gridSpan w:val="2"/>
            <w:shd w:val="clear" w:color="auto" w:fill="CCEEFF"/>
          </w:tcPr>
          <w:p>
            <w:pPr>
              <w:jc w:val="center"/>
              <w:ind w:left="28"/>
              <w:spacing w:after="0"/>
              <w:rPr>
                <w:sz w:val="20"/>
                <w:szCs w:val="20"/>
                <w:color w:val="auto"/>
              </w:rPr>
            </w:pPr>
            <w:r>
              <w:rPr>
                <w:rFonts w:ascii="Arial" w:cs="Arial" w:eastAsia="Arial" w:hAnsi="Arial"/>
                <w:sz w:val="14"/>
                <w:szCs w:val="14"/>
                <w:color w:val="auto"/>
                <w:w w:val="89"/>
              </w:rPr>
              <w:t>5.6:1</w:t>
            </w:r>
          </w:p>
        </w:tc>
        <w:tc>
          <w:tcPr>
            <w:tcW w:w="100" w:type="dxa"/>
            <w:vAlign w:val="bottom"/>
            <w:shd w:val="clear" w:color="auto" w:fill="CCEEFF"/>
          </w:tcPr>
          <w:p>
            <w:pPr>
              <w:spacing w:after="0"/>
              <w:rPr>
                <w:sz w:val="24"/>
                <w:szCs w:val="24"/>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7.1:1</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5.0:1</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6.9:1</w:t>
            </w:r>
          </w:p>
        </w:tc>
        <w:tc>
          <w:tcPr>
            <w:tcW w:w="0" w:type="dxa"/>
            <w:vAlign w:val="bottom"/>
          </w:tcPr>
          <w:p>
            <w:pPr>
              <w:spacing w:after="0"/>
              <w:rPr>
                <w:sz w:val="1"/>
                <w:szCs w:val="1"/>
                <w:color w:val="auto"/>
              </w:rPr>
            </w:pPr>
          </w:p>
        </w:tc>
      </w:tr>
      <w:tr>
        <w:trPr>
          <w:trHeight w:val="258"/>
        </w:trPr>
        <w:tc>
          <w:tcPr>
            <w:tcW w:w="2640" w:type="dxa"/>
            <w:vAlign w:val="bottom"/>
            <w:gridSpan w:val="2"/>
          </w:tcPr>
          <w:p>
            <w:pPr>
              <w:ind w:left="40"/>
              <w:spacing w:after="0"/>
              <w:rPr>
                <w:sz w:val="20"/>
                <w:szCs w:val="20"/>
                <w:color w:val="auto"/>
              </w:rPr>
            </w:pPr>
            <w:r>
              <w:rPr>
                <w:rFonts w:ascii="Arial" w:cs="Arial" w:eastAsia="Arial" w:hAnsi="Arial"/>
                <w:sz w:val="14"/>
                <w:szCs w:val="14"/>
                <w:color w:val="auto"/>
              </w:rPr>
              <w:t>March 31, 2014</w:t>
            </w:r>
          </w:p>
        </w:tc>
        <w:tc>
          <w:tcPr>
            <w:tcW w:w="18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57,544</w:t>
            </w:r>
          </w:p>
        </w:tc>
        <w:tc>
          <w:tcPr>
            <w:tcW w:w="32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49"/>
              <w:spacing w:after="0"/>
              <w:rPr>
                <w:sz w:val="20"/>
                <w:szCs w:val="20"/>
                <w:color w:val="auto"/>
              </w:rPr>
            </w:pPr>
            <w:r>
              <w:rPr>
                <w:rFonts w:ascii="Arial" w:cs="Arial" w:eastAsia="Arial" w:hAnsi="Arial"/>
                <w:sz w:val="14"/>
                <w:szCs w:val="14"/>
                <w:color w:val="auto"/>
              </w:rPr>
              <w:t>63,117</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50"/>
              <w:spacing w:after="0"/>
              <w:rPr>
                <w:sz w:val="20"/>
                <w:szCs w:val="20"/>
                <w:color w:val="auto"/>
              </w:rPr>
            </w:pPr>
            <w:r>
              <w:rPr>
                <w:rFonts w:ascii="Arial" w:cs="Arial" w:eastAsia="Arial" w:hAnsi="Arial"/>
                <w:sz w:val="14"/>
                <w:szCs w:val="14"/>
                <w:color w:val="auto"/>
              </w:rPr>
              <w:t>50,454</w:t>
            </w:r>
          </w:p>
        </w:tc>
        <w:tc>
          <w:tcPr>
            <w:tcW w:w="12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50"/>
              <w:spacing w:after="0"/>
              <w:rPr>
                <w:sz w:val="20"/>
                <w:szCs w:val="20"/>
                <w:color w:val="auto"/>
              </w:rPr>
            </w:pPr>
            <w:r>
              <w:rPr>
                <w:rFonts w:ascii="Arial" w:cs="Arial" w:eastAsia="Arial" w:hAnsi="Arial"/>
                <w:sz w:val="14"/>
                <w:szCs w:val="14"/>
                <w:color w:val="auto"/>
              </w:rPr>
              <w:t>4,534</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50"/>
              <w:spacing w:after="0"/>
              <w:rPr>
                <w:sz w:val="20"/>
                <w:szCs w:val="20"/>
                <w:color w:val="auto"/>
              </w:rPr>
            </w:pPr>
            <w:r>
              <w:rPr>
                <w:rFonts w:ascii="Arial" w:cs="Arial" w:eastAsia="Arial" w:hAnsi="Arial"/>
                <w:sz w:val="14"/>
                <w:szCs w:val="14"/>
                <w:color w:val="auto"/>
              </w:rPr>
              <w:t>14,127</w:t>
            </w:r>
          </w:p>
        </w:tc>
        <w:tc>
          <w:tcPr>
            <w:tcW w:w="900" w:type="dxa"/>
            <w:vAlign w:val="bottom"/>
            <w:gridSpan w:val="2"/>
          </w:tcPr>
          <w:p>
            <w:pPr>
              <w:jc w:val="center"/>
              <w:ind w:left="28"/>
              <w:spacing w:after="0"/>
              <w:rPr>
                <w:sz w:val="20"/>
                <w:szCs w:val="20"/>
                <w:color w:val="auto"/>
              </w:rPr>
            </w:pPr>
            <w:r>
              <w:rPr>
                <w:rFonts w:ascii="Arial" w:cs="Arial" w:eastAsia="Arial" w:hAnsi="Arial"/>
                <w:sz w:val="14"/>
                <w:szCs w:val="14"/>
                <w:color w:val="auto"/>
                <w:w w:val="89"/>
              </w:rPr>
              <w:t>6.7:1</w:t>
            </w:r>
          </w:p>
        </w:tc>
        <w:tc>
          <w:tcPr>
            <w:tcW w:w="100" w:type="dxa"/>
            <w:vAlign w:val="bottom"/>
          </w:tcPr>
          <w:p>
            <w:pPr>
              <w:spacing w:after="0"/>
              <w:rPr>
                <w:sz w:val="22"/>
                <w:szCs w:val="22"/>
                <w:color w:val="auto"/>
              </w:rPr>
            </w:pPr>
          </w:p>
        </w:tc>
        <w:tc>
          <w:tcPr>
            <w:tcW w:w="920" w:type="dxa"/>
            <w:vAlign w:val="bottom"/>
          </w:tcPr>
          <w:p>
            <w:pPr>
              <w:jc w:val="center"/>
              <w:spacing w:after="0"/>
              <w:rPr>
                <w:sz w:val="20"/>
                <w:szCs w:val="20"/>
                <w:color w:val="auto"/>
              </w:rPr>
            </w:pPr>
            <w:r>
              <w:rPr>
                <w:rFonts w:ascii="Arial" w:cs="Arial" w:eastAsia="Arial" w:hAnsi="Arial"/>
                <w:sz w:val="14"/>
                <w:szCs w:val="14"/>
                <w:color w:val="auto"/>
                <w:w w:val="89"/>
              </w:rPr>
              <w:t>7.2:1</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89"/>
              </w:rPr>
              <w:t>5.9:1</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89"/>
              </w:rPr>
              <w:t>7.6:1</w:t>
            </w:r>
          </w:p>
        </w:tc>
        <w:tc>
          <w:tcPr>
            <w:tcW w:w="0" w:type="dxa"/>
            <w:vAlign w:val="bottom"/>
          </w:tcPr>
          <w:p>
            <w:pPr>
              <w:spacing w:after="0"/>
              <w:rPr>
                <w:sz w:val="1"/>
                <w:szCs w:val="1"/>
                <w:color w:val="auto"/>
              </w:rPr>
            </w:pPr>
          </w:p>
        </w:tc>
      </w:tr>
      <w:tr>
        <w:trPr>
          <w:trHeight w:val="230"/>
        </w:trPr>
        <w:tc>
          <w:tcPr>
            <w:tcW w:w="2520" w:type="dxa"/>
            <w:vAlign w:val="bottom"/>
          </w:tcPr>
          <w:p>
            <w:pPr>
              <w:spacing w:after="0"/>
              <w:rPr>
                <w:sz w:val="20"/>
                <w:szCs w:val="20"/>
                <w:color w:val="auto"/>
              </w:rPr>
            </w:pPr>
            <w:r>
              <w:rPr>
                <w:rFonts w:ascii="Arial" w:cs="Arial" w:eastAsia="Arial" w:hAnsi="Arial"/>
                <w:sz w:val="14"/>
                <w:szCs w:val="14"/>
                <w:color w:val="auto"/>
              </w:rPr>
              <w:t>_______________________</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34" w:lineRule="exact"/>
        <w:rPr>
          <w:sz w:val="20"/>
          <w:szCs w:val="20"/>
          <w:color w:val="auto"/>
        </w:rPr>
      </w:pPr>
    </w:p>
    <w:p>
      <w:pPr>
        <w:ind w:left="660" w:hanging="328"/>
        <w:spacing w:after="0"/>
        <w:tabs>
          <w:tab w:leader="none" w:pos="660" w:val="left"/>
        </w:tabs>
        <w:numPr>
          <w:ilvl w:val="0"/>
          <w:numId w:val="30"/>
        </w:numPr>
        <w:rPr>
          <w:rFonts w:ascii="Arial" w:cs="Arial" w:eastAsia="Arial" w:hAnsi="Arial"/>
          <w:sz w:val="14"/>
          <w:szCs w:val="14"/>
          <w:color w:val="auto"/>
        </w:rPr>
      </w:pPr>
      <w:r>
        <w:rPr>
          <w:rFonts w:ascii="Arial" w:cs="Arial" w:eastAsia="Arial" w:hAnsi="Arial"/>
          <w:sz w:val="14"/>
          <w:szCs w:val="14"/>
          <w:color w:val="auto"/>
        </w:rPr>
        <w:t>Mortgage borrowings includes agency repo, FHLB advances and debt of consolidated VIEs. Amounts exclude U.S. Treasury repo agreements.</w:t>
      </w:r>
    </w:p>
    <w:p>
      <w:pPr>
        <w:spacing w:after="0" w:line="13" w:lineRule="exact"/>
        <w:rPr>
          <w:rFonts w:ascii="Arial" w:cs="Arial" w:eastAsia="Arial" w:hAnsi="Arial"/>
          <w:sz w:val="14"/>
          <w:szCs w:val="14"/>
          <w:color w:val="auto"/>
        </w:rPr>
      </w:pPr>
    </w:p>
    <w:p>
      <w:pPr>
        <w:ind w:left="660" w:hanging="328"/>
        <w:spacing w:after="0"/>
        <w:tabs>
          <w:tab w:leader="none" w:pos="660" w:val="left"/>
        </w:tabs>
        <w:numPr>
          <w:ilvl w:val="0"/>
          <w:numId w:val="30"/>
        </w:numPr>
        <w:rPr>
          <w:rFonts w:ascii="Arial" w:cs="Arial" w:eastAsia="Arial" w:hAnsi="Arial"/>
          <w:sz w:val="14"/>
          <w:szCs w:val="14"/>
          <w:color w:val="auto"/>
        </w:rPr>
      </w:pPr>
      <w:r>
        <w:rPr>
          <w:rFonts w:ascii="Arial" w:cs="Arial" w:eastAsia="Arial" w:hAnsi="Arial"/>
          <w:sz w:val="14"/>
          <w:szCs w:val="14"/>
          <w:color w:val="auto"/>
        </w:rPr>
        <w:t>Daily average and ending net TBA position outstanding measured at cost.</w:t>
      </w:r>
    </w:p>
    <w:p>
      <w:pPr>
        <w:spacing w:after="0" w:line="1" w:lineRule="exact"/>
        <w:rPr>
          <w:rFonts w:ascii="Arial" w:cs="Arial" w:eastAsia="Arial" w:hAnsi="Arial"/>
          <w:sz w:val="14"/>
          <w:szCs w:val="14"/>
          <w:color w:val="auto"/>
        </w:rPr>
      </w:pPr>
    </w:p>
    <w:p>
      <w:pPr>
        <w:ind w:left="660" w:hanging="328"/>
        <w:spacing w:after="0" w:line="241" w:lineRule="auto"/>
        <w:tabs>
          <w:tab w:leader="none" w:pos="660" w:val="left"/>
        </w:tabs>
        <w:numPr>
          <w:ilvl w:val="0"/>
          <w:numId w:val="30"/>
        </w:numPr>
        <w:rPr>
          <w:rFonts w:ascii="Arial" w:cs="Arial" w:eastAsia="Arial" w:hAnsi="Arial"/>
          <w:sz w:val="14"/>
          <w:szCs w:val="14"/>
          <w:color w:val="auto"/>
        </w:rPr>
      </w:pPr>
      <w:r>
        <w:rPr>
          <w:rFonts w:ascii="Arial" w:cs="Arial" w:eastAsia="Arial" w:hAnsi="Arial"/>
          <w:sz w:val="14"/>
          <w:szCs w:val="14"/>
          <w:color w:val="auto"/>
        </w:rPr>
        <w:t>Average leverage during the period was calculated by dividing the sum of our daily weighted average mortgage borrowings outstanding by the sum of our average month-end stockholders' equity less our average investment in REIT equity securities for the period.</w:t>
      </w:r>
    </w:p>
    <w:p>
      <w:pPr>
        <w:ind w:left="660" w:right="20" w:hanging="328"/>
        <w:spacing w:after="0" w:line="241" w:lineRule="auto"/>
        <w:tabs>
          <w:tab w:leader="none" w:pos="660" w:val="left"/>
        </w:tabs>
        <w:numPr>
          <w:ilvl w:val="0"/>
          <w:numId w:val="30"/>
        </w:numPr>
        <w:rPr>
          <w:rFonts w:ascii="Arial" w:cs="Arial" w:eastAsia="Arial" w:hAnsi="Arial"/>
          <w:sz w:val="14"/>
          <w:szCs w:val="14"/>
          <w:color w:val="auto"/>
        </w:rPr>
      </w:pPr>
      <w:r>
        <w:rPr>
          <w:rFonts w:ascii="Arial" w:cs="Arial" w:eastAsia="Arial" w:hAnsi="Arial"/>
          <w:sz w:val="14"/>
          <w:szCs w:val="14"/>
          <w:color w:val="auto"/>
        </w:rPr>
        <w:t>Average "at risk" leverage during the period includes the components of "average leverage during the period," plus our daily weighted average net TBA position (at cost) during the period.</w:t>
      </w:r>
    </w:p>
    <w:p>
      <w:pPr>
        <w:ind w:left="660" w:hanging="328"/>
        <w:spacing w:after="0" w:line="241" w:lineRule="auto"/>
        <w:tabs>
          <w:tab w:leader="none" w:pos="660" w:val="left"/>
        </w:tabs>
        <w:numPr>
          <w:ilvl w:val="0"/>
          <w:numId w:val="30"/>
        </w:numPr>
        <w:rPr>
          <w:rFonts w:ascii="Arial" w:cs="Arial" w:eastAsia="Arial" w:hAnsi="Arial"/>
          <w:sz w:val="14"/>
          <w:szCs w:val="14"/>
          <w:color w:val="auto"/>
        </w:rPr>
      </w:pPr>
      <w:r>
        <w:rPr>
          <w:rFonts w:ascii="Arial" w:cs="Arial" w:eastAsia="Arial" w:hAnsi="Arial"/>
          <w:sz w:val="14"/>
          <w:szCs w:val="14"/>
          <w:color w:val="auto"/>
        </w:rPr>
        <w:t>Leverage as of period end was calculated by dividing the sum of the amount of mortgage borrowings outstanding and net payables and receivables for unsettled agency securities by the sum of our total stockholders' equity less the fair value of our investment in REIT equity securities at period end.</w:t>
      </w:r>
    </w:p>
    <w:p>
      <w:pPr>
        <w:ind w:left="660" w:hanging="328"/>
        <w:spacing w:after="0"/>
        <w:tabs>
          <w:tab w:leader="none" w:pos="660" w:val="left"/>
        </w:tabs>
        <w:numPr>
          <w:ilvl w:val="0"/>
          <w:numId w:val="30"/>
        </w:numPr>
        <w:rPr>
          <w:rFonts w:ascii="Arial" w:cs="Arial" w:eastAsia="Arial" w:hAnsi="Arial"/>
          <w:sz w:val="14"/>
          <w:szCs w:val="14"/>
          <w:color w:val="auto"/>
        </w:rPr>
      </w:pPr>
      <w:r>
        <w:rPr>
          <w:rFonts w:ascii="Arial" w:cs="Arial" w:eastAsia="Arial" w:hAnsi="Arial"/>
          <w:sz w:val="14"/>
          <w:szCs w:val="14"/>
          <w:color w:val="auto"/>
        </w:rPr>
        <w:t>"At risk" leverage as of period end includes the components of "leverage as of period end," plus the cost basis (or contract price) of our net TBA position.</w:t>
      </w:r>
    </w:p>
    <w:p>
      <w:pPr>
        <w:spacing w:after="0" w:line="1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 and Cost of Funds</w:t>
      </w:r>
    </w:p>
    <w:p>
      <w:pPr>
        <w:spacing w:after="0" w:line="239"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Our interest expense is comprised of interest expense on our mortgage borrowings and the reclassification of accumulated OCI into interest expense related to previously de-designated interest rate swaps. Our mortgage borrowings primarily consist of agency repurchase agreements and FHLB advances. Upon our election to discontinue hedge accounting under GAAP as of</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420"/>
          </w:cols>
          <w:pgMar w:left="240" w:top="584" w:right="239" w:bottom="1440" w:gutter="0" w:footer="0" w:header="0"/>
        </w:sectPr>
      </w:pPr>
    </w:p>
    <w:bookmarkStart w:id="51" w:name="page52"/>
    <w:bookmarkEnd w:id="51"/>
    <w:p>
      <w:pPr>
        <w:jc w:val="both"/>
        <w:spacing w:after="0" w:line="277" w:lineRule="auto"/>
        <w:rPr>
          <w:sz w:val="20"/>
          <w:szCs w:val="20"/>
          <w:color w:val="auto"/>
        </w:rPr>
      </w:pPr>
      <w:r>
        <w:rPr>
          <w:rFonts w:ascii="Arial" w:cs="Arial" w:eastAsia="Arial" w:hAnsi="Arial"/>
          <w:sz w:val="18"/>
          <w:szCs w:val="18"/>
          <w:color w:val="auto"/>
        </w:rPr>
        <w:t>September 30, 2011, the net deferred loss related to our de-designated interest rate swaps remained in accumulated OCI and is being reclassified from accumulated OCI into interest expense on a straight-line basis over the remaining term of each interest rate swap.</w:t>
      </w:r>
    </w:p>
    <w:p>
      <w:pPr>
        <w:spacing w:after="0" w:line="116" w:lineRule="exact"/>
        <w:rPr>
          <w:sz w:val="20"/>
          <w:szCs w:val="20"/>
          <w:color w:val="auto"/>
        </w:rPr>
      </w:pPr>
    </w:p>
    <w:p>
      <w:pPr>
        <w:jc w:val="both"/>
        <w:ind w:firstLine="405"/>
        <w:spacing w:after="0" w:line="293" w:lineRule="auto"/>
        <w:rPr>
          <w:sz w:val="20"/>
          <w:szCs w:val="20"/>
          <w:color w:val="auto"/>
        </w:rPr>
      </w:pPr>
      <w:r>
        <w:rPr>
          <w:rFonts w:ascii="Arial" w:cs="Arial" w:eastAsia="Arial" w:hAnsi="Arial"/>
          <w:sz w:val="16"/>
          <w:szCs w:val="16"/>
          <w:color w:val="auto"/>
        </w:rPr>
        <w:t>Our "adjusted net interest expense," also referred to as our "cost of funds" when stated as a percentage of our mortgage borrowings outstanding, includes periodic interest costs on our interest rate swaps reported in gain/loss on derivative instruments and other securities, net in our consolidated statements of comprehensive income. Our cost of funds does not include swap termination fees, forward starting swaps and costs associated with our other supplemental hedges, such as swaptions and U.S. Treasury positions. Our cost of funds also does not include the implied financing cost/benefit of our net TBA dollar roll position, but does, however, include interest rate swap hedge costs related to our TBA dollar roll funded assets. Consequently, our cost of funds measured as a percentage of our outstanding mortgage borrowings is higher than if we allocated a portion of our swap hedge costs to our TBA dollar roll funded assets.</w:t>
      </w:r>
    </w:p>
    <w:p>
      <w:pPr>
        <w:spacing w:after="0" w:line="111"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The table below presents a reconciliation of our interest expense (the most comparable GAAP financial measure) to our adjusted net interest expense and cost of funds (non-GAAP financial measures) for fiscal years 2015 and 2014 (dollars in millions):</w:t>
      </w:r>
    </w:p>
    <w:p>
      <w:pPr>
        <w:spacing w:after="0" w:line="392" w:lineRule="exact"/>
        <w:rPr>
          <w:sz w:val="20"/>
          <w:szCs w:val="20"/>
          <w:color w:val="auto"/>
        </w:rPr>
      </w:pPr>
    </w:p>
    <w:tbl>
      <w:tblPr>
        <w:tblLayout w:type="fixed"/>
        <w:tblInd w:w="2500" w:type="dxa"/>
        <w:tblCellMar>
          <w:top w:w="0" w:type="dxa"/>
          <w:left w:w="0" w:type="dxa"/>
          <w:bottom w:w="0" w:type="dxa"/>
          <w:right w:w="0" w:type="dxa"/>
        </w:tblCellMar>
      </w:tblPr>
      <w:tr>
        <w:trPr>
          <w:trHeight w:val="192"/>
        </w:trPr>
        <w:tc>
          <w:tcPr>
            <w:tcW w:w="34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360" w:type="dxa"/>
            <w:vAlign w:val="bottom"/>
            <w:gridSpan w:val="4"/>
          </w:tcPr>
          <w:p>
            <w:pPr>
              <w:ind w:left="60"/>
              <w:spacing w:after="0"/>
              <w:rPr>
                <w:sz w:val="20"/>
                <w:szCs w:val="20"/>
                <w:color w:val="auto"/>
              </w:rPr>
            </w:pPr>
            <w:r>
              <w:rPr>
                <w:rFonts w:ascii="Arial" w:cs="Arial" w:eastAsia="Arial" w:hAnsi="Arial"/>
                <w:sz w:val="14"/>
                <w:szCs w:val="14"/>
                <w:b w:val="1"/>
                <w:bCs w:val="1"/>
                <w:color w:val="auto"/>
              </w:rPr>
              <w:t>Fiscal Year 2015</w:t>
            </w:r>
          </w:p>
        </w:tc>
        <w:tc>
          <w:tcPr>
            <w:tcW w:w="160" w:type="dxa"/>
            <w:vAlign w:val="bottom"/>
          </w:tcPr>
          <w:p>
            <w:pPr>
              <w:spacing w:after="0"/>
              <w:rPr>
                <w:sz w:val="16"/>
                <w:szCs w:val="16"/>
                <w:color w:val="auto"/>
              </w:rPr>
            </w:pPr>
          </w:p>
        </w:tc>
        <w:tc>
          <w:tcPr>
            <w:tcW w:w="1240" w:type="dxa"/>
            <w:vAlign w:val="bottom"/>
            <w:gridSpan w:val="3"/>
          </w:tcPr>
          <w:p>
            <w:pPr>
              <w:jc w:val="right"/>
              <w:ind w:right="113"/>
              <w:spacing w:after="0"/>
              <w:rPr>
                <w:sz w:val="20"/>
                <w:szCs w:val="20"/>
                <w:color w:val="auto"/>
              </w:rPr>
            </w:pPr>
            <w:r>
              <w:rPr>
                <w:rFonts w:ascii="Arial" w:cs="Arial" w:eastAsia="Arial" w:hAnsi="Arial"/>
                <w:sz w:val="14"/>
                <w:szCs w:val="14"/>
                <w:b w:val="1"/>
                <w:bCs w:val="1"/>
                <w:color w:val="auto"/>
                <w:w w:val="95"/>
              </w:rPr>
              <w:t>Fiscal Year 2014</w:t>
            </w:r>
          </w:p>
        </w:tc>
      </w:tr>
      <w:tr>
        <w:trPr>
          <w:trHeight w:val="270"/>
        </w:trPr>
        <w:tc>
          <w:tcPr>
            <w:tcW w:w="34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Adjusted Net Interest Expense and Cost of Funds</w:t>
            </w:r>
          </w:p>
        </w:tc>
        <w:tc>
          <w:tcPr>
            <w:tcW w:w="100" w:type="dxa"/>
            <w:vAlign w:val="bottom"/>
            <w:tcBorders>
              <w:bottom w:val="single" w:sz="8" w:color="CCEEFF"/>
            </w:tcBorders>
          </w:tcPr>
          <w:p>
            <w:pPr>
              <w:spacing w:after="0"/>
              <w:rPr>
                <w:sz w:val="23"/>
                <w:szCs w:val="23"/>
                <w:color w:val="auto"/>
              </w:rPr>
            </w:pPr>
          </w:p>
        </w:tc>
        <w:tc>
          <w:tcPr>
            <w:tcW w:w="660" w:type="dxa"/>
            <w:vAlign w:val="bottom"/>
            <w:tcBorders>
              <w:top w:val="single" w:sz="8" w:color="auto"/>
              <w:bottom w:val="single" w:sz="8" w:color="auto"/>
            </w:tcBorders>
            <w:gridSpan w:val="2"/>
          </w:tcPr>
          <w:p>
            <w:pPr>
              <w:jc w:val="right"/>
              <w:ind w:right="8"/>
              <w:spacing w:after="0"/>
              <w:rPr>
                <w:sz w:val="20"/>
                <w:szCs w:val="20"/>
                <w:color w:val="auto"/>
              </w:rPr>
            </w:pPr>
            <w:r>
              <w:rPr>
                <w:rFonts w:ascii="Arial" w:cs="Arial" w:eastAsia="Arial" w:hAnsi="Arial"/>
                <w:sz w:val="14"/>
                <w:szCs w:val="14"/>
                <w:b w:val="1"/>
                <w:bCs w:val="1"/>
                <w:color w:val="auto"/>
              </w:rPr>
              <w:t>Amount</w:t>
            </w:r>
          </w:p>
        </w:tc>
        <w:tc>
          <w:tcPr>
            <w:tcW w:w="100" w:type="dxa"/>
            <w:vAlign w:val="bottom"/>
            <w:tcBorders>
              <w:top w:val="single" w:sz="8" w:color="auto"/>
              <w:bottom w:val="single" w:sz="8" w:color="CCEEFF"/>
            </w:tcBorders>
          </w:tcPr>
          <w:p>
            <w:pPr>
              <w:spacing w:after="0"/>
              <w:rPr>
                <w:sz w:val="23"/>
                <w:szCs w:val="23"/>
                <w:color w:val="auto"/>
              </w:rPr>
            </w:pPr>
          </w:p>
        </w:tc>
        <w:tc>
          <w:tcPr>
            <w:tcW w:w="640" w:type="dxa"/>
            <w:vAlign w:val="bottom"/>
            <w:tcBorders>
              <w:top w:val="single" w:sz="8" w:color="auto"/>
              <w:bottom w:val="single" w:sz="8" w:color="auto"/>
            </w:tcBorders>
          </w:tcPr>
          <w:p>
            <w:pPr>
              <w:jc w:val="right"/>
              <w:ind w:right="133"/>
              <w:spacing w:after="0" w:line="269" w:lineRule="exact"/>
              <w:rPr>
                <w:sz w:val="20"/>
                <w:szCs w:val="20"/>
                <w:color w:val="auto"/>
              </w:rPr>
            </w:pPr>
            <w:r>
              <w:rPr>
                <w:rFonts w:ascii="Arial" w:cs="Arial" w:eastAsia="Arial" w:hAnsi="Arial"/>
                <w:sz w:val="28"/>
                <w:szCs w:val="28"/>
                <w:b w:val="1"/>
                <w:bCs w:val="1"/>
                <w:color w:val="auto"/>
                <w:vertAlign w:val="subscript"/>
              </w:rPr>
              <w:t>%</w:t>
            </w:r>
            <w:r>
              <w:rPr>
                <w:rFonts w:ascii="Arial" w:cs="Arial" w:eastAsia="Arial" w:hAnsi="Arial"/>
                <w:sz w:val="9"/>
                <w:szCs w:val="9"/>
                <w:b w:val="1"/>
                <w:bCs w:val="1"/>
                <w:color w:val="auto"/>
              </w:rPr>
              <w:t xml:space="preserve"> 1</w:t>
            </w:r>
          </w:p>
        </w:tc>
        <w:tc>
          <w:tcPr>
            <w:tcW w:w="120" w:type="dxa"/>
            <w:vAlign w:val="bottom"/>
            <w:tcBorders>
              <w:bottom w:val="single" w:sz="8" w:color="CCEEFF"/>
            </w:tcBorders>
          </w:tcPr>
          <w:p>
            <w:pPr>
              <w:spacing w:after="0"/>
              <w:rPr>
                <w:sz w:val="23"/>
                <w:szCs w:val="23"/>
                <w:color w:val="auto"/>
              </w:rPr>
            </w:pPr>
          </w:p>
        </w:tc>
        <w:tc>
          <w:tcPr>
            <w:tcW w:w="64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Amount</w:t>
            </w:r>
          </w:p>
        </w:tc>
        <w:tc>
          <w:tcPr>
            <w:tcW w:w="120" w:type="dxa"/>
            <w:vAlign w:val="bottom"/>
            <w:tcBorders>
              <w:top w:val="single" w:sz="8" w:color="auto"/>
              <w:bottom w:val="single" w:sz="8" w:color="CCEEFF"/>
            </w:tcBorders>
          </w:tcPr>
          <w:p>
            <w:pPr>
              <w:spacing w:after="0"/>
              <w:rPr>
                <w:sz w:val="23"/>
                <w:szCs w:val="23"/>
                <w:color w:val="auto"/>
              </w:rPr>
            </w:pPr>
          </w:p>
        </w:tc>
        <w:tc>
          <w:tcPr>
            <w:tcW w:w="640" w:type="dxa"/>
            <w:vAlign w:val="bottom"/>
            <w:tcBorders>
              <w:top w:val="single" w:sz="8" w:color="auto"/>
              <w:bottom w:val="single" w:sz="8" w:color="auto"/>
            </w:tcBorders>
          </w:tcPr>
          <w:p>
            <w:pPr>
              <w:jc w:val="right"/>
              <w:ind w:right="153"/>
              <w:spacing w:after="0" w:line="269" w:lineRule="exact"/>
              <w:rPr>
                <w:sz w:val="20"/>
                <w:szCs w:val="20"/>
                <w:color w:val="auto"/>
              </w:rPr>
            </w:pPr>
            <w:r>
              <w:rPr>
                <w:rFonts w:ascii="Arial" w:cs="Arial" w:eastAsia="Arial" w:hAnsi="Arial"/>
                <w:sz w:val="28"/>
                <w:szCs w:val="28"/>
                <w:b w:val="1"/>
                <w:bCs w:val="1"/>
                <w:color w:val="auto"/>
                <w:vertAlign w:val="subscript"/>
              </w:rPr>
              <w:t>%</w:t>
            </w:r>
            <w:r>
              <w:rPr>
                <w:rFonts w:ascii="Arial" w:cs="Arial" w:eastAsia="Arial" w:hAnsi="Arial"/>
                <w:sz w:val="9"/>
                <w:szCs w:val="9"/>
                <w:b w:val="1"/>
                <w:bCs w:val="1"/>
                <w:color w:val="auto"/>
              </w:rPr>
              <w:t xml:space="preserve"> 1</w:t>
            </w:r>
          </w:p>
        </w:tc>
      </w:tr>
      <w:tr>
        <w:trPr>
          <w:trHeight w:val="264"/>
        </w:trPr>
        <w:tc>
          <w:tcPr>
            <w:tcW w:w="350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Interest expense:</w:t>
            </w:r>
          </w:p>
        </w:tc>
        <w:tc>
          <w:tcPr>
            <w:tcW w:w="160" w:type="dxa"/>
            <w:vAlign w:val="bottom"/>
            <w:shd w:val="clear" w:color="auto" w:fill="CCEEFF"/>
          </w:tcPr>
          <w:p>
            <w:pPr>
              <w:spacing w:after="0"/>
              <w:rPr>
                <w:sz w:val="22"/>
                <w:szCs w:val="22"/>
                <w:color w:val="auto"/>
              </w:rPr>
            </w:pPr>
          </w:p>
        </w:tc>
        <w:tc>
          <w:tcPr>
            <w:tcW w:w="5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6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4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640" w:type="dxa"/>
            <w:vAlign w:val="bottom"/>
            <w:shd w:val="clear" w:color="auto" w:fill="CCEEFF"/>
          </w:tcPr>
          <w:p>
            <w:pPr>
              <w:spacing w:after="0"/>
              <w:rPr>
                <w:sz w:val="22"/>
                <w:szCs w:val="22"/>
                <w:color w:val="auto"/>
              </w:rPr>
            </w:pPr>
          </w:p>
        </w:tc>
      </w:tr>
      <w:tr>
        <w:trPr>
          <w:trHeight w:val="264"/>
        </w:trPr>
        <w:tc>
          <w:tcPr>
            <w:tcW w:w="3500" w:type="dxa"/>
            <w:vAlign w:val="bottom"/>
            <w:gridSpan w:val="2"/>
          </w:tcPr>
          <w:p>
            <w:pPr>
              <w:ind w:left="360"/>
              <w:spacing w:after="0"/>
              <w:rPr>
                <w:sz w:val="20"/>
                <w:szCs w:val="20"/>
                <w:color w:val="auto"/>
              </w:rPr>
            </w:pPr>
            <w:r>
              <w:rPr>
                <w:rFonts w:ascii="Arial" w:cs="Arial" w:eastAsia="Arial" w:hAnsi="Arial"/>
                <w:sz w:val="14"/>
                <w:szCs w:val="14"/>
                <w:color w:val="auto"/>
              </w:rPr>
              <w:t>Interest expense on mortgage borrowings</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500" w:type="dxa"/>
            <w:vAlign w:val="bottom"/>
          </w:tcPr>
          <w:p>
            <w:pPr>
              <w:jc w:val="right"/>
              <w:spacing w:after="0"/>
              <w:rPr>
                <w:sz w:val="20"/>
                <w:szCs w:val="20"/>
                <w:color w:val="auto"/>
              </w:rPr>
            </w:pPr>
            <w:r>
              <w:rPr>
                <w:rFonts w:ascii="Arial" w:cs="Arial" w:eastAsia="Arial" w:hAnsi="Arial"/>
                <w:sz w:val="14"/>
                <w:szCs w:val="14"/>
                <w:color w:val="auto"/>
              </w:rPr>
              <w:t>229</w:t>
            </w:r>
          </w:p>
        </w:tc>
        <w:tc>
          <w:tcPr>
            <w:tcW w:w="100" w:type="dxa"/>
            <w:vAlign w:val="bottom"/>
          </w:tcPr>
          <w:p>
            <w:pPr>
              <w:spacing w:after="0"/>
              <w:rPr>
                <w:sz w:val="22"/>
                <w:szCs w:val="22"/>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0.47%</w:t>
            </w:r>
          </w:p>
        </w:tc>
        <w:tc>
          <w:tcPr>
            <w:tcW w:w="12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480" w:type="dxa"/>
            <w:vAlign w:val="bottom"/>
          </w:tcPr>
          <w:p>
            <w:pPr>
              <w:jc w:val="right"/>
              <w:spacing w:after="0"/>
              <w:rPr>
                <w:sz w:val="20"/>
                <w:szCs w:val="20"/>
                <w:color w:val="auto"/>
              </w:rPr>
            </w:pPr>
            <w:r>
              <w:rPr>
                <w:rFonts w:ascii="Arial" w:cs="Arial" w:eastAsia="Arial" w:hAnsi="Arial"/>
                <w:sz w:val="14"/>
                <w:szCs w:val="14"/>
                <w:color w:val="auto"/>
              </w:rPr>
              <w:t>216</w:t>
            </w:r>
          </w:p>
        </w:tc>
        <w:tc>
          <w:tcPr>
            <w:tcW w:w="120" w:type="dxa"/>
            <w:vAlign w:val="bottom"/>
          </w:tcPr>
          <w:p>
            <w:pPr>
              <w:spacing w:after="0"/>
              <w:rPr>
                <w:sz w:val="22"/>
                <w:szCs w:val="22"/>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0.43%</w:t>
            </w:r>
          </w:p>
        </w:tc>
      </w:tr>
      <w:tr>
        <w:trPr>
          <w:trHeight w:val="163"/>
        </w:trPr>
        <w:tc>
          <w:tcPr>
            <w:tcW w:w="3500" w:type="dxa"/>
            <w:vAlign w:val="bottom"/>
            <w:gridSpan w:val="2"/>
            <w:shd w:val="clear" w:color="auto" w:fill="CCEEFF"/>
          </w:tcPr>
          <w:p>
            <w:pPr>
              <w:ind w:left="360"/>
              <w:spacing w:after="0"/>
              <w:rPr>
                <w:sz w:val="20"/>
                <w:szCs w:val="20"/>
                <w:color w:val="auto"/>
              </w:rPr>
            </w:pPr>
            <w:r>
              <w:rPr>
                <w:rFonts w:ascii="Arial" w:cs="Arial" w:eastAsia="Arial" w:hAnsi="Arial"/>
                <w:sz w:val="14"/>
                <w:szCs w:val="14"/>
                <w:color w:val="auto"/>
              </w:rPr>
              <w:t>Periodic interest costs of interest rate swaps</w:t>
            </w:r>
          </w:p>
        </w:tc>
        <w:tc>
          <w:tcPr>
            <w:tcW w:w="16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r>
      <w:tr>
        <w:trPr>
          <w:trHeight w:val="149"/>
        </w:trPr>
        <w:tc>
          <w:tcPr>
            <w:tcW w:w="3500" w:type="dxa"/>
            <w:vAlign w:val="bottom"/>
            <w:gridSpan w:val="2"/>
            <w:shd w:val="clear" w:color="auto" w:fill="CCEEFF"/>
          </w:tcPr>
          <w:p>
            <w:pPr>
              <w:ind w:left="520"/>
              <w:spacing w:after="0" w:line="149" w:lineRule="exact"/>
              <w:rPr>
                <w:sz w:val="20"/>
                <w:szCs w:val="20"/>
                <w:color w:val="auto"/>
              </w:rPr>
            </w:pPr>
            <w:r>
              <w:rPr>
                <w:rFonts w:ascii="Arial" w:cs="Arial" w:eastAsia="Arial" w:hAnsi="Arial"/>
                <w:sz w:val="14"/>
                <w:szCs w:val="14"/>
                <w:color w:val="auto"/>
              </w:rPr>
              <w:t>previously designated as hedges under GAAP,</w:t>
            </w:r>
          </w:p>
        </w:tc>
        <w:tc>
          <w:tcPr>
            <w:tcW w:w="16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r>
      <w:tr>
        <w:trPr>
          <w:trHeight w:val="194"/>
        </w:trPr>
        <w:tc>
          <w:tcPr>
            <w:tcW w:w="3500" w:type="dxa"/>
            <w:vAlign w:val="bottom"/>
            <w:gridSpan w:val="2"/>
            <w:shd w:val="clear" w:color="auto" w:fill="CCEEFF"/>
          </w:tcPr>
          <w:p>
            <w:pPr>
              <w:ind w:left="520"/>
              <w:spacing w:after="0"/>
              <w:rPr>
                <w:sz w:val="20"/>
                <w:szCs w:val="20"/>
                <w:color w:val="auto"/>
              </w:rPr>
            </w:pPr>
            <w:r>
              <w:rPr>
                <w:rFonts w:ascii="Arial" w:cs="Arial" w:eastAsia="Arial" w:hAnsi="Arial"/>
                <w:sz w:val="14"/>
                <w:szCs w:val="14"/>
                <w:color w:val="auto"/>
              </w:rPr>
              <w:t>net</w:t>
            </w:r>
          </w:p>
        </w:tc>
        <w:tc>
          <w:tcPr>
            <w:tcW w:w="160" w:type="dxa"/>
            <w:vAlign w:val="bottom"/>
            <w:tcBorders>
              <w:bottom w:val="single" w:sz="8" w:color="auto"/>
            </w:tcBorders>
            <w:shd w:val="clear" w:color="auto" w:fill="CCEEFF"/>
          </w:tcPr>
          <w:p>
            <w:pPr>
              <w:spacing w:after="0"/>
              <w:rPr>
                <w:sz w:val="16"/>
                <w:szCs w:val="16"/>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101</w:t>
            </w:r>
          </w:p>
        </w:tc>
        <w:tc>
          <w:tcPr>
            <w:tcW w:w="100" w:type="dxa"/>
            <w:vAlign w:val="bottom"/>
            <w:shd w:val="clear" w:color="auto" w:fill="CCEEFF"/>
          </w:tcPr>
          <w:p>
            <w:pPr>
              <w:spacing w:after="0"/>
              <w:rPr>
                <w:sz w:val="16"/>
                <w:szCs w:val="16"/>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0.21%</w:t>
            </w:r>
          </w:p>
        </w:tc>
        <w:tc>
          <w:tcPr>
            <w:tcW w:w="120" w:type="dxa"/>
            <w:vAlign w:val="bottom"/>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156</w:t>
            </w:r>
          </w:p>
        </w:tc>
        <w:tc>
          <w:tcPr>
            <w:tcW w:w="120" w:type="dxa"/>
            <w:vAlign w:val="bottom"/>
            <w:shd w:val="clear" w:color="auto" w:fill="CCEEFF"/>
          </w:tcPr>
          <w:p>
            <w:pPr>
              <w:spacing w:after="0"/>
              <w:rPr>
                <w:sz w:val="16"/>
                <w:szCs w:val="16"/>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0.31%</w:t>
            </w:r>
          </w:p>
        </w:tc>
      </w:tr>
      <w:tr>
        <w:trPr>
          <w:trHeight w:val="244"/>
        </w:trPr>
        <w:tc>
          <w:tcPr>
            <w:tcW w:w="3500" w:type="dxa"/>
            <w:vAlign w:val="bottom"/>
            <w:gridSpan w:val="2"/>
          </w:tcPr>
          <w:p>
            <w:pPr>
              <w:ind w:left="40"/>
              <w:spacing w:after="0"/>
              <w:rPr>
                <w:sz w:val="20"/>
                <w:szCs w:val="20"/>
                <w:color w:val="auto"/>
              </w:rPr>
            </w:pPr>
            <w:r>
              <w:rPr>
                <w:rFonts w:ascii="Arial" w:cs="Arial" w:eastAsia="Arial" w:hAnsi="Arial"/>
                <w:sz w:val="14"/>
                <w:szCs w:val="14"/>
                <w:b w:val="1"/>
                <w:bCs w:val="1"/>
                <w:color w:val="auto"/>
              </w:rPr>
              <w:t>Total interest expense</w:t>
            </w:r>
          </w:p>
        </w:tc>
        <w:tc>
          <w:tcPr>
            <w:tcW w:w="160" w:type="dxa"/>
            <w:vAlign w:val="bottom"/>
          </w:tcPr>
          <w:p>
            <w:pPr>
              <w:spacing w:after="0"/>
              <w:rPr>
                <w:sz w:val="21"/>
                <w:szCs w:val="21"/>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330</w:t>
            </w:r>
          </w:p>
        </w:tc>
        <w:tc>
          <w:tcPr>
            <w:tcW w:w="100" w:type="dxa"/>
            <w:vAlign w:val="bottom"/>
          </w:tcPr>
          <w:p>
            <w:pPr>
              <w:spacing w:after="0"/>
              <w:rPr>
                <w:sz w:val="21"/>
                <w:szCs w:val="21"/>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0.68%</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372</w:t>
            </w:r>
          </w:p>
        </w:tc>
        <w:tc>
          <w:tcPr>
            <w:tcW w:w="120" w:type="dxa"/>
            <w:vAlign w:val="bottom"/>
          </w:tcPr>
          <w:p>
            <w:pPr>
              <w:spacing w:after="0"/>
              <w:rPr>
                <w:sz w:val="21"/>
                <w:szCs w:val="21"/>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0.74%</w:t>
            </w:r>
          </w:p>
        </w:tc>
      </w:tr>
      <w:tr>
        <w:trPr>
          <w:trHeight w:val="163"/>
        </w:trPr>
        <w:tc>
          <w:tcPr>
            <w:tcW w:w="3500" w:type="dxa"/>
            <w:vAlign w:val="bottom"/>
            <w:gridSpan w:val="2"/>
            <w:shd w:val="clear" w:color="auto" w:fill="CCEEFF"/>
          </w:tcPr>
          <w:p>
            <w:pPr>
              <w:ind w:left="360"/>
              <w:spacing w:after="0"/>
              <w:rPr>
                <w:sz w:val="20"/>
                <w:szCs w:val="20"/>
                <w:color w:val="auto"/>
              </w:rPr>
            </w:pPr>
            <w:r>
              <w:rPr>
                <w:rFonts w:ascii="Arial" w:cs="Arial" w:eastAsia="Arial" w:hAnsi="Arial"/>
                <w:sz w:val="14"/>
                <w:szCs w:val="14"/>
                <w:color w:val="auto"/>
                <w:w w:val="98"/>
              </w:rPr>
              <w:t>Other periodic interest costs of interest rate swaps,</w:t>
            </w:r>
          </w:p>
        </w:tc>
        <w:tc>
          <w:tcPr>
            <w:tcW w:w="16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r>
      <w:tr>
        <w:trPr>
          <w:trHeight w:val="188"/>
        </w:trPr>
        <w:tc>
          <w:tcPr>
            <w:tcW w:w="3500" w:type="dxa"/>
            <w:vAlign w:val="bottom"/>
            <w:gridSpan w:val="2"/>
            <w:shd w:val="clear" w:color="auto" w:fill="CCEEFF"/>
          </w:tcPr>
          <w:p>
            <w:pPr>
              <w:ind w:left="520"/>
              <w:spacing w:after="0"/>
              <w:rPr>
                <w:sz w:val="20"/>
                <w:szCs w:val="20"/>
                <w:color w:val="auto"/>
              </w:rPr>
            </w:pPr>
            <w:r>
              <w:rPr>
                <w:rFonts w:ascii="Arial" w:cs="Arial" w:eastAsia="Arial" w:hAnsi="Arial"/>
                <w:sz w:val="14"/>
                <w:szCs w:val="14"/>
                <w:color w:val="auto"/>
              </w:rPr>
              <w:t>net</w:t>
            </w:r>
          </w:p>
        </w:tc>
        <w:tc>
          <w:tcPr>
            <w:tcW w:w="160" w:type="dxa"/>
            <w:vAlign w:val="bottom"/>
            <w:tcBorders>
              <w:bottom w:val="single" w:sz="8" w:color="auto"/>
            </w:tcBorders>
            <w:shd w:val="clear" w:color="auto" w:fill="CCEEFF"/>
          </w:tcPr>
          <w:p>
            <w:pPr>
              <w:spacing w:after="0"/>
              <w:rPr>
                <w:sz w:val="16"/>
                <w:szCs w:val="16"/>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393</w:t>
            </w:r>
          </w:p>
        </w:tc>
        <w:tc>
          <w:tcPr>
            <w:tcW w:w="100" w:type="dxa"/>
            <w:vAlign w:val="bottom"/>
            <w:shd w:val="clear" w:color="auto" w:fill="CCEEFF"/>
          </w:tcPr>
          <w:p>
            <w:pPr>
              <w:spacing w:after="0"/>
              <w:rPr>
                <w:sz w:val="16"/>
                <w:szCs w:val="16"/>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0.81%</w:t>
            </w:r>
          </w:p>
        </w:tc>
        <w:tc>
          <w:tcPr>
            <w:tcW w:w="120" w:type="dxa"/>
            <w:vAlign w:val="bottom"/>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330</w:t>
            </w:r>
          </w:p>
        </w:tc>
        <w:tc>
          <w:tcPr>
            <w:tcW w:w="120" w:type="dxa"/>
            <w:vAlign w:val="bottom"/>
            <w:shd w:val="clear" w:color="auto" w:fill="CCEEFF"/>
          </w:tcPr>
          <w:p>
            <w:pPr>
              <w:spacing w:after="0"/>
              <w:rPr>
                <w:sz w:val="16"/>
                <w:szCs w:val="16"/>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0.66%</w:t>
            </w:r>
          </w:p>
        </w:tc>
      </w:tr>
      <w:tr>
        <w:trPr>
          <w:trHeight w:val="243"/>
        </w:trPr>
        <w:tc>
          <w:tcPr>
            <w:tcW w:w="3500" w:type="dxa"/>
            <w:vAlign w:val="bottom"/>
            <w:gridSpan w:val="2"/>
          </w:tcPr>
          <w:p>
            <w:pPr>
              <w:ind w:left="40"/>
              <w:spacing w:after="0"/>
              <w:rPr>
                <w:sz w:val="20"/>
                <w:szCs w:val="20"/>
                <w:color w:val="auto"/>
              </w:rPr>
            </w:pPr>
            <w:r>
              <w:rPr>
                <w:rFonts w:ascii="Arial" w:cs="Arial" w:eastAsia="Arial" w:hAnsi="Arial"/>
                <w:sz w:val="14"/>
                <w:szCs w:val="14"/>
                <w:b w:val="1"/>
                <w:bCs w:val="1"/>
                <w:color w:val="auto"/>
                <w:w w:val="96"/>
              </w:rPr>
              <w:t>Total adjusted net interest expense and cost of funds</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723</w:t>
            </w:r>
          </w:p>
        </w:tc>
        <w:tc>
          <w:tcPr>
            <w:tcW w:w="100" w:type="dxa"/>
            <w:vAlign w:val="bottom"/>
          </w:tcPr>
          <w:p>
            <w:pPr>
              <w:spacing w:after="0"/>
              <w:rPr>
                <w:sz w:val="21"/>
                <w:szCs w:val="21"/>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1.49%</w:t>
            </w:r>
          </w:p>
        </w:tc>
        <w:tc>
          <w:tcPr>
            <w:tcW w:w="120" w:type="dxa"/>
            <w:vAlign w:val="bottom"/>
          </w:tcPr>
          <w:p>
            <w:pPr>
              <w:spacing w:after="0"/>
              <w:rPr>
                <w:sz w:val="21"/>
                <w:szCs w:val="21"/>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702</w:t>
            </w:r>
          </w:p>
        </w:tc>
        <w:tc>
          <w:tcPr>
            <w:tcW w:w="120" w:type="dxa"/>
            <w:vAlign w:val="bottom"/>
          </w:tcPr>
          <w:p>
            <w:pPr>
              <w:spacing w:after="0"/>
              <w:rPr>
                <w:sz w:val="21"/>
                <w:szCs w:val="21"/>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1.40%</w:t>
            </w:r>
          </w:p>
        </w:tc>
      </w:tr>
      <w:tr>
        <w:trPr>
          <w:trHeight w:val="20"/>
        </w:trPr>
        <w:tc>
          <w:tcPr>
            <w:tcW w:w="3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r>
    </w:tbl>
    <w:p>
      <w:pPr>
        <w:spacing w:after="0" w:line="22" w:lineRule="exact"/>
        <w:rPr>
          <w:sz w:val="20"/>
          <w:szCs w:val="20"/>
          <w:color w:val="auto"/>
        </w:rPr>
      </w:pPr>
    </w:p>
    <w:p>
      <w:pPr>
        <w:ind w:left="60"/>
        <w:spacing w:after="0"/>
        <w:rPr>
          <w:sz w:val="20"/>
          <w:szCs w:val="20"/>
          <w:color w:val="auto"/>
        </w:rPr>
      </w:pPr>
      <w:r>
        <w:rPr>
          <w:rFonts w:ascii="Arial" w:cs="Arial" w:eastAsia="Arial" w:hAnsi="Arial"/>
          <w:sz w:val="14"/>
          <w:szCs w:val="14"/>
          <w:color w:val="auto"/>
        </w:rPr>
        <w:t>_______________________</w:t>
      </w:r>
    </w:p>
    <w:p>
      <w:pPr>
        <w:spacing w:after="0" w:line="28" w:lineRule="exact"/>
        <w:rPr>
          <w:sz w:val="20"/>
          <w:szCs w:val="20"/>
          <w:color w:val="auto"/>
        </w:rPr>
      </w:pPr>
    </w:p>
    <w:p>
      <w:pPr>
        <w:ind w:left="340"/>
        <w:spacing w:after="0"/>
        <w:tabs>
          <w:tab w:leader="none" w:pos="640" w:val="left"/>
        </w:tabs>
        <w:rPr>
          <w:sz w:val="20"/>
          <w:szCs w:val="20"/>
          <w:color w:val="auto"/>
        </w:rPr>
      </w:pPr>
      <w:r>
        <w:rPr>
          <w:rFonts w:ascii="Arial" w:cs="Arial" w:eastAsia="Arial" w:hAnsi="Arial"/>
          <w:sz w:val="14"/>
          <w:szCs w:val="14"/>
          <w:color w:val="auto"/>
        </w:rPr>
        <w:t>1.</w:t>
        <w:tab/>
        <w:t>Percent of our average mortgage borrowings outstanding for the period annualized.</w:t>
      </w:r>
    </w:p>
    <w:p>
      <w:pPr>
        <w:spacing w:after="0" w:line="303"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The principal elements impacting our adjusted net interest expense are the size of our average mortgage borrowings and the size of our average interest rate swap balance outstanding during the period (excluding forward starting swaps), and the average interest rate on our borrowings and the average net pay rate on our interest rates swaps. The 9 bps increase in our average cost of funds during fiscal year 2015 was largely due to higher interest rates on our borrowings and a higher ratio of interest rate swaps outstanding to our average mortgage borrowings. The following is a summary of the estimated impact of these elements on changes in our adjusted net interest expense from fiscal year 2014 to 2015 (in millions):</w:t>
      </w:r>
    </w:p>
    <w:p>
      <w:pPr>
        <w:spacing w:after="0" w:line="326"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Impact of Changes in the Principal Elements of Adjusted Net Interest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176530</wp:posOffset>
            </wp:positionH>
            <wp:positionV relativeFrom="paragraph">
              <wp:posOffset>23495</wp:posOffset>
            </wp:positionV>
            <wp:extent cx="69037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903720" cy="8890"/>
                    </a:xfrm>
                    <a:prstGeom prst="rect">
                      <a:avLst/>
                    </a:prstGeom>
                    <a:noFill/>
                  </pic:spPr>
                </pic:pic>
              </a:graphicData>
            </a:graphic>
          </wp:anchor>
        </w:drawing>
      </w:r>
    </w:p>
    <w:p>
      <w:pPr>
        <w:spacing w:after="0" w:line="3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Fiscal Year 2015 vs. 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176530</wp:posOffset>
            </wp:positionH>
            <wp:positionV relativeFrom="paragraph">
              <wp:posOffset>23495</wp:posOffset>
            </wp:positionV>
            <wp:extent cx="69037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903720" cy="8890"/>
                    </a:xfrm>
                    <a:prstGeom prst="rect">
                      <a:avLst/>
                    </a:prstGeom>
                    <a:noFill/>
                  </pic:spPr>
                </pic:pic>
              </a:graphicData>
            </a:graphic>
          </wp:anchor>
        </w:drawing>
      </w:r>
    </w:p>
    <w:p>
      <w:pPr>
        <w:spacing w:after="0" w:line="103" w:lineRule="exact"/>
        <w:rPr>
          <w:sz w:val="20"/>
          <w:szCs w:val="20"/>
          <w:color w:val="auto"/>
        </w:rPr>
      </w:pPr>
    </w:p>
    <w:tbl>
      <w:tblPr>
        <w:tblLayout w:type="fixed"/>
        <w:tblInd w:w="280" w:type="dxa"/>
        <w:tblCellMar>
          <w:top w:w="0" w:type="dxa"/>
          <w:left w:w="0" w:type="dxa"/>
          <w:bottom w:w="0" w:type="dxa"/>
          <w:right w:w="0" w:type="dxa"/>
        </w:tblCellMar>
      </w:tblPr>
      <w:tr>
        <w:trPr>
          <w:trHeight w:val="192"/>
        </w:trPr>
        <w:tc>
          <w:tcPr>
            <w:tcW w:w="65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80" w:type="dxa"/>
            <w:vAlign w:val="bottom"/>
            <w:tcBorders>
              <w:bottom w:val="single" w:sz="8" w:color="auto"/>
            </w:tcBorders>
            <w:gridSpan w:val="3"/>
          </w:tcPr>
          <w:p>
            <w:pPr>
              <w:jc w:val="right"/>
              <w:ind w:right="108"/>
              <w:spacing w:after="0"/>
              <w:rPr>
                <w:sz w:val="20"/>
                <w:szCs w:val="20"/>
                <w:color w:val="auto"/>
              </w:rPr>
            </w:pPr>
            <w:r>
              <w:rPr>
                <w:rFonts w:ascii="Arial" w:cs="Arial" w:eastAsia="Arial" w:hAnsi="Arial"/>
                <w:sz w:val="14"/>
                <w:szCs w:val="14"/>
                <w:b w:val="1"/>
                <w:bCs w:val="1"/>
                <w:color w:val="auto"/>
              </w:rPr>
              <w:t>Due to Change in Average</w:t>
            </w:r>
          </w:p>
        </w:tc>
        <w:tc>
          <w:tcPr>
            <w:tcW w:w="4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6540" w:type="dxa"/>
            <w:vAlign w:val="bottom"/>
          </w:tcPr>
          <w:p>
            <w:pPr>
              <w:spacing w:after="0"/>
              <w:rPr>
                <w:sz w:val="13"/>
                <w:szCs w:val="13"/>
                <w:color w:val="auto"/>
              </w:rPr>
            </w:pPr>
          </w:p>
        </w:tc>
        <w:tc>
          <w:tcPr>
            <w:tcW w:w="114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Total Increase</w:t>
            </w:r>
          </w:p>
        </w:tc>
        <w:tc>
          <w:tcPr>
            <w:tcW w:w="2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0" w:type="dxa"/>
            <w:vAlign w:val="bottom"/>
            <w:gridSpan w:val="2"/>
          </w:tcPr>
          <w:p>
            <w:pPr>
              <w:jc w:val="center"/>
              <w:ind w:right="240"/>
              <w:spacing w:after="0" w:line="153" w:lineRule="exact"/>
              <w:rPr>
                <w:sz w:val="20"/>
                <w:szCs w:val="20"/>
                <w:color w:val="auto"/>
              </w:rPr>
            </w:pPr>
            <w:r>
              <w:rPr>
                <w:rFonts w:ascii="Arial" w:cs="Arial" w:eastAsia="Arial" w:hAnsi="Arial"/>
                <w:sz w:val="14"/>
                <w:szCs w:val="14"/>
                <w:b w:val="1"/>
                <w:bCs w:val="1"/>
                <w:color w:val="auto"/>
                <w:w w:val="94"/>
              </w:rPr>
              <w:t>Borrowing / Swap</w:t>
            </w:r>
          </w:p>
        </w:tc>
        <w:tc>
          <w:tcPr>
            <w:tcW w:w="1280" w:type="dxa"/>
            <w:vAlign w:val="bottom"/>
            <w:gridSpan w:val="2"/>
          </w:tcPr>
          <w:p>
            <w:pPr>
              <w:jc w:val="right"/>
              <w:ind w:right="8"/>
              <w:spacing w:after="0" w:line="153" w:lineRule="exact"/>
              <w:rPr>
                <w:sz w:val="20"/>
                <w:szCs w:val="20"/>
                <w:color w:val="auto"/>
              </w:rPr>
            </w:pPr>
            <w:r>
              <w:rPr>
                <w:rFonts w:ascii="Arial" w:cs="Arial" w:eastAsia="Arial" w:hAnsi="Arial"/>
                <w:sz w:val="14"/>
                <w:szCs w:val="14"/>
                <w:b w:val="1"/>
                <w:bCs w:val="1"/>
                <w:color w:val="auto"/>
                <w:w w:val="99"/>
              </w:rPr>
              <w:t>Borrowing / Swap</w:t>
            </w:r>
          </w:p>
        </w:tc>
        <w:tc>
          <w:tcPr>
            <w:tcW w:w="0" w:type="dxa"/>
            <w:vAlign w:val="bottom"/>
          </w:tcPr>
          <w:p>
            <w:pPr>
              <w:spacing w:after="0"/>
              <w:rPr>
                <w:sz w:val="1"/>
                <w:szCs w:val="1"/>
                <w:color w:val="auto"/>
              </w:rPr>
            </w:pPr>
          </w:p>
        </w:tc>
      </w:tr>
      <w:tr>
        <w:trPr>
          <w:trHeight w:val="192"/>
        </w:trPr>
        <w:tc>
          <w:tcPr>
            <w:tcW w:w="6540" w:type="dxa"/>
            <w:vAlign w:val="bottom"/>
          </w:tcPr>
          <w:p>
            <w:pPr>
              <w:spacing w:after="0"/>
              <w:rPr>
                <w:sz w:val="16"/>
                <w:szCs w:val="16"/>
                <w:color w:val="auto"/>
              </w:rPr>
            </w:pPr>
          </w:p>
        </w:tc>
        <w:tc>
          <w:tcPr>
            <w:tcW w:w="1140" w:type="dxa"/>
            <w:vAlign w:val="bottom"/>
            <w:vMerge w:val="continue"/>
          </w:tcPr>
          <w:p>
            <w:pPr>
              <w:spacing w:after="0"/>
              <w:rPr>
                <w:sz w:val="16"/>
                <w:szCs w:val="16"/>
                <w:color w:val="auto"/>
              </w:rPr>
            </w:pPr>
          </w:p>
        </w:tc>
        <w:tc>
          <w:tcPr>
            <w:tcW w:w="2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Balance</w:t>
            </w:r>
          </w:p>
        </w:tc>
        <w:tc>
          <w:tcPr>
            <w:tcW w:w="880" w:type="dxa"/>
            <w:vAlign w:val="bottom"/>
          </w:tcPr>
          <w:p>
            <w:pPr>
              <w:jc w:val="right"/>
              <w:ind w:right="28"/>
              <w:spacing w:after="0"/>
              <w:rPr>
                <w:sz w:val="20"/>
                <w:szCs w:val="20"/>
                <w:color w:val="auto"/>
              </w:rPr>
            </w:pPr>
            <w:r>
              <w:rPr>
                <w:rFonts w:ascii="Arial" w:cs="Arial" w:eastAsia="Arial" w:hAnsi="Arial"/>
                <w:sz w:val="14"/>
                <w:szCs w:val="14"/>
                <w:b w:val="1"/>
                <w:bCs w:val="1"/>
                <w:color w:val="auto"/>
              </w:rPr>
              <w:t>Rate</w:t>
            </w:r>
          </w:p>
        </w:tc>
        <w:tc>
          <w:tcPr>
            <w:tcW w:w="4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65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Interest expense on mortgage borrowings</w:t>
            </w:r>
          </w:p>
        </w:tc>
        <w:tc>
          <w:tcPr>
            <w:tcW w:w="1140" w:type="dxa"/>
            <w:vAlign w:val="bottom"/>
            <w:tcBorders>
              <w:top w:val="single" w:sz="8" w:color="auto"/>
            </w:tcBorders>
            <w:shd w:val="clear" w:color="auto" w:fill="CCEEFF"/>
          </w:tcPr>
          <w:p>
            <w:pPr>
              <w:jc w:val="right"/>
              <w:ind w:right="968"/>
              <w:spacing w:after="0"/>
              <w:rPr>
                <w:sz w:val="20"/>
                <w:szCs w:val="20"/>
                <w:color w:val="auto"/>
              </w:rPr>
            </w:pPr>
            <w:r>
              <w:rPr>
                <w:rFonts w:ascii="Arial" w:cs="Arial" w:eastAsia="Arial" w:hAnsi="Arial"/>
                <w:sz w:val="14"/>
                <w:szCs w:val="14"/>
                <w:color w:val="auto"/>
              </w:rPr>
              <w:t>$</w:t>
            </w:r>
          </w:p>
        </w:tc>
        <w:tc>
          <w:tcPr>
            <w:tcW w:w="28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89"/>
              </w:rPr>
              <w:t>13</w:t>
            </w:r>
          </w:p>
        </w:tc>
        <w:tc>
          <w:tcPr>
            <w:tcW w:w="10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w:t>
            </w:r>
          </w:p>
        </w:tc>
        <w:tc>
          <w:tcPr>
            <w:tcW w:w="120" w:type="dxa"/>
            <w:vAlign w:val="bottom"/>
            <w:tcBorders>
              <w:top w:val="single" w:sz="8" w:color="CCEEFF"/>
            </w:tcBorders>
            <w:shd w:val="clear" w:color="auto" w:fill="CCEEFF"/>
          </w:tcPr>
          <w:p>
            <w:pPr>
              <w:spacing w:after="0"/>
              <w:rPr>
                <w:sz w:val="22"/>
                <w:szCs w:val="22"/>
                <w:color w:val="auto"/>
              </w:rPr>
            </w:pPr>
          </w:p>
        </w:tc>
        <w:tc>
          <w:tcPr>
            <w:tcW w:w="880" w:type="dxa"/>
            <w:vAlign w:val="bottom"/>
            <w:tcBorders>
              <w:top w:val="single" w:sz="8" w:color="auto"/>
            </w:tcBorders>
            <w:shd w:val="clear" w:color="auto" w:fill="CCEEFF"/>
          </w:tcPr>
          <w:p>
            <w:pPr>
              <w:jc w:val="right"/>
              <w:ind w:right="708"/>
              <w:spacing w:after="0"/>
              <w:rPr>
                <w:sz w:val="20"/>
                <w:szCs w:val="20"/>
                <w:color w:val="auto"/>
              </w:rPr>
            </w:pPr>
            <w:r>
              <w:rPr>
                <w:rFonts w:ascii="Arial" w:cs="Arial" w:eastAsia="Arial" w:hAnsi="Arial"/>
                <w:sz w:val="14"/>
                <w:szCs w:val="14"/>
                <w:color w:val="auto"/>
              </w:rPr>
              <w:t>$</w:t>
            </w:r>
          </w:p>
        </w:tc>
        <w:tc>
          <w:tcPr>
            <w:tcW w:w="40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19</w:t>
            </w:r>
          </w:p>
        </w:tc>
        <w:tc>
          <w:tcPr>
            <w:tcW w:w="0" w:type="dxa"/>
            <w:vAlign w:val="bottom"/>
          </w:tcPr>
          <w:p>
            <w:pPr>
              <w:spacing w:after="0"/>
              <w:rPr>
                <w:sz w:val="1"/>
                <w:szCs w:val="1"/>
                <w:color w:val="auto"/>
              </w:rPr>
            </w:pPr>
          </w:p>
        </w:tc>
      </w:tr>
      <w:tr>
        <w:trPr>
          <w:trHeight w:val="264"/>
        </w:trPr>
        <w:tc>
          <w:tcPr>
            <w:tcW w:w="654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 xml:space="preserve">Periodic interest rate swap costs </w:t>
            </w:r>
            <w:r>
              <w:rPr>
                <w:rFonts w:ascii="Arial" w:cs="Arial" w:eastAsia="Arial" w:hAnsi="Arial"/>
                <w:sz w:val="8"/>
                <w:szCs w:val="8"/>
                <w:color w:val="auto"/>
              </w:rPr>
              <w:t>1</w:t>
            </w:r>
          </w:p>
        </w:tc>
        <w:tc>
          <w:tcPr>
            <w:tcW w:w="1140" w:type="dxa"/>
            <w:vAlign w:val="bottom"/>
            <w:tcBorders>
              <w:bottom w:val="single" w:sz="8" w:color="auto"/>
            </w:tcBorders>
          </w:tcPr>
          <w:p>
            <w:pPr>
              <w:spacing w:after="0"/>
              <w:rPr>
                <w:sz w:val="22"/>
                <w:szCs w:val="22"/>
                <w:color w:val="auto"/>
              </w:rPr>
            </w:pPr>
          </w:p>
        </w:tc>
        <w:tc>
          <w:tcPr>
            <w:tcW w:w="2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18</w:t>
            </w:r>
          </w:p>
        </w:tc>
        <w:tc>
          <w:tcPr>
            <w:tcW w:w="120" w:type="dxa"/>
            <w:vAlign w:val="bottom"/>
            <w:tcBorders>
              <w:bottom w:val="single" w:sz="8" w:color="CCEEFF"/>
            </w:tcBorders>
          </w:tcPr>
          <w:p>
            <w:pPr>
              <w:spacing w:after="0"/>
              <w:rPr>
                <w:sz w:val="22"/>
                <w:szCs w:val="22"/>
                <w:color w:val="auto"/>
              </w:rPr>
            </w:pPr>
          </w:p>
        </w:tc>
        <w:tc>
          <w:tcPr>
            <w:tcW w:w="88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w:t>
            </w:r>
          </w:p>
        </w:tc>
        <w:tc>
          <w:tcPr>
            <w:tcW w:w="0" w:type="dxa"/>
            <w:vAlign w:val="bottom"/>
          </w:tcPr>
          <w:p>
            <w:pPr>
              <w:spacing w:after="0"/>
              <w:rPr>
                <w:sz w:val="1"/>
                <w:szCs w:val="1"/>
                <w:color w:val="auto"/>
              </w:rPr>
            </w:pPr>
          </w:p>
        </w:tc>
      </w:tr>
      <w:tr>
        <w:trPr>
          <w:trHeight w:val="243"/>
        </w:trPr>
        <w:tc>
          <w:tcPr>
            <w:tcW w:w="6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 change in adjusted net interest expense</w:t>
            </w:r>
          </w:p>
        </w:tc>
        <w:tc>
          <w:tcPr>
            <w:tcW w:w="1140" w:type="dxa"/>
            <w:vAlign w:val="bottom"/>
            <w:tcBorders>
              <w:bottom w:val="single" w:sz="8" w:color="auto"/>
            </w:tcBorders>
            <w:shd w:val="clear" w:color="auto" w:fill="CCEEFF"/>
          </w:tcPr>
          <w:p>
            <w:pPr>
              <w:jc w:val="right"/>
              <w:ind w:right="968"/>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89"/>
              </w:rPr>
              <w:t>21</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12</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ind w:right="708"/>
              <w:spacing w:after="0"/>
              <w:rPr>
                <w:sz w:val="20"/>
                <w:szCs w:val="20"/>
                <w:color w:val="auto"/>
              </w:rPr>
            </w:pPr>
            <w:r>
              <w:rPr>
                <w:rFonts w:ascii="Arial" w:cs="Arial" w:eastAsia="Arial" w:hAnsi="Arial"/>
                <w:sz w:val="14"/>
                <w:szCs w:val="14"/>
                <w:color w:val="auto"/>
              </w:rPr>
              <w:t>$</w:t>
            </w:r>
          </w:p>
        </w:tc>
        <w:tc>
          <w:tcPr>
            <w:tcW w:w="4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w:t>
            </w:r>
          </w:p>
        </w:tc>
        <w:tc>
          <w:tcPr>
            <w:tcW w:w="0" w:type="dxa"/>
            <w:vAlign w:val="bottom"/>
          </w:tcPr>
          <w:p>
            <w:pPr>
              <w:spacing w:after="0"/>
              <w:rPr>
                <w:sz w:val="1"/>
                <w:szCs w:val="1"/>
                <w:color w:val="auto"/>
              </w:rPr>
            </w:pPr>
          </w:p>
        </w:tc>
      </w:tr>
      <w:tr>
        <w:trPr>
          <w:trHeight w:val="20"/>
        </w:trPr>
        <w:tc>
          <w:tcPr>
            <w:tcW w:w="654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rPr>
          <w:sz w:val="20"/>
          <w:szCs w:val="20"/>
          <w:color w:val="auto"/>
        </w:rPr>
      </w:pPr>
      <w:r>
        <w:rPr>
          <w:rFonts w:ascii="Arial" w:cs="Arial" w:eastAsia="Arial" w:hAnsi="Arial"/>
          <w:sz w:val="18"/>
          <w:szCs w:val="18"/>
          <w:color w:val="auto"/>
        </w:rPr>
        <w:t>_______________________</w:t>
      </w:r>
    </w:p>
    <w:p>
      <w:pPr>
        <w:spacing w:after="0" w:line="2" w:lineRule="exact"/>
        <w:rPr>
          <w:sz w:val="20"/>
          <w:szCs w:val="20"/>
          <w:color w:val="auto"/>
        </w:rPr>
      </w:pPr>
    </w:p>
    <w:p>
      <w:pPr>
        <w:ind w:left="660" w:hanging="328"/>
        <w:spacing w:after="0" w:line="255" w:lineRule="auto"/>
        <w:tabs>
          <w:tab w:leader="none" w:pos="660" w:val="left"/>
        </w:tabs>
        <w:numPr>
          <w:ilvl w:val="0"/>
          <w:numId w:val="31"/>
        </w:numPr>
        <w:rPr>
          <w:rFonts w:ascii="Arial" w:cs="Arial" w:eastAsia="Arial" w:hAnsi="Arial"/>
          <w:sz w:val="14"/>
          <w:szCs w:val="14"/>
          <w:color w:val="auto"/>
        </w:rPr>
      </w:pPr>
      <w:r>
        <w:rPr>
          <w:rFonts w:ascii="Arial" w:cs="Arial" w:eastAsia="Arial" w:hAnsi="Arial"/>
          <w:sz w:val="14"/>
          <w:szCs w:val="14"/>
          <w:color w:val="auto"/>
        </w:rPr>
        <w:t>Includes amounts recognized in interest expense and in gain (loss) on derivatives and other securities, net in our consolidated statements of comprehensive income. The change due to interest rate reflects the net impact of the change in the weighted average fixed pay and variable receive rates.</w:t>
      </w: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420"/>
          </w:cols>
          <w:pgMar w:left="240" w:top="584" w:right="239" w:bottom="1440" w:gutter="0" w:footer="0" w:header="0"/>
        </w:sectPr>
      </w:pPr>
    </w:p>
    <w:bookmarkStart w:id="52" w:name="page53"/>
    <w:bookmarkEnd w:id="52"/>
    <w:p>
      <w:pPr>
        <w:ind w:firstLine="486"/>
        <w:spacing w:after="0" w:line="277" w:lineRule="auto"/>
        <w:rPr>
          <w:sz w:val="20"/>
          <w:szCs w:val="20"/>
          <w:color w:val="auto"/>
        </w:rPr>
      </w:pPr>
      <w:r>
        <w:rPr>
          <w:rFonts w:ascii="Arial" w:cs="Arial" w:eastAsia="Arial" w:hAnsi="Arial"/>
          <w:sz w:val="18"/>
          <w:szCs w:val="18"/>
          <w:color w:val="auto"/>
        </w:rPr>
        <w:t>The table below presents a summary of our average mortgage borrowings outstanding and our average interest rates swaps outstanding, excluding forward starting swaps, for fiscal years 2015 and 2014 (dollars in millions):</w:t>
      </w:r>
    </w:p>
    <w:p>
      <w:pPr>
        <w:spacing w:after="0" w:line="338" w:lineRule="exact"/>
        <w:rPr>
          <w:sz w:val="20"/>
          <w:szCs w:val="20"/>
          <w:color w:val="auto"/>
        </w:rPr>
      </w:pPr>
    </w:p>
    <w:tbl>
      <w:tblPr>
        <w:tblLayout w:type="fixed"/>
        <w:tblInd w:w="1000" w:type="dxa"/>
        <w:tblCellMar>
          <w:top w:w="0" w:type="dxa"/>
          <w:left w:w="0" w:type="dxa"/>
          <w:bottom w:w="0" w:type="dxa"/>
          <w:right w:w="0" w:type="dxa"/>
        </w:tblCellMar>
      </w:tblPr>
      <w:tr>
        <w:trPr>
          <w:trHeight w:val="192"/>
        </w:trPr>
        <w:tc>
          <w:tcPr>
            <w:tcW w:w="74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Fiscal Year</w:t>
            </w:r>
          </w:p>
        </w:tc>
        <w:tc>
          <w:tcPr>
            <w:tcW w:w="6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9"/>
        </w:trPr>
        <w:tc>
          <w:tcPr>
            <w:tcW w:w="7520" w:type="dxa"/>
            <w:vAlign w:val="bottom"/>
            <w:gridSpan w:val="2"/>
          </w:tcPr>
          <w:p>
            <w:pPr>
              <w:ind w:left="20"/>
              <w:spacing w:after="0" w:line="139" w:lineRule="exact"/>
              <w:rPr>
                <w:sz w:val="20"/>
                <w:szCs w:val="20"/>
                <w:color w:val="auto"/>
              </w:rPr>
            </w:pPr>
            <w:r>
              <w:rPr>
                <w:rFonts w:ascii="Arial" w:cs="Arial" w:eastAsia="Arial" w:hAnsi="Arial"/>
                <w:sz w:val="14"/>
                <w:szCs w:val="14"/>
                <w:b w:val="1"/>
                <w:bCs w:val="1"/>
                <w:color w:val="auto"/>
              </w:rPr>
              <w:t>Average Ratio of Interest Rate Swaps Outstanding (Excluding Forward Starting Swaps) to Mortgage Borrowings</w:t>
            </w:r>
          </w:p>
        </w:tc>
        <w:tc>
          <w:tcPr>
            <w:tcW w:w="200" w:type="dxa"/>
            <w:vAlign w:val="bottom"/>
          </w:tcPr>
          <w:p>
            <w:pPr>
              <w:spacing w:after="0"/>
              <w:rPr>
                <w:sz w:val="12"/>
                <w:szCs w:val="12"/>
                <w:color w:val="auto"/>
              </w:rPr>
            </w:pPr>
          </w:p>
        </w:tc>
        <w:tc>
          <w:tcPr>
            <w:tcW w:w="700" w:type="dxa"/>
            <w:vAlign w:val="bottom"/>
            <w:vMerge w:val="restart"/>
          </w:tcPr>
          <w:p>
            <w:pPr>
              <w:jc w:val="right"/>
              <w:ind w:right="228"/>
              <w:spacing w:after="0"/>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00" w:type="dxa"/>
            <w:vAlign w:val="bottom"/>
            <w:vMerge w:val="restart"/>
          </w:tcPr>
          <w:p>
            <w:pPr>
              <w:jc w:val="right"/>
              <w:ind w:right="248"/>
              <w:spacing w:after="0"/>
              <w:rPr>
                <w:sz w:val="20"/>
                <w:szCs w:val="20"/>
                <w:color w:val="auto"/>
              </w:rPr>
            </w:pPr>
            <w:r>
              <w:rPr>
                <w:rFonts w:ascii="Arial" w:cs="Arial" w:eastAsia="Arial" w:hAnsi="Arial"/>
                <w:sz w:val="14"/>
                <w:szCs w:val="14"/>
                <w:b w:val="1"/>
                <w:bCs w:val="1"/>
                <w:color w:val="auto"/>
                <w:w w:val="83"/>
              </w:rPr>
              <w:t>2014</w:t>
            </w:r>
          </w:p>
        </w:tc>
        <w:tc>
          <w:tcPr>
            <w:tcW w:w="0" w:type="dxa"/>
            <w:vAlign w:val="bottom"/>
          </w:tcPr>
          <w:p>
            <w:pPr>
              <w:spacing w:after="0"/>
              <w:rPr>
                <w:sz w:val="1"/>
                <w:szCs w:val="1"/>
                <w:color w:val="auto"/>
              </w:rPr>
            </w:pPr>
          </w:p>
        </w:tc>
      </w:tr>
      <w:tr>
        <w:trPr>
          <w:trHeight w:val="192"/>
        </w:trPr>
        <w:tc>
          <w:tcPr>
            <w:tcW w:w="740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Outstanding</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75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Average mortgage borrowings</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48,641</w:t>
            </w:r>
          </w:p>
        </w:tc>
        <w:tc>
          <w:tcPr>
            <w:tcW w:w="100" w:type="dxa"/>
            <w:vAlign w:val="bottom"/>
            <w:shd w:val="clear" w:color="auto" w:fill="CCEEFF"/>
          </w:tcPr>
          <w:p>
            <w:pPr>
              <w:spacing w:after="0"/>
              <w:rPr>
                <w:sz w:val="22"/>
                <w:szCs w:val="22"/>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w w:val="97"/>
              </w:rPr>
              <w:t>50,015</w:t>
            </w:r>
          </w:p>
        </w:tc>
        <w:tc>
          <w:tcPr>
            <w:tcW w:w="0" w:type="dxa"/>
            <w:vAlign w:val="bottom"/>
          </w:tcPr>
          <w:p>
            <w:pPr>
              <w:spacing w:after="0"/>
              <w:rPr>
                <w:sz w:val="1"/>
                <w:szCs w:val="1"/>
                <w:color w:val="auto"/>
              </w:rPr>
            </w:pPr>
          </w:p>
        </w:tc>
      </w:tr>
      <w:tr>
        <w:trPr>
          <w:trHeight w:val="264"/>
        </w:trPr>
        <w:tc>
          <w:tcPr>
            <w:tcW w:w="752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Average notional amount of interest rate swaps (excluding forward starting swaps)</w:t>
            </w: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35,220</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6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w w:val="97"/>
              </w:rPr>
              <w:t>33,988</w:t>
            </w:r>
          </w:p>
        </w:tc>
        <w:tc>
          <w:tcPr>
            <w:tcW w:w="0" w:type="dxa"/>
            <w:vAlign w:val="bottom"/>
          </w:tcPr>
          <w:p>
            <w:pPr>
              <w:spacing w:after="0"/>
              <w:rPr>
                <w:sz w:val="1"/>
                <w:szCs w:val="1"/>
                <w:color w:val="auto"/>
              </w:rPr>
            </w:pPr>
          </w:p>
        </w:tc>
      </w:tr>
      <w:tr>
        <w:trPr>
          <w:trHeight w:val="243"/>
        </w:trPr>
        <w:tc>
          <w:tcPr>
            <w:tcW w:w="75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Average ratio of interest rate swaps to mortgage borrowings</w:t>
            </w:r>
          </w:p>
        </w:tc>
        <w:tc>
          <w:tcPr>
            <w:tcW w:w="200" w:type="dxa"/>
            <w:vAlign w:val="bottom"/>
            <w:tcBorders>
              <w:bottom w:val="single" w:sz="8" w:color="auto"/>
            </w:tcBorders>
            <w:shd w:val="clear" w:color="auto" w:fill="CCEEFF"/>
          </w:tcPr>
          <w:p>
            <w:pPr>
              <w:spacing w:after="0"/>
              <w:rPr>
                <w:sz w:val="21"/>
                <w:szCs w:val="21"/>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72%</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68%</w:t>
            </w:r>
          </w:p>
        </w:tc>
        <w:tc>
          <w:tcPr>
            <w:tcW w:w="0" w:type="dxa"/>
            <w:vAlign w:val="bottom"/>
          </w:tcPr>
          <w:p>
            <w:pPr>
              <w:spacing w:after="0"/>
              <w:rPr>
                <w:sz w:val="1"/>
                <w:szCs w:val="1"/>
                <w:color w:val="auto"/>
              </w:rPr>
            </w:pPr>
          </w:p>
        </w:tc>
      </w:tr>
      <w:tr>
        <w:trPr>
          <w:trHeight w:val="20"/>
        </w:trPr>
        <w:tc>
          <w:tcPr>
            <w:tcW w:w="7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8"/>
        </w:trPr>
        <w:tc>
          <w:tcPr>
            <w:tcW w:w="7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75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Weighted average pay rate on interest rate swaps</w:t>
            </w:r>
          </w:p>
        </w:tc>
        <w:tc>
          <w:tcPr>
            <w:tcW w:w="200" w:type="dxa"/>
            <w:vAlign w:val="bottom"/>
            <w:shd w:val="clear" w:color="auto" w:fill="CCEEFF"/>
          </w:tcPr>
          <w:p>
            <w:pPr>
              <w:spacing w:after="0"/>
              <w:rPr>
                <w:sz w:val="23"/>
                <w:szCs w:val="23"/>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1.68%</w:t>
            </w:r>
          </w:p>
        </w:tc>
        <w:tc>
          <w:tcPr>
            <w:tcW w:w="10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1.64%</w:t>
            </w:r>
          </w:p>
        </w:tc>
        <w:tc>
          <w:tcPr>
            <w:tcW w:w="0" w:type="dxa"/>
            <w:vAlign w:val="bottom"/>
          </w:tcPr>
          <w:p>
            <w:pPr>
              <w:spacing w:after="0"/>
              <w:rPr>
                <w:sz w:val="1"/>
                <w:szCs w:val="1"/>
                <w:color w:val="auto"/>
              </w:rPr>
            </w:pPr>
          </w:p>
        </w:tc>
      </w:tr>
      <w:tr>
        <w:trPr>
          <w:trHeight w:val="264"/>
        </w:trPr>
        <w:tc>
          <w:tcPr>
            <w:tcW w:w="752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Weighted average receive rate on interest rate swaps</w:t>
            </w: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0.28%</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0.21%</w:t>
            </w:r>
          </w:p>
        </w:tc>
        <w:tc>
          <w:tcPr>
            <w:tcW w:w="0" w:type="dxa"/>
            <w:vAlign w:val="bottom"/>
          </w:tcPr>
          <w:p>
            <w:pPr>
              <w:spacing w:after="0"/>
              <w:rPr>
                <w:sz w:val="1"/>
                <w:szCs w:val="1"/>
                <w:color w:val="auto"/>
              </w:rPr>
            </w:pPr>
          </w:p>
        </w:tc>
      </w:tr>
      <w:tr>
        <w:trPr>
          <w:trHeight w:val="243"/>
        </w:trPr>
        <w:tc>
          <w:tcPr>
            <w:tcW w:w="75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Weighted average net pay rate on interest rate swaps</w:t>
            </w:r>
          </w:p>
        </w:tc>
        <w:tc>
          <w:tcPr>
            <w:tcW w:w="200" w:type="dxa"/>
            <w:vAlign w:val="bottom"/>
            <w:tcBorders>
              <w:bottom w:val="single" w:sz="8" w:color="auto"/>
            </w:tcBorders>
            <w:shd w:val="clear" w:color="auto" w:fill="CCEEFF"/>
          </w:tcPr>
          <w:p>
            <w:pPr>
              <w:spacing w:after="0"/>
              <w:rPr>
                <w:sz w:val="21"/>
                <w:szCs w:val="21"/>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1.40%</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1.43%</w:t>
            </w:r>
          </w:p>
        </w:tc>
        <w:tc>
          <w:tcPr>
            <w:tcW w:w="0" w:type="dxa"/>
            <w:vAlign w:val="bottom"/>
          </w:tcPr>
          <w:p>
            <w:pPr>
              <w:spacing w:after="0"/>
              <w:rPr>
                <w:sz w:val="1"/>
                <w:szCs w:val="1"/>
                <w:color w:val="auto"/>
              </w:rPr>
            </w:pPr>
          </w:p>
        </w:tc>
      </w:tr>
      <w:tr>
        <w:trPr>
          <w:trHeight w:val="20"/>
        </w:trPr>
        <w:tc>
          <w:tcPr>
            <w:tcW w:w="7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4" w:lineRule="exact"/>
        <w:rPr>
          <w:sz w:val="20"/>
          <w:szCs w:val="20"/>
          <w:color w:val="auto"/>
        </w:rPr>
      </w:pPr>
    </w:p>
    <w:p>
      <w:pPr>
        <w:jc w:val="both"/>
        <w:ind w:left="60" w:firstLine="486"/>
        <w:spacing w:after="0" w:line="279" w:lineRule="auto"/>
        <w:rPr>
          <w:sz w:val="20"/>
          <w:szCs w:val="20"/>
          <w:color w:val="auto"/>
        </w:rPr>
      </w:pPr>
      <w:r>
        <w:rPr>
          <w:rFonts w:ascii="Arial" w:cs="Arial" w:eastAsia="Arial" w:hAnsi="Arial"/>
          <w:sz w:val="17"/>
          <w:szCs w:val="17"/>
          <w:color w:val="auto"/>
        </w:rPr>
        <w:t>Forward starting interest rate swaps do not impact our adjusted net interest expense and cost of funds until they commence accruing net interest settlements on their forward start dates. We enter into forward starting interest rate swaps based on a variety of factors, including our view of the forward yield curve and the timing of potential changes in short-term interest rates, time to deploy new capital, amount and timing of expirations of our existing interest rate swap portfolio, current and anticipated swap spreads and our desire to mitigate our exposure to specific sectors of the yield curve.</w:t>
      </w:r>
    </w:p>
    <w:p>
      <w:pPr>
        <w:spacing w:after="0" w:line="117" w:lineRule="exact"/>
        <w:rPr>
          <w:sz w:val="20"/>
          <w:szCs w:val="20"/>
          <w:color w:val="auto"/>
        </w:rPr>
      </w:pPr>
    </w:p>
    <w:p>
      <w:pPr>
        <w:jc w:val="both"/>
        <w:ind w:left="60" w:firstLine="486"/>
        <w:spacing w:after="0" w:line="277" w:lineRule="auto"/>
        <w:rPr>
          <w:sz w:val="20"/>
          <w:szCs w:val="20"/>
          <w:color w:val="auto"/>
        </w:rPr>
      </w:pPr>
      <w:r>
        <w:rPr>
          <w:rFonts w:ascii="Arial" w:cs="Arial" w:eastAsia="Arial" w:hAnsi="Arial"/>
          <w:sz w:val="18"/>
          <w:szCs w:val="18"/>
          <w:color w:val="auto"/>
        </w:rPr>
        <w:t>Including forward starting swaps and our net TBA position, our average ratio of interest rate swaps outstanding to our average mortgage borrowings and net TBA position (at cost) was 81% for fiscal year 2015, compared to 58% for fiscal year 2014.</w:t>
      </w:r>
    </w:p>
    <w:p>
      <w:pPr>
        <w:spacing w:after="0" w:line="338" w:lineRule="exact"/>
        <w:rPr>
          <w:sz w:val="20"/>
          <w:szCs w:val="20"/>
          <w:color w:val="auto"/>
        </w:rPr>
      </w:pPr>
    </w:p>
    <w:tbl>
      <w:tblPr>
        <w:tblLayout w:type="fixed"/>
        <w:tblInd w:w="1060" w:type="dxa"/>
        <w:tblCellMar>
          <w:top w:w="0" w:type="dxa"/>
          <w:left w:w="0" w:type="dxa"/>
          <w:bottom w:w="0" w:type="dxa"/>
          <w:right w:w="0" w:type="dxa"/>
        </w:tblCellMar>
      </w:tblPr>
      <w:tr>
        <w:trPr>
          <w:trHeight w:val="192"/>
        </w:trPr>
        <w:tc>
          <w:tcPr>
            <w:tcW w:w="7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Fiscal Year</w:t>
            </w:r>
          </w:p>
        </w:tc>
        <w:tc>
          <w:tcPr>
            <w:tcW w:w="6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9"/>
        </w:trPr>
        <w:tc>
          <w:tcPr>
            <w:tcW w:w="7200" w:type="dxa"/>
            <w:vAlign w:val="bottom"/>
            <w:gridSpan w:val="2"/>
          </w:tcPr>
          <w:p>
            <w:pPr>
              <w:ind w:left="20"/>
              <w:spacing w:after="0" w:line="139" w:lineRule="exact"/>
              <w:rPr>
                <w:sz w:val="20"/>
                <w:szCs w:val="20"/>
                <w:color w:val="auto"/>
              </w:rPr>
            </w:pPr>
            <w:r>
              <w:rPr>
                <w:rFonts w:ascii="Arial" w:cs="Arial" w:eastAsia="Arial" w:hAnsi="Arial"/>
                <w:sz w:val="14"/>
                <w:szCs w:val="14"/>
                <w:b w:val="1"/>
                <w:bCs w:val="1"/>
                <w:color w:val="auto"/>
                <w:w w:val="96"/>
              </w:rPr>
              <w:t>Average Ratio of Interest Rate Swaps Outstanding (Including Forward Starting Swaps) to Mortgage Borrowings</w:t>
            </w:r>
          </w:p>
        </w:tc>
        <w:tc>
          <w:tcPr>
            <w:tcW w:w="220" w:type="dxa"/>
            <w:vAlign w:val="bottom"/>
          </w:tcPr>
          <w:p>
            <w:pPr>
              <w:spacing w:after="0"/>
              <w:rPr>
                <w:sz w:val="12"/>
                <w:szCs w:val="12"/>
                <w:color w:val="auto"/>
              </w:rPr>
            </w:pPr>
          </w:p>
        </w:tc>
        <w:tc>
          <w:tcPr>
            <w:tcW w:w="780" w:type="dxa"/>
            <w:vAlign w:val="bottom"/>
            <w:vMerge w:val="restart"/>
          </w:tcPr>
          <w:p>
            <w:pPr>
              <w:jc w:val="right"/>
              <w:ind w:right="288"/>
              <w:spacing w:after="0"/>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60" w:type="dxa"/>
            <w:vAlign w:val="bottom"/>
            <w:vMerge w:val="restart"/>
          </w:tcPr>
          <w:p>
            <w:pPr>
              <w:jc w:val="right"/>
              <w:ind w:right="268"/>
              <w:spacing w:after="0"/>
              <w:rPr>
                <w:sz w:val="20"/>
                <w:szCs w:val="20"/>
                <w:color w:val="auto"/>
              </w:rPr>
            </w:pPr>
            <w:r>
              <w:rPr>
                <w:rFonts w:ascii="Arial" w:cs="Arial" w:eastAsia="Arial" w:hAnsi="Arial"/>
                <w:sz w:val="14"/>
                <w:szCs w:val="14"/>
                <w:b w:val="1"/>
                <w:bCs w:val="1"/>
                <w:color w:val="auto"/>
                <w:w w:val="96"/>
              </w:rPr>
              <w:t>2014</w:t>
            </w:r>
          </w:p>
        </w:tc>
        <w:tc>
          <w:tcPr>
            <w:tcW w:w="0" w:type="dxa"/>
            <w:vAlign w:val="bottom"/>
          </w:tcPr>
          <w:p>
            <w:pPr>
              <w:spacing w:after="0"/>
              <w:rPr>
                <w:sz w:val="1"/>
                <w:szCs w:val="1"/>
                <w:color w:val="auto"/>
              </w:rPr>
            </w:pPr>
          </w:p>
        </w:tc>
      </w:tr>
      <w:tr>
        <w:trPr>
          <w:trHeight w:val="192"/>
        </w:trPr>
        <w:tc>
          <w:tcPr>
            <w:tcW w:w="710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and Net TBA Position</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72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Average mortgage borrowings</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48,641</w:t>
            </w:r>
          </w:p>
        </w:tc>
        <w:tc>
          <w:tcPr>
            <w:tcW w:w="100" w:type="dxa"/>
            <w:vAlign w:val="bottom"/>
            <w:shd w:val="clear" w:color="auto" w:fill="CCEEFF"/>
          </w:tcPr>
          <w:p>
            <w:pPr>
              <w:spacing w:after="0"/>
              <w:rPr>
                <w:sz w:val="22"/>
                <w:szCs w:val="22"/>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50,015</w:t>
            </w:r>
          </w:p>
        </w:tc>
        <w:tc>
          <w:tcPr>
            <w:tcW w:w="0" w:type="dxa"/>
            <w:vAlign w:val="bottom"/>
          </w:tcPr>
          <w:p>
            <w:pPr>
              <w:spacing w:after="0"/>
              <w:rPr>
                <w:sz w:val="1"/>
                <w:szCs w:val="1"/>
                <w:color w:val="auto"/>
              </w:rPr>
            </w:pPr>
          </w:p>
        </w:tc>
      </w:tr>
      <w:tr>
        <w:trPr>
          <w:trHeight w:val="264"/>
        </w:trPr>
        <w:tc>
          <w:tcPr>
            <w:tcW w:w="720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Average net TBA position - at cost</w:t>
            </w:r>
          </w:p>
        </w:tc>
        <w:tc>
          <w:tcPr>
            <w:tcW w:w="2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7,547</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13,212</w:t>
            </w:r>
          </w:p>
        </w:tc>
        <w:tc>
          <w:tcPr>
            <w:tcW w:w="0" w:type="dxa"/>
            <w:vAlign w:val="bottom"/>
          </w:tcPr>
          <w:p>
            <w:pPr>
              <w:spacing w:after="0"/>
              <w:rPr>
                <w:sz w:val="1"/>
                <w:szCs w:val="1"/>
                <w:color w:val="auto"/>
              </w:rPr>
            </w:pPr>
          </w:p>
        </w:tc>
      </w:tr>
      <w:tr>
        <w:trPr>
          <w:trHeight w:val="256"/>
        </w:trPr>
        <w:tc>
          <w:tcPr>
            <w:tcW w:w="72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Total average mortgage borrowings and net TBA position</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56,188</w:t>
            </w:r>
          </w:p>
        </w:tc>
        <w:tc>
          <w:tcPr>
            <w:tcW w:w="100" w:type="dxa"/>
            <w:vAlign w:val="bottom"/>
            <w:shd w:val="clear" w:color="auto" w:fill="CCEEFF"/>
          </w:tcPr>
          <w:p>
            <w:pPr>
              <w:spacing w:after="0"/>
              <w:rPr>
                <w:sz w:val="22"/>
                <w:szCs w:val="22"/>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63,227</w:t>
            </w:r>
          </w:p>
        </w:tc>
        <w:tc>
          <w:tcPr>
            <w:tcW w:w="0" w:type="dxa"/>
            <w:vAlign w:val="bottom"/>
          </w:tcPr>
          <w:p>
            <w:pPr>
              <w:spacing w:after="0"/>
              <w:rPr>
                <w:sz w:val="1"/>
                <w:szCs w:val="1"/>
                <w:color w:val="auto"/>
              </w:rPr>
            </w:pPr>
          </w:p>
        </w:tc>
      </w:tr>
      <w:tr>
        <w:trPr>
          <w:trHeight w:val="264"/>
        </w:trPr>
        <w:tc>
          <w:tcPr>
            <w:tcW w:w="720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Average notional amount of interest rate swaps (including of forward starting swaps)</w:t>
            </w: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45,446</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36,408</w:t>
            </w:r>
          </w:p>
        </w:tc>
        <w:tc>
          <w:tcPr>
            <w:tcW w:w="0" w:type="dxa"/>
            <w:vAlign w:val="bottom"/>
          </w:tcPr>
          <w:p>
            <w:pPr>
              <w:spacing w:after="0"/>
              <w:rPr>
                <w:sz w:val="1"/>
                <w:szCs w:val="1"/>
                <w:color w:val="auto"/>
              </w:rPr>
            </w:pPr>
          </w:p>
        </w:tc>
      </w:tr>
      <w:tr>
        <w:trPr>
          <w:trHeight w:val="243"/>
        </w:trPr>
        <w:tc>
          <w:tcPr>
            <w:tcW w:w="72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Average ratio of interest rate swaps to mortgage borrowings and net TBA position</w:t>
            </w:r>
          </w:p>
        </w:tc>
        <w:tc>
          <w:tcPr>
            <w:tcW w:w="22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spacing w:after="0"/>
              <w:rPr>
                <w:sz w:val="21"/>
                <w:szCs w:val="21"/>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58%</w:t>
            </w:r>
          </w:p>
        </w:tc>
        <w:tc>
          <w:tcPr>
            <w:tcW w:w="0" w:type="dxa"/>
            <w:vAlign w:val="bottom"/>
          </w:tcPr>
          <w:p>
            <w:pPr>
              <w:spacing w:after="0"/>
              <w:rPr>
                <w:sz w:val="1"/>
                <w:szCs w:val="1"/>
                <w:color w:val="auto"/>
              </w:rPr>
            </w:pPr>
          </w:p>
        </w:tc>
      </w:tr>
      <w:tr>
        <w:trPr>
          <w:trHeight w:val="20"/>
        </w:trPr>
        <w:tc>
          <w:tcPr>
            <w:tcW w:w="7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420"/>
          </w:cols>
          <w:pgMar w:left="240" w:top="584" w:right="239" w:bottom="1440" w:gutter="0" w:footer="0" w:header="0"/>
        </w:sectPr>
      </w:pPr>
    </w:p>
    <w:bookmarkStart w:id="53" w:name="page54"/>
    <w:bookmarkEnd w:id="53"/>
    <w:p>
      <w:pPr>
        <w:spacing w:after="0"/>
        <w:rPr>
          <w:sz w:val="20"/>
          <w:szCs w:val="20"/>
          <w:color w:val="auto"/>
        </w:rPr>
      </w:pPr>
      <w:r>
        <w:rPr>
          <w:rFonts w:ascii="Arial" w:cs="Arial" w:eastAsia="Arial" w:hAnsi="Arial"/>
          <w:sz w:val="18"/>
          <w:szCs w:val="18"/>
          <w:b w:val="1"/>
          <w:bCs w:val="1"/>
          <w:i w:val="1"/>
          <w:iCs w:val="1"/>
          <w:color w:val="auto"/>
        </w:rPr>
        <w:t>Net Spread and Dollar Roll Income</w:t>
      </w:r>
    </w:p>
    <w:p>
      <w:pPr>
        <w:spacing w:after="0" w:line="171"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The table below presents a reconciliation of our net interest income (the most comparable GAAP financial measure) to our net spread and dollar roll income and to our net spread and dollar roll income, excluding estimated "catch-up" premium amortization cost, (non-GAAP financial measures) for fiscal years 2015 and 2014 (dollars in millions):</w:t>
      </w:r>
    </w:p>
    <w:p>
      <w:pPr>
        <w:spacing w:after="0" w:line="348" w:lineRule="exact"/>
        <w:rPr>
          <w:sz w:val="20"/>
          <w:szCs w:val="20"/>
          <w:color w:val="auto"/>
        </w:rPr>
      </w:pPr>
    </w:p>
    <w:tbl>
      <w:tblPr>
        <w:tblLayout w:type="fixed"/>
        <w:tblInd w:w="1920" w:type="dxa"/>
        <w:tblCellMar>
          <w:top w:w="0" w:type="dxa"/>
          <w:left w:w="0" w:type="dxa"/>
          <w:bottom w:w="0" w:type="dxa"/>
          <w:right w:w="0" w:type="dxa"/>
        </w:tblCellMar>
      </w:tblPr>
      <w:tr>
        <w:trPr>
          <w:trHeight w:val="192"/>
        </w:trPr>
        <w:tc>
          <w:tcPr>
            <w:tcW w:w="594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500" w:type="dxa"/>
            <w:vAlign w:val="bottom"/>
            <w:tcBorders>
              <w:bottom w:val="single" w:sz="8" w:color="auto"/>
            </w:tcBorders>
            <w:gridSpan w:val="4"/>
          </w:tcPr>
          <w:p>
            <w:pPr>
              <w:jc w:val="right"/>
              <w:ind w:right="408"/>
              <w:spacing w:after="0"/>
              <w:rPr>
                <w:sz w:val="20"/>
                <w:szCs w:val="20"/>
                <w:color w:val="auto"/>
              </w:rPr>
            </w:pPr>
            <w:r>
              <w:rPr>
                <w:rFonts w:ascii="Arial" w:cs="Arial" w:eastAsia="Arial" w:hAnsi="Arial"/>
                <w:sz w:val="14"/>
                <w:szCs w:val="14"/>
                <w:b w:val="1"/>
                <w:bCs w:val="1"/>
                <w:color w:val="auto"/>
              </w:rPr>
              <w:t>Fiscal Year</w:t>
            </w:r>
          </w:p>
        </w:tc>
        <w:tc>
          <w:tcPr>
            <w:tcW w:w="0" w:type="dxa"/>
            <w:vAlign w:val="bottom"/>
          </w:tcPr>
          <w:p>
            <w:pPr>
              <w:spacing w:after="0"/>
              <w:rPr>
                <w:sz w:val="1"/>
                <w:szCs w:val="1"/>
                <w:color w:val="auto"/>
              </w:rPr>
            </w:pPr>
          </w:p>
        </w:tc>
      </w:tr>
      <w:tr>
        <w:trPr>
          <w:trHeight w:val="264"/>
        </w:trPr>
        <w:tc>
          <w:tcPr>
            <w:tcW w:w="594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2014</w:t>
            </w:r>
          </w:p>
        </w:tc>
        <w:tc>
          <w:tcPr>
            <w:tcW w:w="0" w:type="dxa"/>
            <w:vAlign w:val="bottom"/>
          </w:tcPr>
          <w:p>
            <w:pPr>
              <w:spacing w:after="0"/>
              <w:rPr>
                <w:sz w:val="1"/>
                <w:szCs w:val="1"/>
                <w:color w:val="auto"/>
              </w:rPr>
            </w:pPr>
          </w:p>
        </w:tc>
      </w:tr>
      <w:tr>
        <w:trPr>
          <w:trHeight w:val="256"/>
        </w:trPr>
        <w:tc>
          <w:tcPr>
            <w:tcW w:w="594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interest income</w:t>
            </w:r>
          </w:p>
        </w:tc>
        <w:tc>
          <w:tcPr>
            <w:tcW w:w="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1,136</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1,100</w:t>
            </w:r>
          </w:p>
        </w:tc>
        <w:tc>
          <w:tcPr>
            <w:tcW w:w="0" w:type="dxa"/>
            <w:vAlign w:val="bottom"/>
          </w:tcPr>
          <w:p>
            <w:pPr>
              <w:spacing w:after="0"/>
              <w:rPr>
                <w:sz w:val="1"/>
                <w:szCs w:val="1"/>
                <w:color w:val="auto"/>
              </w:rPr>
            </w:pPr>
          </w:p>
        </w:tc>
      </w:tr>
      <w:tr>
        <w:trPr>
          <w:trHeight w:val="264"/>
        </w:trPr>
        <w:tc>
          <w:tcPr>
            <w:tcW w:w="5940" w:type="dxa"/>
            <w:vAlign w:val="bottom"/>
          </w:tcPr>
          <w:p>
            <w:pPr>
              <w:ind w:left="140"/>
              <w:spacing w:after="0"/>
              <w:rPr>
                <w:sz w:val="20"/>
                <w:szCs w:val="20"/>
                <w:color w:val="auto"/>
              </w:rPr>
            </w:pPr>
            <w:r>
              <w:rPr>
                <w:rFonts w:ascii="Arial" w:cs="Arial" w:eastAsia="Arial" w:hAnsi="Arial"/>
                <w:sz w:val="14"/>
                <w:szCs w:val="14"/>
                <w:color w:val="auto"/>
              </w:rPr>
              <w:t xml:space="preserve">Other periodic interest costs of interest rate swaps, net </w:t>
            </w:r>
            <w:r>
              <w:rPr>
                <w:rFonts w:ascii="Arial" w:cs="Arial" w:eastAsia="Arial" w:hAnsi="Arial"/>
                <w:sz w:val="8"/>
                <w:szCs w:val="8"/>
                <w:color w:val="auto"/>
              </w:rPr>
              <w:t>1</w:t>
            </w:r>
          </w:p>
        </w:tc>
        <w:tc>
          <w:tcPr>
            <w:tcW w:w="160" w:type="dxa"/>
            <w:vAlign w:val="bottom"/>
          </w:tcPr>
          <w:p>
            <w:pPr>
              <w:spacing w:after="0"/>
              <w:rPr>
                <w:sz w:val="22"/>
                <w:szCs w:val="22"/>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(393)</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(330)</w:t>
            </w:r>
          </w:p>
        </w:tc>
        <w:tc>
          <w:tcPr>
            <w:tcW w:w="0" w:type="dxa"/>
            <w:vAlign w:val="bottom"/>
          </w:tcPr>
          <w:p>
            <w:pPr>
              <w:spacing w:after="0"/>
              <w:rPr>
                <w:sz w:val="1"/>
                <w:szCs w:val="1"/>
                <w:color w:val="auto"/>
              </w:rPr>
            </w:pPr>
          </w:p>
        </w:tc>
      </w:tr>
      <w:tr>
        <w:trPr>
          <w:trHeight w:val="276"/>
        </w:trPr>
        <w:tc>
          <w:tcPr>
            <w:tcW w:w="59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 xml:space="preserve">Dividend from REIT equity securities </w:t>
            </w:r>
            <w:r>
              <w:rPr>
                <w:rFonts w:ascii="Arial" w:cs="Arial" w:eastAsia="Arial" w:hAnsi="Arial"/>
                <w:sz w:val="8"/>
                <w:szCs w:val="8"/>
                <w:color w:val="auto"/>
              </w:rPr>
              <w:t>1</w:t>
            </w: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20</w:t>
            </w:r>
          </w:p>
        </w:tc>
        <w:tc>
          <w:tcPr>
            <w:tcW w:w="0" w:type="dxa"/>
            <w:vAlign w:val="bottom"/>
          </w:tcPr>
          <w:p>
            <w:pPr>
              <w:spacing w:after="0"/>
              <w:rPr>
                <w:sz w:val="1"/>
                <w:szCs w:val="1"/>
                <w:color w:val="auto"/>
              </w:rPr>
            </w:pPr>
          </w:p>
        </w:tc>
      </w:tr>
      <w:tr>
        <w:trPr>
          <w:trHeight w:val="264"/>
        </w:trPr>
        <w:tc>
          <w:tcPr>
            <w:tcW w:w="5940" w:type="dxa"/>
            <w:vAlign w:val="bottom"/>
            <w:tcBorders>
              <w:bottom w:val="single" w:sz="8" w:color="CCEEFF"/>
            </w:tcBorders>
          </w:tcPr>
          <w:p>
            <w:pPr>
              <w:ind w:left="140"/>
              <w:spacing w:after="0"/>
              <w:rPr>
                <w:sz w:val="20"/>
                <w:szCs w:val="20"/>
                <w:color w:val="auto"/>
              </w:rPr>
            </w:pPr>
            <w:r>
              <w:rPr>
                <w:rFonts w:ascii="Arial" w:cs="Arial" w:eastAsia="Arial" w:hAnsi="Arial"/>
                <w:sz w:val="14"/>
                <w:szCs w:val="14"/>
                <w:color w:val="auto"/>
              </w:rPr>
              <w:t xml:space="preserve">TBA dollar roll income </w:t>
            </w:r>
            <w:r>
              <w:rPr>
                <w:rFonts w:ascii="Arial" w:cs="Arial" w:eastAsia="Arial" w:hAnsi="Arial"/>
                <w:sz w:val="8"/>
                <w:szCs w:val="8"/>
                <w:color w:val="auto"/>
              </w:rPr>
              <w:t>1</w:t>
            </w:r>
          </w:p>
        </w:tc>
        <w:tc>
          <w:tcPr>
            <w:tcW w:w="1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237</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505</w:t>
            </w:r>
          </w:p>
        </w:tc>
        <w:tc>
          <w:tcPr>
            <w:tcW w:w="0" w:type="dxa"/>
            <w:vAlign w:val="bottom"/>
          </w:tcPr>
          <w:p>
            <w:pPr>
              <w:spacing w:after="0"/>
              <w:rPr>
                <w:sz w:val="1"/>
                <w:szCs w:val="1"/>
                <w:color w:val="auto"/>
              </w:rPr>
            </w:pPr>
          </w:p>
        </w:tc>
      </w:tr>
      <w:tr>
        <w:trPr>
          <w:trHeight w:val="256"/>
        </w:trPr>
        <w:tc>
          <w:tcPr>
            <w:tcW w:w="5940" w:type="dxa"/>
            <w:vAlign w:val="bottom"/>
            <w:shd w:val="clear" w:color="auto" w:fill="CCEEFF"/>
          </w:tcPr>
          <w:p>
            <w:pPr>
              <w:ind w:left="20"/>
              <w:spacing w:after="0"/>
              <w:rPr>
                <w:sz w:val="20"/>
                <w:szCs w:val="20"/>
                <w:color w:val="auto"/>
              </w:rPr>
            </w:pPr>
            <w:r>
              <w:rPr>
                <w:rFonts w:ascii="Arial" w:cs="Arial" w:eastAsia="Arial" w:hAnsi="Arial"/>
                <w:sz w:val="14"/>
                <w:szCs w:val="14"/>
                <w:color w:val="auto"/>
              </w:rPr>
              <w:t>Adjusted net interest income</w:t>
            </w:r>
          </w:p>
        </w:tc>
        <w:tc>
          <w:tcPr>
            <w:tcW w:w="160" w:type="dxa"/>
            <w:vAlign w:val="bottom"/>
            <w:shd w:val="clear" w:color="auto" w:fill="CCEEFF"/>
          </w:tcPr>
          <w:p>
            <w:pPr>
              <w:spacing w:after="0"/>
              <w:rPr>
                <w:sz w:val="22"/>
                <w:szCs w:val="22"/>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986</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1,295</w:t>
            </w:r>
          </w:p>
        </w:tc>
        <w:tc>
          <w:tcPr>
            <w:tcW w:w="0" w:type="dxa"/>
            <w:vAlign w:val="bottom"/>
          </w:tcPr>
          <w:p>
            <w:pPr>
              <w:spacing w:after="0"/>
              <w:rPr>
                <w:sz w:val="1"/>
                <w:szCs w:val="1"/>
                <w:color w:val="auto"/>
              </w:rPr>
            </w:pPr>
          </w:p>
        </w:tc>
      </w:tr>
      <w:tr>
        <w:trPr>
          <w:trHeight w:val="264"/>
        </w:trPr>
        <w:tc>
          <w:tcPr>
            <w:tcW w:w="5940" w:type="dxa"/>
            <w:vAlign w:val="bottom"/>
            <w:tcBorders>
              <w:bottom w:val="single" w:sz="8" w:color="CCEEFF"/>
            </w:tcBorders>
          </w:tcPr>
          <w:p>
            <w:pPr>
              <w:ind w:left="300"/>
              <w:spacing w:after="0"/>
              <w:rPr>
                <w:sz w:val="20"/>
                <w:szCs w:val="20"/>
                <w:color w:val="auto"/>
              </w:rPr>
            </w:pPr>
            <w:r>
              <w:rPr>
                <w:rFonts w:ascii="Arial" w:cs="Arial" w:eastAsia="Arial" w:hAnsi="Arial"/>
                <w:sz w:val="14"/>
                <w:szCs w:val="14"/>
                <w:color w:val="auto"/>
              </w:rPr>
              <w:t>Operating expenses</w:t>
            </w:r>
          </w:p>
        </w:tc>
        <w:tc>
          <w:tcPr>
            <w:tcW w:w="1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139</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141</w:t>
            </w:r>
          </w:p>
        </w:tc>
        <w:tc>
          <w:tcPr>
            <w:tcW w:w="0" w:type="dxa"/>
            <w:vAlign w:val="bottom"/>
          </w:tcPr>
          <w:p>
            <w:pPr>
              <w:spacing w:after="0"/>
              <w:rPr>
                <w:sz w:val="1"/>
                <w:szCs w:val="1"/>
                <w:color w:val="auto"/>
              </w:rPr>
            </w:pPr>
          </w:p>
        </w:tc>
      </w:tr>
      <w:tr>
        <w:trPr>
          <w:trHeight w:val="256"/>
        </w:trPr>
        <w:tc>
          <w:tcPr>
            <w:tcW w:w="594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w:t>
            </w:r>
          </w:p>
        </w:tc>
        <w:tc>
          <w:tcPr>
            <w:tcW w:w="160" w:type="dxa"/>
            <w:vAlign w:val="bottom"/>
            <w:shd w:val="clear" w:color="auto" w:fill="CCEEFF"/>
          </w:tcPr>
          <w:p>
            <w:pPr>
              <w:spacing w:after="0"/>
              <w:rPr>
                <w:sz w:val="22"/>
                <w:szCs w:val="22"/>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847</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1,154</w:t>
            </w:r>
          </w:p>
        </w:tc>
        <w:tc>
          <w:tcPr>
            <w:tcW w:w="0" w:type="dxa"/>
            <w:vAlign w:val="bottom"/>
          </w:tcPr>
          <w:p>
            <w:pPr>
              <w:spacing w:after="0"/>
              <w:rPr>
                <w:sz w:val="1"/>
                <w:szCs w:val="1"/>
                <w:color w:val="auto"/>
              </w:rPr>
            </w:pPr>
          </w:p>
        </w:tc>
      </w:tr>
      <w:tr>
        <w:trPr>
          <w:trHeight w:val="264"/>
        </w:trPr>
        <w:tc>
          <w:tcPr>
            <w:tcW w:w="5940" w:type="dxa"/>
            <w:vAlign w:val="bottom"/>
            <w:tcBorders>
              <w:bottom w:val="single" w:sz="8" w:color="CCEEFF"/>
            </w:tcBorders>
          </w:tcPr>
          <w:p>
            <w:pPr>
              <w:ind w:left="140"/>
              <w:spacing w:after="0"/>
              <w:rPr>
                <w:sz w:val="20"/>
                <w:szCs w:val="20"/>
                <w:color w:val="auto"/>
              </w:rPr>
            </w:pPr>
            <w:r>
              <w:rPr>
                <w:rFonts w:ascii="Arial" w:cs="Arial" w:eastAsia="Arial" w:hAnsi="Arial"/>
                <w:sz w:val="14"/>
                <w:szCs w:val="14"/>
                <w:color w:val="auto"/>
              </w:rPr>
              <w:t>Dividend on preferred stock</w:t>
            </w:r>
          </w:p>
        </w:tc>
        <w:tc>
          <w:tcPr>
            <w:tcW w:w="1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28</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23</w:t>
            </w:r>
          </w:p>
        </w:tc>
        <w:tc>
          <w:tcPr>
            <w:tcW w:w="0" w:type="dxa"/>
            <w:vAlign w:val="bottom"/>
          </w:tcPr>
          <w:p>
            <w:pPr>
              <w:spacing w:after="0"/>
              <w:rPr>
                <w:sz w:val="1"/>
                <w:szCs w:val="1"/>
                <w:color w:val="auto"/>
              </w:rPr>
            </w:pPr>
          </w:p>
        </w:tc>
      </w:tr>
      <w:tr>
        <w:trPr>
          <w:trHeight w:val="256"/>
        </w:trPr>
        <w:tc>
          <w:tcPr>
            <w:tcW w:w="594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 available to common stockholders</w:t>
            </w:r>
          </w:p>
        </w:tc>
        <w:tc>
          <w:tcPr>
            <w:tcW w:w="160" w:type="dxa"/>
            <w:vAlign w:val="bottom"/>
            <w:shd w:val="clear" w:color="auto" w:fill="CCEEFF"/>
          </w:tcPr>
          <w:p>
            <w:pPr>
              <w:spacing w:after="0"/>
              <w:rPr>
                <w:sz w:val="22"/>
                <w:szCs w:val="22"/>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819</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1,131</w:t>
            </w:r>
          </w:p>
        </w:tc>
        <w:tc>
          <w:tcPr>
            <w:tcW w:w="0" w:type="dxa"/>
            <w:vAlign w:val="bottom"/>
          </w:tcPr>
          <w:p>
            <w:pPr>
              <w:spacing w:after="0"/>
              <w:rPr>
                <w:sz w:val="1"/>
                <w:szCs w:val="1"/>
                <w:color w:val="auto"/>
              </w:rPr>
            </w:pPr>
          </w:p>
        </w:tc>
      </w:tr>
      <w:tr>
        <w:trPr>
          <w:trHeight w:val="264"/>
        </w:trPr>
        <w:tc>
          <w:tcPr>
            <w:tcW w:w="5940" w:type="dxa"/>
            <w:vAlign w:val="bottom"/>
            <w:tcBorders>
              <w:bottom w:val="single" w:sz="8" w:color="CCEEFF"/>
            </w:tcBorders>
          </w:tcPr>
          <w:p>
            <w:pPr>
              <w:ind w:left="140"/>
              <w:spacing w:after="0"/>
              <w:rPr>
                <w:sz w:val="20"/>
                <w:szCs w:val="20"/>
                <w:color w:val="auto"/>
              </w:rPr>
            </w:pPr>
            <w:r>
              <w:rPr>
                <w:rFonts w:ascii="Arial" w:cs="Arial" w:eastAsia="Arial" w:hAnsi="Arial"/>
                <w:sz w:val="14"/>
                <w:szCs w:val="14"/>
                <w:color w:val="auto"/>
              </w:rPr>
              <w:t>Estimated "catch-up" premium amortization cost due to change in CPR forecast</w:t>
            </w:r>
          </w:p>
        </w:tc>
        <w:tc>
          <w:tcPr>
            <w:tcW w:w="1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53</w:t>
            </w:r>
          </w:p>
        </w:tc>
        <w:tc>
          <w:tcPr>
            <w:tcW w:w="0" w:type="dxa"/>
            <w:vAlign w:val="bottom"/>
          </w:tcPr>
          <w:p>
            <w:pPr>
              <w:spacing w:after="0"/>
              <w:rPr>
                <w:sz w:val="1"/>
                <w:szCs w:val="1"/>
                <w:color w:val="auto"/>
              </w:rPr>
            </w:pPr>
          </w:p>
        </w:tc>
      </w:tr>
      <w:tr>
        <w:trPr>
          <w:trHeight w:val="143"/>
        </w:trPr>
        <w:tc>
          <w:tcPr>
            <w:tcW w:w="5940" w:type="dxa"/>
            <w:vAlign w:val="bottom"/>
            <w:shd w:val="clear" w:color="auto" w:fill="CCEEFF"/>
          </w:tcPr>
          <w:p>
            <w:pPr>
              <w:ind w:left="20"/>
              <w:spacing w:after="0" w:line="143" w:lineRule="exact"/>
              <w:rPr>
                <w:sz w:val="20"/>
                <w:szCs w:val="20"/>
                <w:color w:val="auto"/>
              </w:rPr>
            </w:pPr>
            <w:r>
              <w:rPr>
                <w:rFonts w:ascii="Arial" w:cs="Arial" w:eastAsia="Arial" w:hAnsi="Arial"/>
                <w:sz w:val="14"/>
                <w:szCs w:val="14"/>
                <w:color w:val="auto"/>
              </w:rPr>
              <w:t>Net spread and dollar roll income, excluding "catch-up" premium amortization, available to</w:t>
            </w:r>
          </w:p>
        </w:tc>
        <w:tc>
          <w:tcPr>
            <w:tcW w:w="16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62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820</w:t>
            </w:r>
          </w:p>
        </w:tc>
        <w:tc>
          <w:tcPr>
            <w:tcW w:w="100" w:type="dxa"/>
            <w:vAlign w:val="bottom"/>
            <w:shd w:val="clear" w:color="auto" w:fill="CCEEFF"/>
          </w:tcPr>
          <w:p>
            <w:pPr>
              <w:spacing w:after="0"/>
              <w:rPr>
                <w:sz w:val="12"/>
                <w:szCs w:val="12"/>
                <w:color w:val="auto"/>
              </w:rPr>
            </w:pPr>
          </w:p>
        </w:tc>
        <w:tc>
          <w:tcPr>
            <w:tcW w:w="1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0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1,184</w:t>
            </w:r>
          </w:p>
        </w:tc>
        <w:tc>
          <w:tcPr>
            <w:tcW w:w="0" w:type="dxa"/>
            <w:vAlign w:val="bottom"/>
          </w:tcPr>
          <w:p>
            <w:pPr>
              <w:spacing w:after="0"/>
              <w:rPr>
                <w:sz w:val="1"/>
                <w:szCs w:val="1"/>
                <w:color w:val="auto"/>
              </w:rPr>
            </w:pPr>
          </w:p>
        </w:tc>
      </w:tr>
      <w:tr>
        <w:trPr>
          <w:trHeight w:val="181"/>
        </w:trPr>
        <w:tc>
          <w:tcPr>
            <w:tcW w:w="5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common stockholders</w:t>
            </w:r>
          </w:p>
        </w:tc>
        <w:tc>
          <w:tcPr>
            <w:tcW w:w="160" w:type="dxa"/>
            <w:vAlign w:val="bottom"/>
            <w:tcBorders>
              <w:bottom w:val="single" w:sz="8" w:color="auto"/>
            </w:tcBorders>
            <w:vMerge w:val="continue"/>
            <w:shd w:val="clear" w:color="auto" w:fill="CCEEFF"/>
          </w:tcPr>
          <w:p>
            <w:pPr>
              <w:spacing w:after="0"/>
              <w:rPr>
                <w:sz w:val="15"/>
                <w:szCs w:val="15"/>
                <w:color w:val="auto"/>
              </w:rPr>
            </w:pPr>
          </w:p>
        </w:tc>
        <w:tc>
          <w:tcPr>
            <w:tcW w:w="62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auto"/>
            </w:tcBorders>
            <w:vMerge w:val="continue"/>
            <w:shd w:val="clear" w:color="auto" w:fill="CCEEFF"/>
          </w:tcPr>
          <w:p>
            <w:pPr>
              <w:spacing w:after="0"/>
              <w:rPr>
                <w:sz w:val="15"/>
                <w:szCs w:val="15"/>
                <w:color w:val="auto"/>
              </w:rPr>
            </w:pPr>
          </w:p>
        </w:tc>
        <w:tc>
          <w:tcPr>
            <w:tcW w:w="60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59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59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5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basic and diluted</w:t>
            </w:r>
          </w:p>
        </w:tc>
        <w:tc>
          <w:tcPr>
            <w:tcW w:w="160" w:type="dxa"/>
            <w:vAlign w:val="bottom"/>
            <w:tcBorders>
              <w:bottom w:val="single" w:sz="8" w:color="auto"/>
            </w:tcBorders>
            <w:shd w:val="clear" w:color="auto" w:fill="CCEEFF"/>
          </w:tcPr>
          <w:p>
            <w:pPr>
              <w:spacing w:after="0"/>
              <w:rPr>
                <w:sz w:val="22"/>
                <w:szCs w:val="22"/>
                <w:color w:val="auto"/>
              </w:rPr>
            </w:pP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348.6</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spacing w:after="0"/>
              <w:rPr>
                <w:sz w:val="22"/>
                <w:szCs w:val="22"/>
                <w:color w:val="auto"/>
              </w:rPr>
            </w:pPr>
          </w:p>
        </w:tc>
        <w:tc>
          <w:tcPr>
            <w:tcW w:w="6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353.3</w:t>
            </w:r>
          </w:p>
        </w:tc>
        <w:tc>
          <w:tcPr>
            <w:tcW w:w="0" w:type="dxa"/>
            <w:vAlign w:val="bottom"/>
          </w:tcPr>
          <w:p>
            <w:pPr>
              <w:spacing w:after="0"/>
              <w:rPr>
                <w:sz w:val="1"/>
                <w:szCs w:val="1"/>
                <w:color w:val="auto"/>
              </w:rPr>
            </w:pPr>
          </w:p>
        </w:tc>
      </w:tr>
      <w:tr>
        <w:trPr>
          <w:trHeight w:val="20"/>
        </w:trPr>
        <w:tc>
          <w:tcPr>
            <w:tcW w:w="59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594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Net spread and dollar roll income per common share - basic and diluted</w:t>
            </w:r>
          </w:p>
        </w:tc>
        <w:tc>
          <w:tcPr>
            <w:tcW w:w="1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w w:val="76"/>
              </w:rPr>
              <w:t>$</w:t>
            </w: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2.35</w:t>
            </w:r>
          </w:p>
        </w:tc>
        <w:tc>
          <w:tcPr>
            <w:tcW w:w="10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6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3.20</w:t>
            </w:r>
          </w:p>
        </w:tc>
        <w:tc>
          <w:tcPr>
            <w:tcW w:w="0" w:type="dxa"/>
            <w:vAlign w:val="bottom"/>
          </w:tcPr>
          <w:p>
            <w:pPr>
              <w:spacing w:after="0"/>
              <w:rPr>
                <w:sz w:val="1"/>
                <w:szCs w:val="1"/>
                <w:color w:val="auto"/>
              </w:rPr>
            </w:pPr>
          </w:p>
        </w:tc>
      </w:tr>
      <w:tr>
        <w:trPr>
          <w:trHeight w:val="110"/>
        </w:trPr>
        <w:tc>
          <w:tcPr>
            <w:tcW w:w="5940" w:type="dxa"/>
            <w:vAlign w:val="bottom"/>
            <w:shd w:val="clear" w:color="auto" w:fill="CCEEFF"/>
          </w:tcPr>
          <w:p>
            <w:pPr>
              <w:ind w:left="20"/>
              <w:spacing w:after="0" w:line="110" w:lineRule="exact"/>
              <w:rPr>
                <w:sz w:val="20"/>
                <w:szCs w:val="20"/>
                <w:color w:val="auto"/>
              </w:rPr>
            </w:pPr>
            <w:r>
              <w:rPr>
                <w:rFonts w:ascii="Arial" w:cs="Arial" w:eastAsia="Arial" w:hAnsi="Arial"/>
                <w:sz w:val="12"/>
                <w:szCs w:val="12"/>
                <w:color w:val="auto"/>
              </w:rPr>
              <w:t>Net spread and dollar roll income, excluding "catch-up" premium amortization, per common share -</w:t>
            </w:r>
          </w:p>
        </w:tc>
        <w:tc>
          <w:tcPr>
            <w:tcW w:w="16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62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2.35</w:t>
            </w:r>
          </w:p>
        </w:tc>
        <w:tc>
          <w:tcPr>
            <w:tcW w:w="100" w:type="dxa"/>
            <w:vAlign w:val="bottom"/>
            <w:shd w:val="clear" w:color="auto" w:fill="CCEEFF"/>
          </w:tcPr>
          <w:p>
            <w:pPr>
              <w:spacing w:after="0"/>
              <w:rPr>
                <w:sz w:val="9"/>
                <w:szCs w:val="9"/>
                <w:color w:val="auto"/>
              </w:rPr>
            </w:pPr>
          </w:p>
        </w:tc>
        <w:tc>
          <w:tcPr>
            <w:tcW w:w="1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0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3.35</w:t>
            </w:r>
          </w:p>
        </w:tc>
        <w:tc>
          <w:tcPr>
            <w:tcW w:w="0" w:type="dxa"/>
            <w:vAlign w:val="bottom"/>
          </w:tcPr>
          <w:p>
            <w:pPr>
              <w:spacing w:after="0"/>
              <w:rPr>
                <w:sz w:val="1"/>
                <w:szCs w:val="1"/>
                <w:color w:val="auto"/>
              </w:rPr>
            </w:pPr>
          </w:p>
        </w:tc>
      </w:tr>
      <w:tr>
        <w:trPr>
          <w:trHeight w:val="181"/>
        </w:trPr>
        <w:tc>
          <w:tcPr>
            <w:tcW w:w="5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basic and diluted</w:t>
            </w:r>
          </w:p>
        </w:tc>
        <w:tc>
          <w:tcPr>
            <w:tcW w:w="160" w:type="dxa"/>
            <w:vAlign w:val="bottom"/>
            <w:tcBorders>
              <w:bottom w:val="single" w:sz="8" w:color="auto"/>
            </w:tcBorders>
            <w:vMerge w:val="continue"/>
            <w:shd w:val="clear" w:color="auto" w:fill="CCEEFF"/>
          </w:tcPr>
          <w:p>
            <w:pPr>
              <w:spacing w:after="0"/>
              <w:rPr>
                <w:sz w:val="15"/>
                <w:szCs w:val="15"/>
                <w:color w:val="auto"/>
              </w:rPr>
            </w:pPr>
          </w:p>
        </w:tc>
        <w:tc>
          <w:tcPr>
            <w:tcW w:w="62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auto"/>
            </w:tcBorders>
            <w:vMerge w:val="continue"/>
            <w:shd w:val="clear" w:color="auto" w:fill="CCEEFF"/>
          </w:tcPr>
          <w:p>
            <w:pPr>
              <w:spacing w:after="0"/>
              <w:rPr>
                <w:sz w:val="15"/>
                <w:szCs w:val="15"/>
                <w:color w:val="auto"/>
              </w:rPr>
            </w:pPr>
          </w:p>
        </w:tc>
        <w:tc>
          <w:tcPr>
            <w:tcW w:w="60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bl>
    <w:p>
      <w:pPr>
        <w:spacing w:after="0" w:line="10" w:lineRule="exact"/>
        <w:rPr>
          <w:sz w:val="20"/>
          <w:szCs w:val="20"/>
          <w:color w:val="auto"/>
        </w:rPr>
      </w:pPr>
    </w:p>
    <w:p>
      <w:pPr>
        <w:spacing w:after="0"/>
        <w:rPr>
          <w:sz w:val="20"/>
          <w:szCs w:val="20"/>
          <w:color w:val="auto"/>
        </w:rPr>
      </w:pPr>
      <w:r>
        <w:rPr>
          <w:rFonts w:ascii="Arial" w:cs="Arial" w:eastAsia="Arial" w:hAnsi="Arial"/>
          <w:sz w:val="14"/>
          <w:szCs w:val="14"/>
          <w:color w:val="auto"/>
        </w:rPr>
        <w:t>_______________________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4987925</wp:posOffset>
            </wp:positionH>
            <wp:positionV relativeFrom="paragraph">
              <wp:posOffset>-99695</wp:posOffset>
            </wp:positionV>
            <wp:extent cx="106362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063625" cy="8890"/>
                    </a:xfrm>
                    <a:prstGeom prst="rect">
                      <a:avLst/>
                    </a:prstGeom>
                    <a:noFill/>
                  </pic:spPr>
                </pic:pic>
              </a:graphicData>
            </a:graphic>
          </wp:anchor>
        </w:drawing>
      </w:r>
    </w:p>
    <w:p>
      <w:pPr>
        <w:ind w:left="660" w:hanging="328"/>
        <w:spacing w:after="0"/>
        <w:tabs>
          <w:tab w:leader="none" w:pos="660" w:val="left"/>
        </w:tabs>
        <w:numPr>
          <w:ilvl w:val="0"/>
          <w:numId w:val="32"/>
        </w:numPr>
        <w:rPr>
          <w:rFonts w:ascii="Arial" w:cs="Arial" w:eastAsia="Arial" w:hAnsi="Arial"/>
          <w:sz w:val="14"/>
          <w:szCs w:val="14"/>
          <w:color w:val="auto"/>
        </w:rPr>
      </w:pPr>
      <w:r>
        <w:rPr>
          <w:rFonts w:ascii="Arial" w:cs="Arial" w:eastAsia="Arial" w:hAnsi="Arial"/>
          <w:sz w:val="14"/>
          <w:szCs w:val="14"/>
          <w:color w:val="auto"/>
        </w:rPr>
        <w:t>Reported in gain (loss) on derivative instruments and other securities, net in our consolidated statements of comprehensive income</w:t>
      </w:r>
    </w:p>
    <w:p>
      <w:pPr>
        <w:spacing w:after="0" w:line="156"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Net spread and dollar roll income, excluding "catch-up" premium amortization adjustments, for fiscal year 2015 decreased to $2.35 per common share from $3.35 per common share for fiscal year 2014, due to the combination of lower "at risk" leverage, a decline in TBA dollar roll income and a higher cost of funds. The decline in dollar roll income was a function of a smaller average net TBA dollar roll position, as well as an increase in implied TBA financing rates.</w:t>
      </w:r>
    </w:p>
    <w:p>
      <w:pPr>
        <w:spacing w:after="0" w:line="133"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Our average net interest rate spread and dollar roll income (i.e., the difference between the average yield on our assets and our average cost of funds), excluding catch-up premium amortization cost, was approximately 1.48% for fiscal year 2015, compared to 1.83% for fiscal year 2014. Including catch-up premium amortization adjustments, our net interest rate spread and dollar roll income was 1.48% for fiscal year 2015, compared to 1.75% for fiscal year 2014.</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(Loss) on Sale of Agency Securities, Net</w:t>
      </w:r>
    </w:p>
    <w:p>
      <w:pPr>
        <w:spacing w:after="0" w:line="17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 is a summary of our net gain (loss) on sale of agency MBS for fiscal years 2015 and 2014 (in millions):</w:t>
      </w:r>
    </w:p>
    <w:p>
      <w:pPr>
        <w:spacing w:after="0" w:line="392" w:lineRule="exact"/>
        <w:rPr>
          <w:sz w:val="20"/>
          <w:szCs w:val="20"/>
          <w:color w:val="auto"/>
        </w:rPr>
      </w:pPr>
    </w:p>
    <w:tbl>
      <w:tblPr>
        <w:tblLayout w:type="fixed"/>
        <w:tblInd w:w="2740" w:type="dxa"/>
        <w:tblCellMar>
          <w:top w:w="0" w:type="dxa"/>
          <w:left w:w="0" w:type="dxa"/>
          <w:bottom w:w="0" w:type="dxa"/>
          <w:right w:w="0" w:type="dxa"/>
        </w:tblCellMar>
      </w:tblPr>
      <w:tr>
        <w:trPr>
          <w:trHeight w:val="192"/>
        </w:trPr>
        <w:tc>
          <w:tcPr>
            <w:tcW w:w="396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Fiscal Year</w:t>
            </w:r>
          </w:p>
        </w:tc>
        <w:tc>
          <w:tcPr>
            <w:tcW w:w="640" w:type="dxa"/>
            <w:vAlign w:val="bottom"/>
            <w:tcBorders>
              <w:bottom w:val="single" w:sz="8" w:color="auto"/>
            </w:tcBorders>
          </w:tcPr>
          <w:p>
            <w:pPr>
              <w:spacing w:after="0"/>
              <w:rPr>
                <w:sz w:val="16"/>
                <w:szCs w:val="16"/>
                <w:color w:val="auto"/>
              </w:rPr>
            </w:pPr>
          </w:p>
        </w:tc>
      </w:tr>
      <w:tr>
        <w:trPr>
          <w:trHeight w:val="264"/>
        </w:trPr>
        <w:tc>
          <w:tcPr>
            <w:tcW w:w="396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w w:val="89"/>
              </w:rPr>
              <w:t>2014</w:t>
            </w:r>
          </w:p>
        </w:tc>
      </w:tr>
      <w:tr>
        <w:trPr>
          <w:trHeight w:val="256"/>
        </w:trPr>
        <w:tc>
          <w:tcPr>
            <w:tcW w:w="3960" w:type="dxa"/>
            <w:vAlign w:val="bottom"/>
            <w:shd w:val="clear" w:color="auto" w:fill="CCEEFF"/>
          </w:tcPr>
          <w:p>
            <w:pPr>
              <w:ind w:left="20"/>
              <w:spacing w:after="0"/>
              <w:rPr>
                <w:sz w:val="20"/>
                <w:szCs w:val="20"/>
                <w:color w:val="auto"/>
              </w:rPr>
            </w:pPr>
            <w:r>
              <w:rPr>
                <w:rFonts w:ascii="Arial" w:cs="Arial" w:eastAsia="Arial" w:hAnsi="Arial"/>
                <w:sz w:val="14"/>
                <w:szCs w:val="14"/>
                <w:color w:val="auto"/>
              </w:rPr>
              <w:t>Agency MBS sold, at cost</w:t>
            </w: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(27,578)</w:t>
            </w:r>
          </w:p>
        </w:tc>
        <w:tc>
          <w:tcPr>
            <w:tcW w:w="100" w:type="dxa"/>
            <w:vAlign w:val="bottom"/>
            <w:shd w:val="clear" w:color="auto" w:fill="CCEEFF"/>
          </w:tcPr>
          <w:p>
            <w:pPr>
              <w:spacing w:after="0"/>
              <w:rPr>
                <w:sz w:val="22"/>
                <w:szCs w:val="22"/>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(30,123)</w:t>
            </w:r>
          </w:p>
        </w:tc>
      </w:tr>
      <w:tr>
        <w:trPr>
          <w:trHeight w:val="264"/>
        </w:trPr>
        <w:tc>
          <w:tcPr>
            <w:tcW w:w="39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 xml:space="preserve">Proceeds from agency MBS sold </w:t>
            </w:r>
            <w:r>
              <w:rPr>
                <w:rFonts w:ascii="Arial" w:cs="Arial" w:eastAsia="Arial" w:hAnsi="Arial"/>
                <w:sz w:val="8"/>
                <w:szCs w:val="8"/>
                <w:color w:val="auto"/>
              </w:rPr>
              <w:t>1</w:t>
            </w:r>
          </w:p>
        </w:tc>
        <w:tc>
          <w:tcPr>
            <w:tcW w:w="20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27,555</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30,174</w:t>
            </w:r>
          </w:p>
        </w:tc>
      </w:tr>
      <w:tr>
        <w:trPr>
          <w:trHeight w:val="243"/>
        </w:trPr>
        <w:tc>
          <w:tcPr>
            <w:tcW w:w="3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gain (loss) on sale of agency MBS</w:t>
            </w: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6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51</w:t>
            </w:r>
          </w:p>
        </w:tc>
      </w:tr>
      <w:tr>
        <w:trPr>
          <w:trHeight w:val="20"/>
        </w:trPr>
        <w:tc>
          <w:tcPr>
            <w:tcW w:w="39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r>
      <w:tr>
        <w:trPr>
          <w:trHeight w:val="264"/>
        </w:trPr>
        <w:tc>
          <w:tcPr>
            <w:tcW w:w="39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40" w:type="dxa"/>
            <w:vAlign w:val="bottom"/>
          </w:tcPr>
          <w:p>
            <w:pPr>
              <w:spacing w:after="0"/>
              <w:rPr>
                <w:sz w:val="22"/>
                <w:szCs w:val="22"/>
                <w:color w:val="auto"/>
              </w:rPr>
            </w:pPr>
          </w:p>
        </w:tc>
      </w:tr>
      <w:tr>
        <w:trPr>
          <w:trHeight w:val="270"/>
        </w:trPr>
        <w:tc>
          <w:tcPr>
            <w:tcW w:w="3960" w:type="dxa"/>
            <w:vAlign w:val="bottom"/>
            <w:shd w:val="clear" w:color="auto" w:fill="CCEEFF"/>
          </w:tcPr>
          <w:p>
            <w:pPr>
              <w:ind w:left="20"/>
              <w:spacing w:after="0"/>
              <w:rPr>
                <w:sz w:val="20"/>
                <w:szCs w:val="20"/>
                <w:color w:val="auto"/>
              </w:rPr>
            </w:pPr>
            <w:r>
              <w:rPr>
                <w:rFonts w:ascii="Arial" w:cs="Arial" w:eastAsia="Arial" w:hAnsi="Arial"/>
                <w:sz w:val="14"/>
                <w:szCs w:val="14"/>
                <w:color w:val="auto"/>
              </w:rPr>
              <w:t>Gross gain on sale of agency MBS</w:t>
            </w: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98</w:t>
            </w:r>
          </w:p>
        </w:tc>
        <w:tc>
          <w:tcPr>
            <w:tcW w:w="100" w:type="dxa"/>
            <w:vAlign w:val="bottom"/>
            <w:shd w:val="clear" w:color="auto" w:fill="CCEEFF"/>
          </w:tcPr>
          <w:p>
            <w:pPr>
              <w:spacing w:after="0"/>
              <w:rPr>
                <w:sz w:val="23"/>
                <w:szCs w:val="23"/>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172</w:t>
            </w:r>
          </w:p>
        </w:tc>
      </w:tr>
      <w:tr>
        <w:trPr>
          <w:trHeight w:val="264"/>
        </w:trPr>
        <w:tc>
          <w:tcPr>
            <w:tcW w:w="39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Gross loss on sale of agency MBS</w:t>
            </w:r>
          </w:p>
        </w:tc>
        <w:tc>
          <w:tcPr>
            <w:tcW w:w="20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(121)</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(121)</w:t>
            </w:r>
          </w:p>
        </w:tc>
      </w:tr>
      <w:tr>
        <w:trPr>
          <w:trHeight w:val="243"/>
        </w:trPr>
        <w:tc>
          <w:tcPr>
            <w:tcW w:w="3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gain (loss) on sale of agency MBS</w:t>
            </w: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6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51</w:t>
            </w:r>
          </w:p>
        </w:tc>
      </w:tr>
    </w:tbl>
    <w:p>
      <w:pPr>
        <w:spacing w:after="0" w:line="8" w:lineRule="exact"/>
        <w:rPr>
          <w:sz w:val="20"/>
          <w:szCs w:val="20"/>
          <w:color w:val="auto"/>
        </w:rPr>
      </w:pPr>
    </w:p>
    <w:p>
      <w:pPr>
        <w:ind w:left="40"/>
        <w:spacing w:after="0"/>
        <w:rPr>
          <w:sz w:val="20"/>
          <w:szCs w:val="20"/>
          <w:color w:val="auto"/>
        </w:rPr>
      </w:pPr>
      <w:r>
        <w:rPr>
          <w:rFonts w:ascii="Arial" w:cs="Arial" w:eastAsia="Arial" w:hAnsi="Arial"/>
          <w:sz w:val="14"/>
          <w:szCs w:val="14"/>
          <w:color w:val="auto"/>
        </w:rPr>
        <w:t>_______________________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4250055</wp:posOffset>
            </wp:positionH>
            <wp:positionV relativeFrom="paragraph">
              <wp:posOffset>-98425</wp:posOffset>
            </wp:positionV>
            <wp:extent cx="126936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269365" cy="8890"/>
                    </a:xfrm>
                    <a:prstGeom prst="rect">
                      <a:avLst/>
                    </a:prstGeom>
                    <a:noFill/>
                  </pic:spPr>
                </pic:pic>
              </a:graphicData>
            </a:graphic>
          </wp:anchor>
        </w:drawing>
      </w:r>
    </w:p>
    <w:p>
      <w:pPr>
        <w:ind w:left="660" w:hanging="328"/>
        <w:spacing w:after="0"/>
        <w:tabs>
          <w:tab w:leader="none" w:pos="660" w:val="left"/>
        </w:tabs>
        <w:numPr>
          <w:ilvl w:val="0"/>
          <w:numId w:val="33"/>
        </w:numPr>
        <w:rPr>
          <w:rFonts w:ascii="Arial" w:cs="Arial" w:eastAsia="Arial" w:hAnsi="Arial"/>
          <w:sz w:val="14"/>
          <w:szCs w:val="14"/>
          <w:color w:val="auto"/>
        </w:rPr>
      </w:pPr>
      <w:r>
        <w:rPr>
          <w:rFonts w:ascii="Arial" w:cs="Arial" w:eastAsia="Arial" w:hAnsi="Arial"/>
          <w:sz w:val="14"/>
          <w:szCs w:val="14"/>
          <w:color w:val="auto"/>
        </w:rPr>
        <w:t>Proceeds include cash received during the period, plus receivable for agency MBS sold during the period as of period end.</w:t>
      </w:r>
    </w:p>
    <w:p>
      <w:pPr>
        <w:spacing w:after="0" w:line="210"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Asset sales primarily resulted from leverage adjustments and portfolio repositioning. We did not have any sales of non-agency securities during either of the periods presented.</w:t>
      </w:r>
    </w:p>
    <w:p>
      <w:pPr>
        <w:sectPr>
          <w:pgSz w:w="11900" w:h="16838" w:orient="portrait"/>
          <w:cols w:equalWidth="0" w:num="1">
            <w:col w:w="11420"/>
          </w:cols>
          <w:pgMar w:left="240" w:top="584" w:right="239" w:bottom="1440" w:gutter="0" w:footer="0" w:header="0"/>
        </w:sectPr>
      </w:pP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53</w:t>
      </w:r>
    </w:p>
    <w:p>
      <w:pPr>
        <w:sectPr>
          <w:pgSz w:w="11900" w:h="16838" w:orient="portrait"/>
          <w:cols w:equalWidth="0" w:num="1">
            <w:col w:w="11420"/>
          </w:cols>
          <w:pgMar w:left="240" w:top="584" w:right="239" w:bottom="1440" w:gutter="0" w:footer="0" w:header="0"/>
          <w:type w:val="continuous"/>
        </w:sectPr>
      </w:pPr>
    </w:p>
    <w:bookmarkStart w:id="54" w:name="page55"/>
    <w:bookmarkEnd w:id="54"/>
    <w:p>
      <w:pPr>
        <w:spacing w:after="0"/>
        <w:rPr>
          <w:sz w:val="20"/>
          <w:szCs w:val="20"/>
          <w:color w:val="auto"/>
        </w:rPr>
      </w:pPr>
      <w:r>
        <w:rPr>
          <w:rFonts w:ascii="Arial" w:cs="Arial" w:eastAsia="Arial" w:hAnsi="Arial"/>
          <w:sz w:val="18"/>
          <w:szCs w:val="18"/>
          <w:b w:val="1"/>
          <w:bCs w:val="1"/>
          <w:i w:val="1"/>
          <w:iCs w:val="1"/>
          <w:color w:val="auto"/>
        </w:rPr>
        <w:t>Gain (Loss) on Derivative Instruments and Other Securities, Net</w:t>
      </w:r>
    </w:p>
    <w:p>
      <w:pPr>
        <w:spacing w:after="0" w:line="185"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following table is a summary of our gain (loss) on derivative instruments and other securities, net for fiscal years 2015 and 2014 (in millions):</w:t>
      </w:r>
    </w:p>
    <w:p>
      <w:pPr>
        <w:spacing w:after="0" w:line="200" w:lineRule="exact"/>
        <w:rPr>
          <w:sz w:val="20"/>
          <w:szCs w:val="20"/>
          <w:color w:val="auto"/>
        </w:rPr>
      </w:pPr>
    </w:p>
    <w:p>
      <w:pPr>
        <w:spacing w:after="0" w:line="204" w:lineRule="exact"/>
        <w:rPr>
          <w:sz w:val="20"/>
          <w:szCs w:val="20"/>
          <w:color w:val="auto"/>
        </w:rPr>
      </w:pPr>
    </w:p>
    <w:tbl>
      <w:tblPr>
        <w:tblLayout w:type="fixed"/>
        <w:tblInd w:w="1700" w:type="dxa"/>
        <w:tblCellMar>
          <w:top w:w="0" w:type="dxa"/>
          <w:left w:w="0" w:type="dxa"/>
          <w:bottom w:w="0" w:type="dxa"/>
          <w:right w:w="0" w:type="dxa"/>
        </w:tblCellMar>
      </w:tblPr>
      <w:tr>
        <w:trPr>
          <w:trHeight w:val="192"/>
        </w:trPr>
        <w:tc>
          <w:tcPr>
            <w:tcW w:w="6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Fiscal Year</w:t>
            </w:r>
          </w:p>
        </w:tc>
        <w:tc>
          <w:tcPr>
            <w:tcW w:w="600" w:type="dxa"/>
            <w:vAlign w:val="bottom"/>
            <w:tcBorders>
              <w:bottom w:val="single" w:sz="8" w:color="auto"/>
            </w:tcBorders>
          </w:tcPr>
          <w:p>
            <w:pPr>
              <w:spacing w:after="0"/>
              <w:rPr>
                <w:sz w:val="16"/>
                <w:szCs w:val="16"/>
                <w:color w:val="auto"/>
              </w:rPr>
            </w:pPr>
          </w:p>
        </w:tc>
      </w:tr>
      <w:tr>
        <w:trPr>
          <w:trHeight w:val="264"/>
        </w:trPr>
        <w:tc>
          <w:tcPr>
            <w:tcW w:w="6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w w:val="83"/>
              </w:rPr>
              <w:t>2014</w:t>
            </w:r>
          </w:p>
        </w:tc>
      </w:tr>
      <w:tr>
        <w:trPr>
          <w:trHeight w:val="256"/>
        </w:trPr>
        <w:tc>
          <w:tcPr>
            <w:tcW w:w="6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Periodic interest costs of interest rate swaps, net</w:t>
            </w: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(393)</w:t>
            </w:r>
          </w:p>
        </w:tc>
        <w:tc>
          <w:tcPr>
            <w:tcW w:w="100" w:type="dxa"/>
            <w:vAlign w:val="bottom"/>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(330)</w:t>
            </w:r>
          </w:p>
        </w:tc>
      </w:tr>
      <w:tr>
        <w:trPr>
          <w:trHeight w:val="258"/>
        </w:trPr>
        <w:tc>
          <w:tcPr>
            <w:tcW w:w="6120" w:type="dxa"/>
            <w:vAlign w:val="bottom"/>
          </w:tcPr>
          <w:p>
            <w:pPr>
              <w:ind w:left="20"/>
              <w:spacing w:after="0"/>
              <w:rPr>
                <w:sz w:val="20"/>
                <w:szCs w:val="20"/>
                <w:color w:val="auto"/>
              </w:rPr>
            </w:pPr>
            <w:r>
              <w:rPr>
                <w:rFonts w:ascii="Arial" w:cs="Arial" w:eastAsia="Arial" w:hAnsi="Arial"/>
                <w:sz w:val="14"/>
                <w:szCs w:val="14"/>
                <w:color w:val="auto"/>
              </w:rPr>
              <w:t>Realized gain (loss) on derivative instruments and other securities, net:</w:t>
            </w:r>
          </w:p>
        </w:tc>
        <w:tc>
          <w:tcPr>
            <w:tcW w:w="2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00" w:type="dxa"/>
            <w:vAlign w:val="bottom"/>
          </w:tcPr>
          <w:p>
            <w:pPr>
              <w:spacing w:after="0"/>
              <w:rPr>
                <w:sz w:val="22"/>
                <w:szCs w:val="22"/>
                <w:color w:val="auto"/>
              </w:rPr>
            </w:pPr>
          </w:p>
        </w:tc>
      </w:tr>
      <w:tr>
        <w:trPr>
          <w:trHeight w:val="276"/>
        </w:trPr>
        <w:tc>
          <w:tcPr>
            <w:tcW w:w="6120" w:type="dxa"/>
            <w:vAlign w:val="bottom"/>
            <w:shd w:val="clear" w:color="auto" w:fill="CCEEFF"/>
          </w:tcPr>
          <w:p>
            <w:pPr>
              <w:ind w:left="1100"/>
              <w:spacing w:after="0"/>
              <w:rPr>
                <w:sz w:val="20"/>
                <w:szCs w:val="20"/>
                <w:color w:val="auto"/>
              </w:rPr>
            </w:pPr>
            <w:r>
              <w:rPr>
                <w:rFonts w:ascii="Arial" w:cs="Arial" w:eastAsia="Arial" w:hAnsi="Arial"/>
                <w:sz w:val="14"/>
                <w:szCs w:val="14"/>
                <w:color w:val="auto"/>
              </w:rPr>
              <w:t>TBA securities - dollar roll income, net</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237</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505</w:t>
            </w:r>
          </w:p>
        </w:tc>
      </w:tr>
      <w:tr>
        <w:trPr>
          <w:trHeight w:val="264"/>
        </w:trPr>
        <w:tc>
          <w:tcPr>
            <w:tcW w:w="6120" w:type="dxa"/>
            <w:vAlign w:val="bottom"/>
          </w:tcPr>
          <w:p>
            <w:pPr>
              <w:ind w:left="1100"/>
              <w:spacing w:after="0"/>
              <w:rPr>
                <w:sz w:val="20"/>
                <w:szCs w:val="20"/>
                <w:color w:val="auto"/>
              </w:rPr>
            </w:pPr>
            <w:r>
              <w:rPr>
                <w:rFonts w:ascii="Arial" w:cs="Arial" w:eastAsia="Arial" w:hAnsi="Arial"/>
                <w:sz w:val="14"/>
                <w:szCs w:val="14"/>
                <w:color w:val="auto"/>
              </w:rPr>
              <w:t>TBA securities - mark-to-market net gain</w:t>
            </w:r>
          </w:p>
        </w:tc>
        <w:tc>
          <w:tcPr>
            <w:tcW w:w="200" w:type="dxa"/>
            <w:vAlign w:val="bottom"/>
          </w:tcPr>
          <w:p>
            <w:pPr>
              <w:spacing w:after="0"/>
              <w:rPr>
                <w:sz w:val="22"/>
                <w:szCs w:val="22"/>
                <w:color w:val="auto"/>
              </w:rPr>
            </w:pPr>
          </w:p>
        </w:tc>
        <w:tc>
          <w:tcPr>
            <w:tcW w:w="700" w:type="dxa"/>
            <w:vAlign w:val="bottom"/>
          </w:tcPr>
          <w:p>
            <w:pPr>
              <w:jc w:val="right"/>
              <w:ind w:right="8"/>
              <w:spacing w:after="0"/>
              <w:rPr>
                <w:sz w:val="20"/>
                <w:szCs w:val="20"/>
                <w:color w:val="auto"/>
              </w:rPr>
            </w:pPr>
            <w:r>
              <w:rPr>
                <w:rFonts w:ascii="Arial" w:cs="Arial" w:eastAsia="Arial" w:hAnsi="Arial"/>
                <w:sz w:val="14"/>
                <w:szCs w:val="14"/>
                <w:color w:val="auto"/>
              </w:rPr>
              <w:t>246</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00" w:type="dxa"/>
            <w:vAlign w:val="bottom"/>
          </w:tcPr>
          <w:p>
            <w:pPr>
              <w:jc w:val="right"/>
              <w:ind w:right="8"/>
              <w:spacing w:after="0"/>
              <w:rPr>
                <w:sz w:val="20"/>
                <w:szCs w:val="20"/>
                <w:color w:val="auto"/>
              </w:rPr>
            </w:pPr>
            <w:r>
              <w:rPr>
                <w:rFonts w:ascii="Arial" w:cs="Arial" w:eastAsia="Arial" w:hAnsi="Arial"/>
                <w:sz w:val="14"/>
                <w:szCs w:val="14"/>
                <w:color w:val="auto"/>
              </w:rPr>
              <w:t>416</w:t>
            </w:r>
          </w:p>
        </w:tc>
      </w:tr>
      <w:tr>
        <w:trPr>
          <w:trHeight w:val="276"/>
        </w:trPr>
        <w:tc>
          <w:tcPr>
            <w:tcW w:w="6120" w:type="dxa"/>
            <w:vAlign w:val="bottom"/>
            <w:shd w:val="clear" w:color="auto" w:fill="CCEEFF"/>
          </w:tcPr>
          <w:p>
            <w:pPr>
              <w:ind w:left="1100"/>
              <w:spacing w:after="0"/>
              <w:rPr>
                <w:sz w:val="20"/>
                <w:szCs w:val="20"/>
                <w:color w:val="auto"/>
              </w:rPr>
            </w:pPr>
            <w:r>
              <w:rPr>
                <w:rFonts w:ascii="Arial" w:cs="Arial" w:eastAsia="Arial" w:hAnsi="Arial"/>
                <w:sz w:val="14"/>
                <w:szCs w:val="14"/>
                <w:color w:val="auto"/>
              </w:rPr>
              <w:t>Payer swaptions</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(77)</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(171)</w:t>
            </w:r>
          </w:p>
        </w:tc>
      </w:tr>
      <w:tr>
        <w:trPr>
          <w:trHeight w:val="264"/>
        </w:trPr>
        <w:tc>
          <w:tcPr>
            <w:tcW w:w="6120" w:type="dxa"/>
            <w:vAlign w:val="bottom"/>
          </w:tcPr>
          <w:p>
            <w:pPr>
              <w:ind w:left="1100"/>
              <w:spacing w:after="0"/>
              <w:rPr>
                <w:sz w:val="20"/>
                <w:szCs w:val="20"/>
                <w:color w:val="auto"/>
              </w:rPr>
            </w:pPr>
            <w:r>
              <w:rPr>
                <w:rFonts w:ascii="Arial" w:cs="Arial" w:eastAsia="Arial" w:hAnsi="Arial"/>
                <w:sz w:val="14"/>
                <w:szCs w:val="14"/>
                <w:color w:val="auto"/>
              </w:rPr>
              <w:t>Receiver swaptions</w:t>
            </w:r>
          </w:p>
        </w:tc>
        <w:tc>
          <w:tcPr>
            <w:tcW w:w="200" w:type="dxa"/>
            <w:vAlign w:val="bottom"/>
          </w:tcPr>
          <w:p>
            <w:pPr>
              <w:spacing w:after="0"/>
              <w:rPr>
                <w:sz w:val="22"/>
                <w:szCs w:val="22"/>
                <w:color w:val="auto"/>
              </w:rPr>
            </w:pPr>
          </w:p>
        </w:tc>
        <w:tc>
          <w:tcPr>
            <w:tcW w:w="700" w:type="dxa"/>
            <w:vAlign w:val="bottom"/>
          </w:tcPr>
          <w:p>
            <w:pPr>
              <w:jc w:val="right"/>
              <w:ind w:right="8"/>
              <w:spacing w:after="0"/>
              <w:rPr>
                <w:sz w:val="20"/>
                <w:szCs w:val="20"/>
                <w:color w:val="auto"/>
              </w:rPr>
            </w:pPr>
            <w:r>
              <w:rPr>
                <w:rFonts w:ascii="Arial" w:cs="Arial" w:eastAsia="Arial" w:hAnsi="Arial"/>
                <w:sz w:val="14"/>
                <w:szCs w:val="14"/>
                <w:color w:val="auto"/>
              </w:rPr>
              <w:t>15</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w:t>
            </w:r>
          </w:p>
        </w:tc>
      </w:tr>
      <w:tr>
        <w:trPr>
          <w:trHeight w:val="276"/>
        </w:trPr>
        <w:tc>
          <w:tcPr>
            <w:tcW w:w="6120" w:type="dxa"/>
            <w:vAlign w:val="bottom"/>
            <w:shd w:val="clear" w:color="auto" w:fill="CCEEFF"/>
          </w:tcPr>
          <w:p>
            <w:pPr>
              <w:ind w:left="1100"/>
              <w:spacing w:after="0"/>
              <w:rPr>
                <w:sz w:val="20"/>
                <w:szCs w:val="20"/>
                <w:color w:val="auto"/>
              </w:rPr>
            </w:pPr>
            <w:r>
              <w:rPr>
                <w:rFonts w:ascii="Arial" w:cs="Arial" w:eastAsia="Arial" w:hAnsi="Arial"/>
                <w:sz w:val="14"/>
                <w:szCs w:val="14"/>
                <w:color w:val="auto"/>
              </w:rPr>
              <w:t>U.S. Treasury securities - long position</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w:t>
            </w:r>
          </w:p>
        </w:tc>
      </w:tr>
      <w:tr>
        <w:trPr>
          <w:trHeight w:val="264"/>
        </w:trPr>
        <w:tc>
          <w:tcPr>
            <w:tcW w:w="6120" w:type="dxa"/>
            <w:vAlign w:val="bottom"/>
          </w:tcPr>
          <w:p>
            <w:pPr>
              <w:ind w:left="1100"/>
              <w:spacing w:after="0"/>
              <w:rPr>
                <w:sz w:val="20"/>
                <w:szCs w:val="20"/>
                <w:color w:val="auto"/>
              </w:rPr>
            </w:pPr>
            <w:r>
              <w:rPr>
                <w:rFonts w:ascii="Arial" w:cs="Arial" w:eastAsia="Arial" w:hAnsi="Arial"/>
                <w:sz w:val="14"/>
                <w:szCs w:val="14"/>
                <w:color w:val="auto"/>
              </w:rPr>
              <w:t>U.S. Treasury securities - short position</w:t>
            </w: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(72)</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(378)</w:t>
            </w:r>
          </w:p>
        </w:tc>
      </w:tr>
      <w:tr>
        <w:trPr>
          <w:trHeight w:val="276"/>
        </w:trPr>
        <w:tc>
          <w:tcPr>
            <w:tcW w:w="6120" w:type="dxa"/>
            <w:vAlign w:val="bottom"/>
            <w:shd w:val="clear" w:color="auto" w:fill="CCEEFF"/>
          </w:tcPr>
          <w:p>
            <w:pPr>
              <w:ind w:left="1100"/>
              <w:spacing w:after="0"/>
              <w:rPr>
                <w:sz w:val="20"/>
                <w:szCs w:val="20"/>
                <w:color w:val="auto"/>
              </w:rPr>
            </w:pPr>
            <w:r>
              <w:rPr>
                <w:rFonts w:ascii="Arial" w:cs="Arial" w:eastAsia="Arial" w:hAnsi="Arial"/>
                <w:sz w:val="14"/>
                <w:szCs w:val="14"/>
                <w:color w:val="auto"/>
              </w:rPr>
              <w:t>U.S. Treasury futures - short position</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w:t>
            </w:r>
          </w:p>
        </w:tc>
      </w:tr>
      <w:tr>
        <w:trPr>
          <w:trHeight w:val="264"/>
        </w:trPr>
        <w:tc>
          <w:tcPr>
            <w:tcW w:w="6120" w:type="dxa"/>
            <w:vAlign w:val="bottom"/>
          </w:tcPr>
          <w:p>
            <w:pPr>
              <w:ind w:left="1100"/>
              <w:spacing w:after="0"/>
              <w:rPr>
                <w:sz w:val="20"/>
                <w:szCs w:val="20"/>
                <w:color w:val="auto"/>
              </w:rPr>
            </w:pPr>
            <w:r>
              <w:rPr>
                <w:rFonts w:ascii="Arial" w:cs="Arial" w:eastAsia="Arial" w:hAnsi="Arial"/>
                <w:sz w:val="14"/>
                <w:szCs w:val="14"/>
                <w:color w:val="auto"/>
              </w:rPr>
              <w:t>Interest rate swap termination fees</w:t>
            </w: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(327)</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(127)</w:t>
            </w:r>
          </w:p>
        </w:tc>
      </w:tr>
      <w:tr>
        <w:trPr>
          <w:trHeight w:val="276"/>
        </w:trPr>
        <w:tc>
          <w:tcPr>
            <w:tcW w:w="6120" w:type="dxa"/>
            <w:vAlign w:val="bottom"/>
            <w:shd w:val="clear" w:color="auto" w:fill="CCEEFF"/>
          </w:tcPr>
          <w:p>
            <w:pPr>
              <w:ind w:left="260"/>
              <w:spacing w:after="0"/>
              <w:rPr>
                <w:sz w:val="20"/>
                <w:szCs w:val="20"/>
                <w:color w:val="auto"/>
              </w:rPr>
            </w:pPr>
            <w:r>
              <w:rPr>
                <w:rFonts w:ascii="Arial" w:cs="Arial" w:eastAsia="Arial" w:hAnsi="Arial"/>
                <w:sz w:val="14"/>
                <w:szCs w:val="14"/>
                <w:color w:val="auto"/>
              </w:rPr>
              <w:t>REIT equity securities</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71</w:t>
            </w:r>
          </w:p>
        </w:tc>
      </w:tr>
      <w:tr>
        <w:trPr>
          <w:trHeight w:val="264"/>
        </w:trPr>
        <w:tc>
          <w:tcPr>
            <w:tcW w:w="6120" w:type="dxa"/>
            <w:vAlign w:val="bottom"/>
            <w:tcBorders>
              <w:bottom w:val="single" w:sz="8" w:color="CCEEFF"/>
            </w:tcBorders>
          </w:tcPr>
          <w:p>
            <w:pPr>
              <w:ind w:left="260"/>
              <w:spacing w:after="0"/>
              <w:rPr>
                <w:sz w:val="20"/>
                <w:szCs w:val="20"/>
                <w:color w:val="auto"/>
              </w:rPr>
            </w:pPr>
            <w:r>
              <w:rPr>
                <w:rFonts w:ascii="Arial" w:cs="Arial" w:eastAsia="Arial" w:hAnsi="Arial"/>
                <w:sz w:val="14"/>
                <w:szCs w:val="14"/>
                <w:color w:val="auto"/>
              </w:rPr>
              <w:t>Other</w:t>
            </w: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w:t>
            </w:r>
          </w:p>
        </w:tc>
      </w:tr>
      <w:tr>
        <w:trPr>
          <w:trHeight w:val="256"/>
        </w:trPr>
        <w:tc>
          <w:tcPr>
            <w:tcW w:w="6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Total realized gain (loss) on derivative instruments and other securities, net</w:t>
            </w:r>
          </w:p>
        </w:tc>
        <w:tc>
          <w:tcPr>
            <w:tcW w:w="200" w:type="dxa"/>
            <w:vAlign w:val="bottom"/>
            <w:tcBorders>
              <w:bottom w:val="single" w:sz="8" w:color="auto"/>
            </w:tcBorders>
            <w:shd w:val="clear" w:color="auto" w:fill="CCEEFF"/>
          </w:tcPr>
          <w:p>
            <w:pPr>
              <w:spacing w:after="0"/>
              <w:rPr>
                <w:sz w:val="22"/>
                <w:szCs w:val="22"/>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100" w:type="dxa"/>
            <w:vAlign w:val="bottom"/>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spacing w:after="0"/>
              <w:rPr>
                <w:sz w:val="22"/>
                <w:szCs w:val="22"/>
                <w:color w:val="auto"/>
              </w:rPr>
            </w:pPr>
          </w:p>
        </w:tc>
        <w:tc>
          <w:tcPr>
            <w:tcW w:w="6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278</w:t>
            </w:r>
          </w:p>
        </w:tc>
      </w:tr>
      <w:tr>
        <w:trPr>
          <w:trHeight w:val="258"/>
        </w:trPr>
        <w:tc>
          <w:tcPr>
            <w:tcW w:w="6120" w:type="dxa"/>
            <w:vAlign w:val="bottom"/>
          </w:tcPr>
          <w:p>
            <w:pPr>
              <w:ind w:left="20"/>
              <w:spacing w:after="0"/>
              <w:rPr>
                <w:sz w:val="20"/>
                <w:szCs w:val="20"/>
                <w:color w:val="auto"/>
              </w:rPr>
            </w:pPr>
            <w:r>
              <w:rPr>
                <w:rFonts w:ascii="Arial" w:cs="Arial" w:eastAsia="Arial" w:hAnsi="Arial"/>
                <w:sz w:val="14"/>
                <w:szCs w:val="14"/>
                <w:color w:val="auto"/>
              </w:rPr>
              <w:t>Unrealized gain (loss) on derivative instruments and other securities, net:</w:t>
            </w:r>
          </w:p>
        </w:tc>
        <w:tc>
          <w:tcPr>
            <w:tcW w:w="2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00" w:type="dxa"/>
            <w:vAlign w:val="bottom"/>
          </w:tcPr>
          <w:p>
            <w:pPr>
              <w:spacing w:after="0"/>
              <w:rPr>
                <w:sz w:val="22"/>
                <w:szCs w:val="22"/>
                <w:color w:val="auto"/>
              </w:rPr>
            </w:pPr>
          </w:p>
        </w:tc>
      </w:tr>
      <w:tr>
        <w:trPr>
          <w:trHeight w:val="276"/>
        </w:trPr>
        <w:tc>
          <w:tcPr>
            <w:tcW w:w="6120" w:type="dxa"/>
            <w:vAlign w:val="bottom"/>
            <w:shd w:val="clear" w:color="auto" w:fill="CCEEFF"/>
          </w:tcPr>
          <w:p>
            <w:pPr>
              <w:ind w:left="1100"/>
              <w:spacing w:after="0"/>
              <w:rPr>
                <w:sz w:val="20"/>
                <w:szCs w:val="20"/>
                <w:color w:val="auto"/>
              </w:rPr>
            </w:pPr>
            <w:r>
              <w:rPr>
                <w:rFonts w:ascii="Arial" w:cs="Arial" w:eastAsia="Arial" w:hAnsi="Arial"/>
                <w:sz w:val="14"/>
                <w:szCs w:val="14"/>
                <w:color w:val="auto"/>
              </w:rPr>
              <w:t>TBA securities - mark-to-market net (loss) gain</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(178)</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196</w:t>
            </w:r>
          </w:p>
        </w:tc>
      </w:tr>
      <w:tr>
        <w:trPr>
          <w:trHeight w:val="264"/>
        </w:trPr>
        <w:tc>
          <w:tcPr>
            <w:tcW w:w="6120" w:type="dxa"/>
            <w:vAlign w:val="bottom"/>
          </w:tcPr>
          <w:p>
            <w:pPr>
              <w:ind w:left="1100"/>
              <w:spacing w:after="0"/>
              <w:rPr>
                <w:sz w:val="20"/>
                <w:szCs w:val="20"/>
                <w:color w:val="auto"/>
              </w:rPr>
            </w:pPr>
            <w:r>
              <w:rPr>
                <w:rFonts w:ascii="Arial" w:cs="Arial" w:eastAsia="Arial" w:hAnsi="Arial"/>
                <w:sz w:val="14"/>
                <w:szCs w:val="14"/>
                <w:color w:val="auto"/>
              </w:rPr>
              <w:t>Interest rate swaps</w:t>
            </w: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(212)</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(1,381)</w:t>
            </w:r>
          </w:p>
        </w:tc>
      </w:tr>
      <w:tr>
        <w:trPr>
          <w:trHeight w:val="276"/>
        </w:trPr>
        <w:tc>
          <w:tcPr>
            <w:tcW w:w="6120" w:type="dxa"/>
            <w:vAlign w:val="bottom"/>
            <w:shd w:val="clear" w:color="auto" w:fill="CCEEFF"/>
          </w:tcPr>
          <w:p>
            <w:pPr>
              <w:ind w:left="1100"/>
              <w:spacing w:after="0"/>
              <w:rPr>
                <w:sz w:val="20"/>
                <w:szCs w:val="20"/>
                <w:color w:val="auto"/>
              </w:rPr>
            </w:pPr>
            <w:r>
              <w:rPr>
                <w:rFonts w:ascii="Arial" w:cs="Arial" w:eastAsia="Arial" w:hAnsi="Arial"/>
                <w:sz w:val="14"/>
                <w:szCs w:val="14"/>
                <w:color w:val="auto"/>
              </w:rPr>
              <w:t>Payer swaptions</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42</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w:t>
            </w:r>
          </w:p>
        </w:tc>
      </w:tr>
      <w:tr>
        <w:trPr>
          <w:trHeight w:val="264"/>
        </w:trPr>
        <w:tc>
          <w:tcPr>
            <w:tcW w:w="6120" w:type="dxa"/>
            <w:vAlign w:val="bottom"/>
          </w:tcPr>
          <w:p>
            <w:pPr>
              <w:ind w:left="1100"/>
              <w:spacing w:after="0"/>
              <w:rPr>
                <w:sz w:val="20"/>
                <w:szCs w:val="20"/>
                <w:color w:val="auto"/>
              </w:rPr>
            </w:pPr>
            <w:r>
              <w:rPr>
                <w:rFonts w:ascii="Arial" w:cs="Arial" w:eastAsia="Arial" w:hAnsi="Arial"/>
                <w:sz w:val="14"/>
                <w:szCs w:val="14"/>
                <w:color w:val="auto"/>
              </w:rPr>
              <w:t>Receiver swaptions</w:t>
            </w: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(11)</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00" w:type="dxa"/>
            <w:vAlign w:val="bottom"/>
          </w:tcPr>
          <w:p>
            <w:pPr>
              <w:jc w:val="right"/>
              <w:ind w:right="8"/>
              <w:spacing w:after="0"/>
              <w:rPr>
                <w:sz w:val="20"/>
                <w:szCs w:val="20"/>
                <w:color w:val="auto"/>
              </w:rPr>
            </w:pPr>
            <w:r>
              <w:rPr>
                <w:rFonts w:ascii="Arial" w:cs="Arial" w:eastAsia="Arial" w:hAnsi="Arial"/>
                <w:sz w:val="14"/>
                <w:szCs w:val="14"/>
                <w:color w:val="auto"/>
              </w:rPr>
              <w:t>12</w:t>
            </w:r>
          </w:p>
        </w:tc>
      </w:tr>
      <w:tr>
        <w:trPr>
          <w:trHeight w:val="276"/>
        </w:trPr>
        <w:tc>
          <w:tcPr>
            <w:tcW w:w="6120" w:type="dxa"/>
            <w:vAlign w:val="bottom"/>
            <w:shd w:val="clear" w:color="auto" w:fill="CCEEFF"/>
          </w:tcPr>
          <w:p>
            <w:pPr>
              <w:ind w:left="1100"/>
              <w:spacing w:after="0"/>
              <w:rPr>
                <w:sz w:val="20"/>
                <w:szCs w:val="20"/>
                <w:color w:val="auto"/>
              </w:rPr>
            </w:pPr>
            <w:r>
              <w:rPr>
                <w:rFonts w:ascii="Arial" w:cs="Arial" w:eastAsia="Arial" w:hAnsi="Arial"/>
                <w:sz w:val="14"/>
                <w:szCs w:val="14"/>
                <w:color w:val="auto"/>
              </w:rPr>
              <w:t>Interest and principal-only strips</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32</w:t>
            </w:r>
          </w:p>
        </w:tc>
      </w:tr>
      <w:tr>
        <w:trPr>
          <w:trHeight w:val="264"/>
        </w:trPr>
        <w:tc>
          <w:tcPr>
            <w:tcW w:w="6120" w:type="dxa"/>
            <w:vAlign w:val="bottom"/>
          </w:tcPr>
          <w:p>
            <w:pPr>
              <w:ind w:left="1100"/>
              <w:spacing w:after="0"/>
              <w:rPr>
                <w:sz w:val="20"/>
                <w:szCs w:val="20"/>
                <w:color w:val="auto"/>
              </w:rPr>
            </w:pPr>
            <w:r>
              <w:rPr>
                <w:rFonts w:ascii="Arial" w:cs="Arial" w:eastAsia="Arial" w:hAnsi="Arial"/>
                <w:sz w:val="14"/>
                <w:szCs w:val="14"/>
                <w:color w:val="auto"/>
              </w:rPr>
              <w:t>U.S. Treasury securities - long position</w:t>
            </w: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00" w:type="dxa"/>
            <w:vAlign w:val="bottom"/>
          </w:tcPr>
          <w:p>
            <w:pPr>
              <w:jc w:val="right"/>
              <w:ind w:right="8"/>
              <w:spacing w:after="0"/>
              <w:rPr>
                <w:sz w:val="20"/>
                <w:szCs w:val="20"/>
                <w:color w:val="auto"/>
              </w:rPr>
            </w:pPr>
            <w:r>
              <w:rPr>
                <w:rFonts w:ascii="Arial" w:cs="Arial" w:eastAsia="Arial" w:hAnsi="Arial"/>
                <w:sz w:val="14"/>
                <w:szCs w:val="14"/>
                <w:color w:val="auto"/>
              </w:rPr>
              <w:t>59</w:t>
            </w:r>
          </w:p>
        </w:tc>
      </w:tr>
      <w:tr>
        <w:trPr>
          <w:trHeight w:val="276"/>
        </w:trPr>
        <w:tc>
          <w:tcPr>
            <w:tcW w:w="6120" w:type="dxa"/>
            <w:vAlign w:val="bottom"/>
            <w:shd w:val="clear" w:color="auto" w:fill="CCEEFF"/>
          </w:tcPr>
          <w:p>
            <w:pPr>
              <w:ind w:left="1100"/>
              <w:spacing w:after="0"/>
              <w:rPr>
                <w:sz w:val="20"/>
                <w:szCs w:val="20"/>
                <w:color w:val="auto"/>
              </w:rPr>
            </w:pPr>
            <w:r>
              <w:rPr>
                <w:rFonts w:ascii="Arial" w:cs="Arial" w:eastAsia="Arial" w:hAnsi="Arial"/>
                <w:sz w:val="14"/>
                <w:szCs w:val="14"/>
                <w:color w:val="auto"/>
              </w:rPr>
              <w:t>U.S. Treasury securities - short position</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w:t>
            </w:r>
          </w:p>
        </w:tc>
      </w:tr>
      <w:tr>
        <w:trPr>
          <w:trHeight w:val="264"/>
        </w:trPr>
        <w:tc>
          <w:tcPr>
            <w:tcW w:w="6120" w:type="dxa"/>
            <w:vAlign w:val="bottom"/>
          </w:tcPr>
          <w:p>
            <w:pPr>
              <w:ind w:left="1100"/>
              <w:spacing w:after="0"/>
              <w:rPr>
                <w:sz w:val="20"/>
                <w:szCs w:val="20"/>
                <w:color w:val="auto"/>
              </w:rPr>
            </w:pPr>
            <w:r>
              <w:rPr>
                <w:rFonts w:ascii="Arial" w:cs="Arial" w:eastAsia="Arial" w:hAnsi="Arial"/>
                <w:sz w:val="14"/>
                <w:szCs w:val="14"/>
                <w:color w:val="auto"/>
              </w:rPr>
              <w:t>U.S. Treasury futures - short position</w:t>
            </w:r>
          </w:p>
        </w:tc>
        <w:tc>
          <w:tcPr>
            <w:tcW w:w="200" w:type="dxa"/>
            <w:vAlign w:val="bottom"/>
          </w:tcPr>
          <w:p>
            <w:pPr>
              <w:spacing w:after="0"/>
              <w:rPr>
                <w:sz w:val="22"/>
                <w:szCs w:val="22"/>
                <w:color w:val="auto"/>
              </w:rPr>
            </w:pPr>
          </w:p>
        </w:tc>
        <w:tc>
          <w:tcPr>
            <w:tcW w:w="700" w:type="dxa"/>
            <w:vAlign w:val="bottom"/>
          </w:tcPr>
          <w:p>
            <w:pPr>
              <w:jc w:val="right"/>
              <w:ind w:right="8"/>
              <w:spacing w:after="0"/>
              <w:rPr>
                <w:sz w:val="20"/>
                <w:szCs w:val="20"/>
                <w:color w:val="auto"/>
              </w:rPr>
            </w:pPr>
            <w:r>
              <w:rPr>
                <w:rFonts w:ascii="Arial" w:cs="Arial" w:eastAsia="Arial" w:hAnsi="Arial"/>
                <w:sz w:val="14"/>
                <w:szCs w:val="14"/>
                <w:color w:val="auto"/>
              </w:rPr>
              <w:t>9</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(42)</w:t>
            </w:r>
          </w:p>
        </w:tc>
      </w:tr>
      <w:tr>
        <w:trPr>
          <w:trHeight w:val="276"/>
        </w:trPr>
        <w:tc>
          <w:tcPr>
            <w:tcW w:w="6120" w:type="dxa"/>
            <w:vAlign w:val="bottom"/>
            <w:shd w:val="clear" w:color="auto" w:fill="CCEEFF"/>
          </w:tcPr>
          <w:p>
            <w:pPr>
              <w:ind w:left="1100"/>
              <w:spacing w:after="0"/>
              <w:rPr>
                <w:sz w:val="20"/>
                <w:szCs w:val="20"/>
                <w:color w:val="auto"/>
              </w:rPr>
            </w:pPr>
            <w:r>
              <w:rPr>
                <w:rFonts w:ascii="Arial" w:cs="Arial" w:eastAsia="Arial" w:hAnsi="Arial"/>
                <w:sz w:val="14"/>
                <w:szCs w:val="14"/>
                <w:color w:val="auto"/>
              </w:rPr>
              <w:t>Debt of consolidated VIEs</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16</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w:t>
            </w:r>
          </w:p>
        </w:tc>
      </w:tr>
      <w:tr>
        <w:trPr>
          <w:trHeight w:val="264"/>
        </w:trPr>
        <w:tc>
          <w:tcPr>
            <w:tcW w:w="6120" w:type="dxa"/>
            <w:vAlign w:val="bottom"/>
          </w:tcPr>
          <w:p>
            <w:pPr>
              <w:ind w:left="1100"/>
              <w:spacing w:after="0"/>
              <w:rPr>
                <w:sz w:val="20"/>
                <w:szCs w:val="20"/>
                <w:color w:val="auto"/>
              </w:rPr>
            </w:pPr>
            <w:r>
              <w:rPr>
                <w:rFonts w:ascii="Arial" w:cs="Arial" w:eastAsia="Arial" w:hAnsi="Arial"/>
                <w:sz w:val="14"/>
                <w:szCs w:val="14"/>
                <w:color w:val="auto"/>
              </w:rPr>
              <w:t>REIT equity securities</w:t>
            </w: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(9)</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00" w:type="dxa"/>
            <w:vAlign w:val="bottom"/>
          </w:tcPr>
          <w:p>
            <w:pPr>
              <w:jc w:val="right"/>
              <w:ind w:right="8"/>
              <w:spacing w:after="0"/>
              <w:rPr>
                <w:sz w:val="20"/>
                <w:szCs w:val="20"/>
                <w:color w:val="auto"/>
              </w:rPr>
            </w:pPr>
            <w:r>
              <w:rPr>
                <w:rFonts w:ascii="Arial" w:cs="Arial" w:eastAsia="Arial" w:hAnsi="Arial"/>
                <w:sz w:val="14"/>
                <w:szCs w:val="14"/>
                <w:color w:val="auto"/>
              </w:rPr>
              <w:t>4</w:t>
            </w:r>
          </w:p>
        </w:tc>
      </w:tr>
      <w:tr>
        <w:trPr>
          <w:trHeight w:val="270"/>
        </w:trPr>
        <w:tc>
          <w:tcPr>
            <w:tcW w:w="6120" w:type="dxa"/>
            <w:vAlign w:val="bottom"/>
            <w:shd w:val="clear" w:color="auto" w:fill="CCEEFF"/>
          </w:tcPr>
          <w:p>
            <w:pPr>
              <w:ind w:left="1100"/>
              <w:spacing w:after="0"/>
              <w:rPr>
                <w:sz w:val="20"/>
                <w:szCs w:val="20"/>
                <w:color w:val="auto"/>
              </w:rPr>
            </w:pPr>
            <w:r>
              <w:rPr>
                <w:rFonts w:ascii="Arial" w:cs="Arial" w:eastAsia="Arial" w:hAnsi="Arial"/>
                <w:sz w:val="14"/>
                <w:szCs w:val="14"/>
                <w:color w:val="auto"/>
              </w:rPr>
              <w:t>Other</w:t>
            </w:r>
          </w:p>
        </w:tc>
        <w:tc>
          <w:tcPr>
            <w:tcW w:w="200" w:type="dxa"/>
            <w:vAlign w:val="bottom"/>
            <w:shd w:val="clear" w:color="auto" w:fill="CCEEFF"/>
          </w:tcPr>
          <w:p>
            <w:pPr>
              <w:spacing w:after="0"/>
              <w:rPr>
                <w:sz w:val="23"/>
                <w:szCs w:val="23"/>
                <w:color w:val="auto"/>
              </w:rPr>
            </w:pPr>
          </w:p>
        </w:tc>
        <w:tc>
          <w:tcPr>
            <w:tcW w:w="80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23"/>
                <w:szCs w:val="23"/>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w:t>
            </w:r>
          </w:p>
        </w:tc>
      </w:tr>
      <w:tr>
        <w:trPr>
          <w:trHeight w:val="250"/>
        </w:trPr>
        <w:tc>
          <w:tcPr>
            <w:tcW w:w="61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Total unrealized gain (loss) on derivative instruments and other securities, net</w:t>
            </w:r>
          </w:p>
        </w:tc>
        <w:tc>
          <w:tcPr>
            <w:tcW w:w="200" w:type="dxa"/>
            <w:vAlign w:val="bottom"/>
            <w:tcBorders>
              <w:top w:val="single" w:sz="8" w:color="auto"/>
              <w:bottom w:val="single" w:sz="8" w:color="auto"/>
            </w:tcBorders>
          </w:tcPr>
          <w:p>
            <w:pPr>
              <w:spacing w:after="0"/>
              <w:rPr>
                <w:sz w:val="21"/>
                <w:szCs w:val="21"/>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(339)</w:t>
            </w:r>
          </w:p>
        </w:tc>
        <w:tc>
          <w:tcPr>
            <w:tcW w:w="100" w:type="dxa"/>
            <w:vAlign w:val="bottom"/>
            <w:tcBorders>
              <w:bottom w:val="single" w:sz="8" w:color="CCEEFF"/>
            </w:tcBorders>
          </w:tcPr>
          <w:p>
            <w:pPr>
              <w:spacing w:after="0"/>
              <w:rPr>
                <w:sz w:val="21"/>
                <w:szCs w:val="21"/>
                <w:color w:val="auto"/>
              </w:rPr>
            </w:pPr>
          </w:p>
        </w:tc>
        <w:tc>
          <w:tcPr>
            <w:tcW w:w="320" w:type="dxa"/>
            <w:vAlign w:val="bottom"/>
            <w:tcBorders>
              <w:top w:val="single" w:sz="8" w:color="auto"/>
              <w:bottom w:val="single" w:sz="8" w:color="auto"/>
            </w:tcBorders>
          </w:tcPr>
          <w:p>
            <w:pPr>
              <w:spacing w:after="0"/>
              <w:rPr>
                <w:sz w:val="21"/>
                <w:szCs w:val="21"/>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(1,191)</w:t>
            </w:r>
          </w:p>
        </w:tc>
      </w:tr>
      <w:tr>
        <w:trPr>
          <w:trHeight w:val="243"/>
        </w:trPr>
        <w:tc>
          <w:tcPr>
            <w:tcW w:w="6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 gain (loss) on derivative instruments and other securities, net</w:t>
            </w: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(759)</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(1,243)</w:t>
            </w:r>
          </w:p>
        </w:tc>
      </w:tr>
      <w:tr>
        <w:trPr>
          <w:trHeight w:val="20"/>
        </w:trPr>
        <w:tc>
          <w:tcPr>
            <w:tcW w:w="6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For further details regarding our use of derivative instruments and related activity refer to Notes 2 and 5 of our Consolidated Financial Statements in this Form 10-K.</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Management Fees and General and Administrative Expenses</w:t>
      </w:r>
    </w:p>
    <w:p>
      <w:pPr>
        <w:spacing w:after="0" w:line="171"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We pay our Manager a management fee payable monthly in arrears in an amount equal to one-twelfth of 1.25% of our month-end stockholders' equity, adjusted to exclude the effect of any unrealized gains or losses included in either retained earnings or accumulated OCI, each as computed in accordance with GAAP. There is no incentive compensation payable to our Manager pursuant to the management agreement. We incurred management fees of $116 million and $119 million for fiscal year 2015 and 2014, respectively. The decline in our management fees was a function of our smaller capital base due to the combination of share repurchases and net losses realized on our portfolio.</w:t>
      </w:r>
    </w:p>
    <w:p>
      <w:pPr>
        <w:spacing w:after="0" w:line="119"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General and administrative expenses were $23 million and $22 million for fiscal year 2015 and 2014, respectively. Our general and administrative expenses primarily consisted of prime broker fees, information technology costs, accounting fees, legal fees, Board of Director fees, insurance expense and general overhead expense.</w:t>
      </w:r>
    </w:p>
    <w:p>
      <w:pPr>
        <w:spacing w:after="0" w:line="127" w:lineRule="exact"/>
        <w:rPr>
          <w:sz w:val="20"/>
          <w:szCs w:val="20"/>
          <w:color w:val="auto"/>
        </w:rPr>
      </w:pPr>
    </w:p>
    <w:p>
      <w:pPr>
        <w:jc w:val="both"/>
        <w:ind w:right="20" w:firstLine="432"/>
        <w:spacing w:after="0" w:line="277" w:lineRule="auto"/>
        <w:rPr>
          <w:sz w:val="20"/>
          <w:szCs w:val="20"/>
          <w:color w:val="auto"/>
        </w:rPr>
      </w:pPr>
      <w:r>
        <w:rPr>
          <w:rFonts w:ascii="Arial" w:cs="Arial" w:eastAsia="Arial" w:hAnsi="Arial"/>
          <w:sz w:val="18"/>
          <w:szCs w:val="18"/>
          <w:color w:val="auto"/>
        </w:rPr>
        <w:t>Our total annualized operating expense as a percentage of our average stockholders' equity was 1.58% and 1.52% for fiscal years 2015 and 2014, respectively.</w:t>
      </w:r>
    </w:p>
    <w:p>
      <w:pPr>
        <w:sectPr>
          <w:pgSz w:w="11900" w:h="16838" w:orient="portrait"/>
          <w:cols w:equalWidth="0" w:num="1">
            <w:col w:w="11420"/>
          </w:cols>
          <w:pgMar w:left="240" w:top="800" w:right="239" w:bottom="1440" w:gutter="0" w:footer="0" w:header="0"/>
        </w:sectPr>
      </w:pP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54</w:t>
      </w:r>
    </w:p>
    <w:p>
      <w:pPr>
        <w:sectPr>
          <w:pgSz w:w="11900" w:h="16838" w:orient="portrait"/>
          <w:cols w:equalWidth="0" w:num="1">
            <w:col w:w="11420"/>
          </w:cols>
          <w:pgMar w:left="240" w:top="800" w:right="239" w:bottom="1440" w:gutter="0" w:footer="0" w:header="0"/>
          <w:type w:val="continuous"/>
        </w:sectPr>
      </w:pPr>
    </w:p>
    <w:bookmarkStart w:id="55" w:name="page56"/>
    <w:bookmarkEnd w:id="55"/>
    <w:p>
      <w:pPr>
        <w:spacing w:after="0"/>
        <w:rPr>
          <w:sz w:val="20"/>
          <w:szCs w:val="20"/>
          <w:color w:val="auto"/>
        </w:rPr>
      </w:pPr>
      <w:r>
        <w:rPr>
          <w:rFonts w:ascii="Arial" w:cs="Arial" w:eastAsia="Arial" w:hAnsi="Arial"/>
          <w:sz w:val="18"/>
          <w:szCs w:val="18"/>
          <w:b w:val="1"/>
          <w:bCs w:val="1"/>
          <w:i w:val="1"/>
          <w:iCs w:val="1"/>
          <w:color w:val="auto"/>
        </w:rPr>
        <w:t>Dividends and Income Taxes</w:t>
      </w:r>
    </w:p>
    <w:p>
      <w:pPr>
        <w:spacing w:after="0" w:line="185"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For fiscal years 2015 and 2014, we had estimated taxable income available to common stockholders of $431 million and $439 million (or $1.24 and $1.24 per common share), respectively.</w:t>
      </w:r>
    </w:p>
    <w:p>
      <w:pPr>
        <w:spacing w:after="0" w:line="116" w:lineRule="exact"/>
        <w:rPr>
          <w:sz w:val="20"/>
          <w:szCs w:val="20"/>
          <w:color w:val="auto"/>
        </w:rPr>
      </w:pPr>
    </w:p>
    <w:p>
      <w:pPr>
        <w:jc w:val="both"/>
        <w:ind w:firstLine="432"/>
        <w:spacing w:after="0" w:line="284" w:lineRule="auto"/>
        <w:rPr>
          <w:sz w:val="20"/>
          <w:szCs w:val="20"/>
          <w:color w:val="auto"/>
        </w:rPr>
      </w:pPr>
      <w:r>
        <w:rPr>
          <w:rFonts w:ascii="Arial" w:cs="Arial" w:eastAsia="Arial" w:hAnsi="Arial"/>
          <w:sz w:val="16"/>
          <w:szCs w:val="16"/>
          <w:color w:val="auto"/>
        </w:rPr>
        <w:t>As a REIT, we are required to distribute annually 90% of our ordinary taxable income to maintain our status as a REIT and all of our taxable income to avoid federal and state corporate income taxes. We can treat dividends declared by September 15 and paid by December 31 as having been a distribution of our taxable income for our prior tax year ("spill-back provision"). Income as determined under GAAP differs from income as determined under tax rules because of both temporary and permanent differences in income and expense recognition. The primary differences are (i) unrealized gains and losses associated with interest rate swaps and other derivatives and securities marked-to-market in current income for GAAP purposes, but excluded from taxable income until realized or settled, (ii) timing differences, both temporary and potentially permanent, in the recognition of certain realized gains and losses and</w:t>
      </w:r>
    </w:p>
    <w:p>
      <w:pPr>
        <w:spacing w:after="0" w:line="5" w:lineRule="exact"/>
        <w:rPr>
          <w:sz w:val="20"/>
          <w:szCs w:val="20"/>
          <w:color w:val="auto"/>
        </w:rPr>
      </w:pPr>
    </w:p>
    <w:p>
      <w:pPr>
        <w:ind w:firstLine="8"/>
        <w:spacing w:after="0" w:line="261" w:lineRule="auto"/>
        <w:tabs>
          <w:tab w:leader="none" w:pos="333" w:val="left"/>
        </w:tabs>
        <w:numPr>
          <w:ilvl w:val="0"/>
          <w:numId w:val="34"/>
        </w:numPr>
        <w:rPr>
          <w:rFonts w:ascii="Arial" w:cs="Arial" w:eastAsia="Arial" w:hAnsi="Arial"/>
          <w:sz w:val="18"/>
          <w:szCs w:val="18"/>
          <w:color w:val="auto"/>
        </w:rPr>
      </w:pPr>
      <w:r>
        <w:rPr>
          <w:rFonts w:ascii="Arial" w:cs="Arial" w:eastAsia="Arial" w:hAnsi="Arial"/>
          <w:sz w:val="18"/>
          <w:szCs w:val="18"/>
          <w:color w:val="auto"/>
        </w:rPr>
        <w:t>temporary differences related to the amortization of premiums and discounts on investments. Furthermore, our estimated taxable income is subject to potential adjustments up to the time of filing our appropriate tax returns, which occurs after the end of our fiscal year.</w:t>
      </w:r>
    </w:p>
    <w:p>
      <w:pPr>
        <w:spacing w:after="0" w:line="130"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following is a reconciliation of our GAAP net income to our estimated taxable income for fiscal years 2015 and 2014 (dollars in millions):</w:t>
      </w:r>
    </w:p>
    <w:p>
      <w:pPr>
        <w:spacing w:after="0" w:line="200" w:lineRule="exact"/>
        <w:rPr>
          <w:sz w:val="20"/>
          <w:szCs w:val="20"/>
          <w:color w:val="auto"/>
        </w:rPr>
      </w:pPr>
    </w:p>
    <w:p>
      <w:pPr>
        <w:spacing w:after="0" w:line="204" w:lineRule="exact"/>
        <w:rPr>
          <w:sz w:val="20"/>
          <w:szCs w:val="20"/>
          <w:color w:val="auto"/>
        </w:rPr>
      </w:pPr>
    </w:p>
    <w:tbl>
      <w:tblPr>
        <w:tblLayout w:type="fixed"/>
        <w:tblInd w:w="1600" w:type="dxa"/>
        <w:tblCellMar>
          <w:top w:w="0" w:type="dxa"/>
          <w:left w:w="0" w:type="dxa"/>
          <w:bottom w:w="0" w:type="dxa"/>
          <w:right w:w="0" w:type="dxa"/>
        </w:tblCellMar>
      </w:tblPr>
      <w:tr>
        <w:trPr>
          <w:trHeight w:val="192"/>
        </w:trPr>
        <w:tc>
          <w:tcPr>
            <w:tcW w:w="646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600" w:type="dxa"/>
            <w:vAlign w:val="bottom"/>
            <w:tcBorders>
              <w:bottom w:val="single" w:sz="8" w:color="auto"/>
            </w:tcBorders>
            <w:gridSpan w:val="4"/>
          </w:tcPr>
          <w:p>
            <w:pPr>
              <w:jc w:val="right"/>
              <w:ind w:right="468"/>
              <w:spacing w:after="0"/>
              <w:rPr>
                <w:sz w:val="20"/>
                <w:szCs w:val="20"/>
                <w:color w:val="auto"/>
              </w:rPr>
            </w:pPr>
            <w:r>
              <w:rPr>
                <w:rFonts w:ascii="Arial" w:cs="Arial" w:eastAsia="Arial" w:hAnsi="Arial"/>
                <w:sz w:val="14"/>
                <w:szCs w:val="14"/>
                <w:b w:val="1"/>
                <w:bCs w:val="1"/>
                <w:color w:val="auto"/>
              </w:rPr>
              <w:t>Fiscal Year</w:t>
            </w:r>
          </w:p>
        </w:tc>
      </w:tr>
      <w:tr>
        <w:trPr>
          <w:trHeight w:val="264"/>
        </w:trPr>
        <w:tc>
          <w:tcPr>
            <w:tcW w:w="646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b w:val="1"/>
                <w:bCs w:val="1"/>
                <w:color w:val="auto"/>
              </w:rPr>
              <w:t>2014</w:t>
            </w:r>
          </w:p>
        </w:tc>
      </w:tr>
      <w:tr>
        <w:trPr>
          <w:trHeight w:val="256"/>
        </w:trPr>
        <w:tc>
          <w:tcPr>
            <w:tcW w:w="646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income (loss)</w:t>
            </w: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6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215</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(233)</w:t>
            </w:r>
          </w:p>
        </w:tc>
      </w:tr>
      <w:tr>
        <w:trPr>
          <w:trHeight w:val="264"/>
        </w:trPr>
        <w:tc>
          <w:tcPr>
            <w:tcW w:w="6460" w:type="dxa"/>
            <w:vAlign w:val="bottom"/>
          </w:tcPr>
          <w:p>
            <w:pPr>
              <w:ind w:left="20"/>
              <w:spacing w:after="0"/>
              <w:rPr>
                <w:sz w:val="20"/>
                <w:szCs w:val="20"/>
                <w:color w:val="auto"/>
              </w:rPr>
            </w:pPr>
            <w:r>
              <w:rPr>
                <w:rFonts w:ascii="Arial" w:cs="Arial" w:eastAsia="Arial" w:hAnsi="Arial"/>
                <w:sz w:val="14"/>
                <w:szCs w:val="14"/>
                <w:color w:val="auto"/>
              </w:rPr>
              <w:t>Estimated book to tax differences:</w:t>
            </w:r>
          </w:p>
        </w:tc>
        <w:tc>
          <w:tcPr>
            <w:tcW w:w="18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60" w:type="dxa"/>
            <w:vAlign w:val="bottom"/>
          </w:tcPr>
          <w:p>
            <w:pPr>
              <w:spacing w:after="0"/>
              <w:rPr>
                <w:sz w:val="22"/>
                <w:szCs w:val="22"/>
                <w:color w:val="auto"/>
              </w:rPr>
            </w:pPr>
          </w:p>
        </w:tc>
      </w:tr>
      <w:tr>
        <w:trPr>
          <w:trHeight w:val="276"/>
        </w:trPr>
        <w:tc>
          <w:tcPr>
            <w:tcW w:w="64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Premium amortization, net</w:t>
            </w:r>
          </w:p>
        </w:tc>
        <w:tc>
          <w:tcPr>
            <w:tcW w:w="18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34</w:t>
            </w:r>
          </w:p>
        </w:tc>
      </w:tr>
      <w:tr>
        <w:trPr>
          <w:trHeight w:val="264"/>
        </w:trPr>
        <w:tc>
          <w:tcPr>
            <w:tcW w:w="6460" w:type="dxa"/>
            <w:vAlign w:val="bottom"/>
          </w:tcPr>
          <w:p>
            <w:pPr>
              <w:ind w:left="160"/>
              <w:spacing w:after="0"/>
              <w:rPr>
                <w:sz w:val="20"/>
                <w:szCs w:val="20"/>
                <w:color w:val="auto"/>
              </w:rPr>
            </w:pPr>
            <w:r>
              <w:rPr>
                <w:rFonts w:ascii="Arial" w:cs="Arial" w:eastAsia="Arial" w:hAnsi="Arial"/>
                <w:sz w:val="14"/>
                <w:szCs w:val="14"/>
                <w:color w:val="auto"/>
              </w:rPr>
              <w:t>Realized gain/loss, net</w:t>
            </w:r>
          </w:p>
        </w:tc>
        <w:tc>
          <w:tcPr>
            <w:tcW w:w="180" w:type="dxa"/>
            <w:vAlign w:val="bottom"/>
          </w:tcPr>
          <w:p>
            <w:pPr>
              <w:spacing w:after="0"/>
              <w:rPr>
                <w:sz w:val="22"/>
                <w:szCs w:val="22"/>
                <w:color w:val="auto"/>
              </w:rPr>
            </w:pPr>
          </w:p>
        </w:tc>
        <w:tc>
          <w:tcPr>
            <w:tcW w:w="660" w:type="dxa"/>
            <w:vAlign w:val="bottom"/>
          </w:tcPr>
          <w:p>
            <w:pPr>
              <w:jc w:val="right"/>
              <w:ind w:right="28"/>
              <w:spacing w:after="0"/>
              <w:rPr>
                <w:sz w:val="20"/>
                <w:szCs w:val="20"/>
                <w:color w:val="auto"/>
              </w:rPr>
            </w:pPr>
            <w:r>
              <w:rPr>
                <w:rFonts w:ascii="Arial" w:cs="Arial" w:eastAsia="Arial" w:hAnsi="Arial"/>
                <w:sz w:val="14"/>
                <w:szCs w:val="14"/>
                <w:color w:val="auto"/>
              </w:rPr>
              <w:t>14</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60" w:type="dxa"/>
            <w:vAlign w:val="bottom"/>
          </w:tcPr>
          <w:p>
            <w:pPr>
              <w:jc w:val="right"/>
              <w:ind w:right="8"/>
              <w:spacing w:after="0"/>
              <w:rPr>
                <w:sz w:val="20"/>
                <w:szCs w:val="20"/>
                <w:color w:val="auto"/>
              </w:rPr>
            </w:pPr>
            <w:r>
              <w:rPr>
                <w:rFonts w:ascii="Arial" w:cs="Arial" w:eastAsia="Arial" w:hAnsi="Arial"/>
                <w:sz w:val="14"/>
                <w:szCs w:val="14"/>
                <w:color w:val="auto"/>
              </w:rPr>
              <w:t>495</w:t>
            </w:r>
          </w:p>
        </w:tc>
      </w:tr>
      <w:tr>
        <w:trPr>
          <w:trHeight w:val="276"/>
        </w:trPr>
        <w:tc>
          <w:tcPr>
            <w:tcW w:w="64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Net capital loss/(utilization of net capital loss carryforward)</w:t>
            </w:r>
          </w:p>
        </w:tc>
        <w:tc>
          <w:tcPr>
            <w:tcW w:w="18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(77)</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(1,024)</w:t>
            </w:r>
          </w:p>
        </w:tc>
      </w:tr>
      <w:tr>
        <w:trPr>
          <w:trHeight w:val="264"/>
        </w:trPr>
        <w:tc>
          <w:tcPr>
            <w:tcW w:w="6460" w:type="dxa"/>
            <w:vAlign w:val="bottom"/>
          </w:tcPr>
          <w:p>
            <w:pPr>
              <w:ind w:left="160"/>
              <w:spacing w:after="0"/>
              <w:rPr>
                <w:sz w:val="20"/>
                <w:szCs w:val="20"/>
                <w:color w:val="auto"/>
              </w:rPr>
            </w:pPr>
            <w:r>
              <w:rPr>
                <w:rFonts w:ascii="Arial" w:cs="Arial" w:eastAsia="Arial" w:hAnsi="Arial"/>
                <w:sz w:val="14"/>
                <w:szCs w:val="14"/>
                <w:color w:val="auto"/>
              </w:rPr>
              <w:t>Unrealized gain/loss, net</w:t>
            </w:r>
          </w:p>
        </w:tc>
        <w:tc>
          <w:tcPr>
            <w:tcW w:w="180" w:type="dxa"/>
            <w:vAlign w:val="bottom"/>
          </w:tcPr>
          <w:p>
            <w:pPr>
              <w:spacing w:after="0"/>
              <w:rPr>
                <w:sz w:val="22"/>
                <w:szCs w:val="22"/>
                <w:color w:val="auto"/>
              </w:rPr>
            </w:pPr>
          </w:p>
        </w:tc>
        <w:tc>
          <w:tcPr>
            <w:tcW w:w="660" w:type="dxa"/>
            <w:vAlign w:val="bottom"/>
          </w:tcPr>
          <w:p>
            <w:pPr>
              <w:jc w:val="right"/>
              <w:ind w:right="28"/>
              <w:spacing w:after="0"/>
              <w:rPr>
                <w:sz w:val="20"/>
                <w:szCs w:val="20"/>
                <w:color w:val="auto"/>
              </w:rPr>
            </w:pPr>
            <w:r>
              <w:rPr>
                <w:rFonts w:ascii="Arial" w:cs="Arial" w:eastAsia="Arial" w:hAnsi="Arial"/>
                <w:sz w:val="14"/>
                <w:szCs w:val="14"/>
                <w:color w:val="auto"/>
              </w:rPr>
              <w:t>339</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60" w:type="dxa"/>
            <w:vAlign w:val="bottom"/>
          </w:tcPr>
          <w:p>
            <w:pPr>
              <w:jc w:val="right"/>
              <w:ind w:right="8"/>
              <w:spacing w:after="0"/>
              <w:rPr>
                <w:sz w:val="20"/>
                <w:szCs w:val="20"/>
                <w:color w:val="auto"/>
              </w:rPr>
            </w:pPr>
            <w:r>
              <w:rPr>
                <w:rFonts w:ascii="Arial" w:cs="Arial" w:eastAsia="Arial" w:hAnsi="Arial"/>
                <w:sz w:val="14"/>
                <w:szCs w:val="14"/>
                <w:color w:val="auto"/>
              </w:rPr>
              <w:t>1,191</w:t>
            </w:r>
          </w:p>
        </w:tc>
      </w:tr>
      <w:tr>
        <w:trPr>
          <w:trHeight w:val="270"/>
        </w:trPr>
        <w:tc>
          <w:tcPr>
            <w:tcW w:w="64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Other</w:t>
            </w:r>
          </w:p>
        </w:tc>
        <w:tc>
          <w:tcPr>
            <w:tcW w:w="180" w:type="dxa"/>
            <w:vAlign w:val="bottom"/>
            <w:shd w:val="clear" w:color="auto" w:fill="CCEEFF"/>
          </w:tcPr>
          <w:p>
            <w:pPr>
              <w:spacing w:after="0"/>
              <w:rPr>
                <w:sz w:val="23"/>
                <w:szCs w:val="23"/>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3"/>
                <w:szCs w:val="23"/>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r>
      <w:tr>
        <w:trPr>
          <w:trHeight w:val="250"/>
        </w:trPr>
        <w:tc>
          <w:tcPr>
            <w:tcW w:w="6460" w:type="dxa"/>
            <w:vAlign w:val="bottom"/>
            <w:tcBorders>
              <w:bottom w:val="single" w:sz="8" w:color="CCEEFF"/>
            </w:tcBorders>
          </w:tcPr>
          <w:p>
            <w:pPr>
              <w:ind w:left="840"/>
              <w:spacing w:after="0"/>
              <w:rPr>
                <w:sz w:val="20"/>
                <w:szCs w:val="20"/>
                <w:color w:val="auto"/>
              </w:rPr>
            </w:pPr>
            <w:r>
              <w:rPr>
                <w:rFonts w:ascii="Arial" w:cs="Arial" w:eastAsia="Arial" w:hAnsi="Arial"/>
                <w:sz w:val="14"/>
                <w:szCs w:val="14"/>
                <w:color w:val="auto"/>
              </w:rPr>
              <w:t>Total book to tax differences</w:t>
            </w:r>
          </w:p>
        </w:tc>
        <w:tc>
          <w:tcPr>
            <w:tcW w:w="180" w:type="dxa"/>
            <w:vAlign w:val="bottom"/>
            <w:tcBorders>
              <w:top w:val="single" w:sz="8" w:color="auto"/>
              <w:bottom w:val="single" w:sz="8" w:color="auto"/>
            </w:tcBorders>
          </w:tcPr>
          <w:p>
            <w:pPr>
              <w:spacing w:after="0"/>
              <w:rPr>
                <w:sz w:val="21"/>
                <w:szCs w:val="21"/>
                <w:color w:val="auto"/>
              </w:rPr>
            </w:pPr>
          </w:p>
        </w:tc>
        <w:tc>
          <w:tcPr>
            <w:tcW w:w="66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244</w:t>
            </w:r>
          </w:p>
        </w:tc>
        <w:tc>
          <w:tcPr>
            <w:tcW w:w="10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66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695</w:t>
            </w:r>
          </w:p>
        </w:tc>
      </w:tr>
      <w:tr>
        <w:trPr>
          <w:trHeight w:val="256"/>
        </w:trPr>
        <w:tc>
          <w:tcPr>
            <w:tcW w:w="6460" w:type="dxa"/>
            <w:vAlign w:val="bottom"/>
            <w:shd w:val="clear" w:color="auto" w:fill="CCEEFF"/>
          </w:tcPr>
          <w:p>
            <w:pPr>
              <w:ind w:left="20"/>
              <w:spacing w:after="0"/>
              <w:rPr>
                <w:sz w:val="20"/>
                <w:szCs w:val="20"/>
                <w:color w:val="auto"/>
              </w:rPr>
            </w:pPr>
            <w:r>
              <w:rPr>
                <w:rFonts w:ascii="Arial" w:cs="Arial" w:eastAsia="Arial" w:hAnsi="Arial"/>
                <w:sz w:val="14"/>
                <w:szCs w:val="14"/>
                <w:color w:val="auto"/>
              </w:rPr>
              <w:t>Estimated REIT taxable income</w:t>
            </w:r>
          </w:p>
        </w:tc>
        <w:tc>
          <w:tcPr>
            <w:tcW w:w="180" w:type="dxa"/>
            <w:vAlign w:val="bottom"/>
            <w:shd w:val="clear" w:color="auto" w:fill="CCEEFF"/>
          </w:tcPr>
          <w:p>
            <w:pPr>
              <w:spacing w:after="0"/>
              <w:rPr>
                <w:sz w:val="22"/>
                <w:szCs w:val="22"/>
                <w:color w:val="auto"/>
              </w:rPr>
            </w:pPr>
          </w:p>
        </w:tc>
        <w:tc>
          <w:tcPr>
            <w:tcW w:w="6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459</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6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462</w:t>
            </w:r>
          </w:p>
        </w:tc>
      </w:tr>
      <w:tr>
        <w:trPr>
          <w:trHeight w:val="264"/>
        </w:trPr>
        <w:tc>
          <w:tcPr>
            <w:tcW w:w="646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Dividend on preferred stock</w:t>
            </w:r>
          </w:p>
        </w:tc>
        <w:tc>
          <w:tcPr>
            <w:tcW w:w="18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28</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23</w:t>
            </w:r>
          </w:p>
        </w:tc>
      </w:tr>
      <w:tr>
        <w:trPr>
          <w:trHeight w:val="243"/>
        </w:trPr>
        <w:tc>
          <w:tcPr>
            <w:tcW w:w="6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Estimated REIT taxable income available to common stockholders</w:t>
            </w:r>
          </w:p>
        </w:tc>
        <w:tc>
          <w:tcPr>
            <w:tcW w:w="1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6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431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439</w:t>
            </w:r>
          </w:p>
        </w:tc>
      </w:tr>
      <w:tr>
        <w:trPr>
          <w:trHeight w:val="20"/>
        </w:trPr>
        <w:tc>
          <w:tcPr>
            <w:tcW w:w="64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r>
      <w:tr>
        <w:trPr>
          <w:trHeight w:val="250"/>
        </w:trPr>
        <w:tc>
          <w:tcPr>
            <w:tcW w:w="64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Weighted average number of common shares outstanding - basic and diluted</w:t>
            </w:r>
          </w:p>
        </w:tc>
        <w:tc>
          <w:tcPr>
            <w:tcW w:w="180" w:type="dxa"/>
            <w:vAlign w:val="bottom"/>
            <w:tcBorders>
              <w:bottom w:val="single" w:sz="8" w:color="auto"/>
            </w:tcBorders>
          </w:tcPr>
          <w:p>
            <w:pPr>
              <w:spacing w:after="0"/>
              <w:rPr>
                <w:sz w:val="21"/>
                <w:szCs w:val="21"/>
                <w:color w:val="auto"/>
              </w:rPr>
            </w:pPr>
          </w:p>
        </w:tc>
        <w:tc>
          <w:tcPr>
            <w:tcW w:w="6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348.6</w:t>
            </w:r>
          </w:p>
        </w:tc>
        <w:tc>
          <w:tcPr>
            <w:tcW w:w="10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6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353.3</w:t>
            </w:r>
          </w:p>
        </w:tc>
      </w:tr>
      <w:tr>
        <w:trPr>
          <w:trHeight w:val="210"/>
        </w:trPr>
        <w:tc>
          <w:tcPr>
            <w:tcW w:w="6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Estimated REIT taxable income per common share - basic and diluted</w:t>
            </w:r>
          </w:p>
        </w:tc>
        <w:tc>
          <w:tcPr>
            <w:tcW w:w="1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6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1.24</w:t>
            </w: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1.24</w:t>
            </w:r>
          </w:p>
        </w:tc>
      </w:tr>
      <w:tr>
        <w:trPr>
          <w:trHeight w:val="20"/>
        </w:trPr>
        <w:tc>
          <w:tcPr>
            <w:tcW w:w="64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r>
      <w:tr>
        <w:trPr>
          <w:trHeight w:val="264"/>
        </w:trPr>
        <w:tc>
          <w:tcPr>
            <w:tcW w:w="64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60" w:type="dxa"/>
            <w:vAlign w:val="bottom"/>
          </w:tcPr>
          <w:p>
            <w:pPr>
              <w:spacing w:after="0"/>
              <w:rPr>
                <w:sz w:val="22"/>
                <w:szCs w:val="22"/>
                <w:color w:val="auto"/>
              </w:rPr>
            </w:pPr>
          </w:p>
        </w:tc>
      </w:tr>
      <w:tr>
        <w:trPr>
          <w:trHeight w:val="270"/>
        </w:trPr>
        <w:tc>
          <w:tcPr>
            <w:tcW w:w="6460" w:type="dxa"/>
            <w:vAlign w:val="bottom"/>
            <w:shd w:val="clear" w:color="auto" w:fill="CCEEFF"/>
          </w:tcPr>
          <w:p>
            <w:pPr>
              <w:ind w:left="20"/>
              <w:spacing w:after="0"/>
              <w:rPr>
                <w:sz w:val="20"/>
                <w:szCs w:val="20"/>
                <w:color w:val="auto"/>
              </w:rPr>
            </w:pPr>
            <w:r>
              <w:rPr>
                <w:rFonts w:ascii="Arial" w:cs="Arial" w:eastAsia="Arial" w:hAnsi="Arial"/>
                <w:sz w:val="14"/>
                <w:szCs w:val="14"/>
                <w:color w:val="auto"/>
              </w:rPr>
              <w:t>Beginning cumulative non-deductible net capital loss</w:t>
            </w: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6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761</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1,785</w:t>
            </w:r>
          </w:p>
        </w:tc>
      </w:tr>
      <w:tr>
        <w:trPr>
          <w:trHeight w:val="264"/>
        </w:trPr>
        <w:tc>
          <w:tcPr>
            <w:tcW w:w="64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Utilization of net capital loss carryforward</w:t>
            </w:r>
          </w:p>
        </w:tc>
        <w:tc>
          <w:tcPr>
            <w:tcW w:w="18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(77)</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(1,024)</w:t>
            </w:r>
          </w:p>
        </w:tc>
      </w:tr>
      <w:tr>
        <w:trPr>
          <w:trHeight w:val="250"/>
        </w:trPr>
        <w:tc>
          <w:tcPr>
            <w:tcW w:w="6460" w:type="dxa"/>
            <w:vAlign w:val="bottom"/>
            <w:shd w:val="clear" w:color="auto" w:fill="CCEEFF"/>
          </w:tcPr>
          <w:p>
            <w:pPr>
              <w:ind w:left="20"/>
              <w:spacing w:after="0"/>
              <w:rPr>
                <w:sz w:val="20"/>
                <w:szCs w:val="20"/>
                <w:color w:val="auto"/>
              </w:rPr>
            </w:pPr>
            <w:r>
              <w:rPr>
                <w:rFonts w:ascii="Arial" w:cs="Arial" w:eastAsia="Arial" w:hAnsi="Arial"/>
                <w:sz w:val="14"/>
                <w:szCs w:val="14"/>
                <w:color w:val="auto"/>
              </w:rPr>
              <w:t>Ending cumulative non-deductible net capital loss</w:t>
            </w:r>
          </w:p>
        </w:tc>
        <w:tc>
          <w:tcPr>
            <w:tcW w:w="1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6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684</w:t>
            </w:r>
          </w:p>
        </w:tc>
        <w:tc>
          <w:tcPr>
            <w:tcW w:w="100" w:type="dxa"/>
            <w:vAlign w:val="bottom"/>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761</w:t>
            </w:r>
          </w:p>
        </w:tc>
      </w:tr>
      <w:tr>
        <w:trPr>
          <w:trHeight w:val="243"/>
        </w:trPr>
        <w:tc>
          <w:tcPr>
            <w:tcW w:w="6460" w:type="dxa"/>
            <w:vAlign w:val="bottom"/>
          </w:tcPr>
          <w:p>
            <w:pPr>
              <w:ind w:left="20"/>
              <w:spacing w:after="0"/>
              <w:rPr>
                <w:sz w:val="20"/>
                <w:szCs w:val="20"/>
                <w:color w:val="auto"/>
              </w:rPr>
            </w:pPr>
            <w:r>
              <w:rPr>
                <w:rFonts w:ascii="Arial" w:cs="Arial" w:eastAsia="Arial" w:hAnsi="Arial"/>
                <w:sz w:val="14"/>
                <w:szCs w:val="14"/>
                <w:color w:val="auto"/>
              </w:rPr>
              <w:t>Ending cumulative non-deductible net capital loss per ending common share</w:t>
            </w:r>
          </w:p>
        </w:tc>
        <w:tc>
          <w:tcPr>
            <w:tcW w:w="1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w w:val="76"/>
              </w:rPr>
              <w:t>$</w:t>
            </w:r>
          </w:p>
        </w:tc>
        <w:tc>
          <w:tcPr>
            <w:tcW w:w="6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2.03</w:t>
            </w:r>
          </w:p>
        </w:tc>
        <w:tc>
          <w:tcPr>
            <w:tcW w:w="100" w:type="dxa"/>
            <w:vAlign w:val="bottom"/>
          </w:tcPr>
          <w:p>
            <w:pPr>
              <w:spacing w:after="0"/>
              <w:rPr>
                <w:sz w:val="21"/>
                <w:szCs w:val="21"/>
                <w:color w:val="auto"/>
              </w:rPr>
            </w:pP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2.16</w:t>
            </w:r>
          </w:p>
        </w:tc>
      </w:tr>
      <w:tr>
        <w:trPr>
          <w:trHeight w:val="20"/>
        </w:trPr>
        <w:tc>
          <w:tcPr>
            <w:tcW w:w="64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r>
    </w:tbl>
    <w:p>
      <w:pPr>
        <w:spacing w:after="0" w:line="256"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As of December 31, 2015, we had $684 million (or $2.03 per common share) of net capital loss carryforwards, which can be carried forward and applied against future net capital gains through fiscal year 2018.</w:t>
      </w:r>
    </w:p>
    <w:p>
      <w:pPr>
        <w:spacing w:after="0" w:line="116" w:lineRule="exact"/>
        <w:rPr>
          <w:sz w:val="20"/>
          <w:szCs w:val="20"/>
          <w:color w:val="auto"/>
        </w:rPr>
      </w:pPr>
    </w:p>
    <w:p>
      <w:pPr>
        <w:ind w:firstLine="432"/>
        <w:spacing w:after="0" w:line="342" w:lineRule="auto"/>
        <w:rPr>
          <w:sz w:val="20"/>
          <w:szCs w:val="20"/>
          <w:color w:val="auto"/>
        </w:rPr>
      </w:pPr>
      <w:r>
        <w:rPr>
          <w:rFonts w:ascii="Arial" w:cs="Arial" w:eastAsia="Arial" w:hAnsi="Arial"/>
          <w:sz w:val="16"/>
          <w:szCs w:val="16"/>
          <w:color w:val="auto"/>
        </w:rPr>
        <w:t>As of December 31, 2015 and 2014, we had distributed all of our estimated taxable income for fiscal years 2015 and 2014, respectively. Accordingly, we do not expect to incur an income tax or excise tax liability on our 2015 taxable income, nor did we incur such liabilities on our 2014 taxable income.</w:t>
      </w:r>
    </w:p>
    <w:p>
      <w:pPr>
        <w:spacing w:after="0" w:line="1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420"/>
          </w:cols>
          <w:pgMar w:left="240" w:top="584" w:right="239" w:bottom="1440" w:gutter="0" w:footer="0" w:header="0"/>
        </w:sectPr>
      </w:pPr>
    </w:p>
    <w:bookmarkStart w:id="56" w:name="page57"/>
    <w:bookmarkEnd w:id="56"/>
    <w:p>
      <w:pPr>
        <w:ind w:firstLine="432"/>
        <w:spacing w:after="0" w:line="277" w:lineRule="auto"/>
        <w:rPr>
          <w:sz w:val="20"/>
          <w:szCs w:val="20"/>
          <w:color w:val="auto"/>
        </w:rPr>
      </w:pPr>
      <w:r>
        <w:rPr>
          <w:rFonts w:ascii="Arial" w:cs="Arial" w:eastAsia="Arial" w:hAnsi="Arial"/>
          <w:sz w:val="18"/>
          <w:szCs w:val="18"/>
          <w:color w:val="auto"/>
        </w:rPr>
        <w:t>The following table summarizes dividends declared on our Series A Preferred Stock, depositary shares underlying our Series B Preferred Stock and common stock during fiscal years 2015 and 2014:</w:t>
      </w:r>
    </w:p>
    <w:p>
      <w:pPr>
        <w:spacing w:after="0" w:line="293" w:lineRule="exact"/>
        <w:rPr>
          <w:sz w:val="20"/>
          <w:szCs w:val="20"/>
          <w:color w:val="auto"/>
        </w:rPr>
      </w:pPr>
    </w:p>
    <w:tbl>
      <w:tblPr>
        <w:tblLayout w:type="fixed"/>
        <w:tblInd w:w="1200" w:type="dxa"/>
        <w:tblCellMar>
          <w:top w:w="0" w:type="dxa"/>
          <w:left w:w="0" w:type="dxa"/>
          <w:bottom w:w="0" w:type="dxa"/>
          <w:right w:w="0" w:type="dxa"/>
        </w:tblCellMar>
      </w:tblPr>
      <w:tr>
        <w:trPr>
          <w:trHeight w:val="210"/>
        </w:trPr>
        <w:tc>
          <w:tcPr>
            <w:tcW w:w="4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420" w:type="dxa"/>
            <w:vAlign w:val="bottom"/>
            <w:gridSpan w:val="6"/>
          </w:tcPr>
          <w:p>
            <w:pPr>
              <w:jc w:val="right"/>
              <w:spacing w:after="0"/>
              <w:rPr>
                <w:sz w:val="20"/>
                <w:szCs w:val="20"/>
                <w:color w:val="auto"/>
              </w:rPr>
            </w:pPr>
            <w:r>
              <w:rPr>
                <w:rFonts w:ascii="Arial" w:cs="Arial" w:eastAsia="Arial" w:hAnsi="Arial"/>
                <w:sz w:val="16"/>
                <w:szCs w:val="16"/>
                <w:b w:val="1"/>
                <w:bCs w:val="1"/>
                <w:color w:val="auto"/>
              </w:rPr>
              <w:t>Dividends Declared per Share</w:t>
            </w:r>
          </w:p>
        </w:tc>
        <w:tc>
          <w:tcPr>
            <w:tcW w:w="1360" w:type="dxa"/>
            <w:vAlign w:val="bottom"/>
          </w:tcPr>
          <w:p>
            <w:pPr>
              <w:spacing w:after="0"/>
              <w:rPr>
                <w:sz w:val="18"/>
                <w:szCs w:val="18"/>
                <w:color w:val="auto"/>
              </w:rPr>
            </w:pPr>
          </w:p>
        </w:tc>
      </w:tr>
      <w:tr>
        <w:trPr>
          <w:trHeight w:val="33"/>
        </w:trPr>
        <w:tc>
          <w:tcPr>
            <w:tcW w:w="4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09"/>
        </w:trPr>
        <w:tc>
          <w:tcPr>
            <w:tcW w:w="4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1"/>
              </w:rPr>
              <w:t>Series B Preferred</w:t>
            </w:r>
          </w:p>
        </w:tc>
        <w:tc>
          <w:tcPr>
            <w:tcW w:w="180" w:type="dxa"/>
            <w:vAlign w:val="bottom"/>
          </w:tcPr>
          <w:p>
            <w:pPr>
              <w:spacing w:after="0"/>
              <w:rPr>
                <w:sz w:val="18"/>
                <w:szCs w:val="18"/>
                <w:color w:val="auto"/>
              </w:rPr>
            </w:pPr>
          </w:p>
        </w:tc>
        <w:tc>
          <w:tcPr>
            <w:tcW w:w="1360" w:type="dxa"/>
            <w:vAlign w:val="bottom"/>
          </w:tcPr>
          <w:p>
            <w:pPr>
              <w:spacing w:after="0"/>
              <w:rPr>
                <w:sz w:val="18"/>
                <w:szCs w:val="18"/>
                <w:color w:val="auto"/>
              </w:rPr>
            </w:pPr>
          </w:p>
        </w:tc>
      </w:tr>
      <w:tr>
        <w:trPr>
          <w:trHeight w:val="203"/>
        </w:trPr>
        <w:tc>
          <w:tcPr>
            <w:tcW w:w="4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0" w:type="dxa"/>
            <w:vAlign w:val="bottom"/>
            <w:gridSpan w:val="2"/>
          </w:tcPr>
          <w:p>
            <w:pPr>
              <w:jc w:val="center"/>
              <w:ind w:right="280"/>
              <w:spacing w:after="0"/>
              <w:rPr>
                <w:sz w:val="20"/>
                <w:szCs w:val="20"/>
                <w:color w:val="auto"/>
              </w:rPr>
            </w:pPr>
            <w:r>
              <w:rPr>
                <w:rFonts w:ascii="Arial" w:cs="Arial" w:eastAsia="Arial" w:hAnsi="Arial"/>
                <w:sz w:val="16"/>
                <w:szCs w:val="16"/>
                <w:b w:val="1"/>
                <w:bCs w:val="1"/>
                <w:color w:val="auto"/>
                <w:w w:val="91"/>
              </w:rPr>
              <w:t>Series A Preferred</w:t>
            </w:r>
          </w:p>
        </w:tc>
        <w:tc>
          <w:tcPr>
            <w:tcW w:w="120" w:type="dxa"/>
            <w:vAlign w:val="bottom"/>
          </w:tcPr>
          <w:p>
            <w:pPr>
              <w:spacing w:after="0"/>
              <w:rPr>
                <w:sz w:val="17"/>
                <w:szCs w:val="17"/>
                <w:color w:val="auto"/>
              </w:rPr>
            </w:pPr>
          </w:p>
        </w:tc>
        <w:tc>
          <w:tcPr>
            <w:tcW w:w="152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0"/>
              </w:rPr>
              <w:t>Stock (Per</w:t>
            </w:r>
          </w:p>
        </w:tc>
        <w:tc>
          <w:tcPr>
            <w:tcW w:w="180" w:type="dxa"/>
            <w:vAlign w:val="bottom"/>
          </w:tcPr>
          <w:p>
            <w:pPr>
              <w:spacing w:after="0"/>
              <w:rPr>
                <w:sz w:val="17"/>
                <w:szCs w:val="17"/>
                <w:color w:val="auto"/>
              </w:rPr>
            </w:pPr>
          </w:p>
        </w:tc>
        <w:tc>
          <w:tcPr>
            <w:tcW w:w="1360" w:type="dxa"/>
            <w:vAlign w:val="bottom"/>
          </w:tcPr>
          <w:p>
            <w:pPr>
              <w:spacing w:after="0"/>
              <w:rPr>
                <w:sz w:val="17"/>
                <w:szCs w:val="17"/>
                <w:color w:val="auto"/>
              </w:rPr>
            </w:pPr>
          </w:p>
        </w:tc>
      </w:tr>
      <w:tr>
        <w:trPr>
          <w:trHeight w:val="210"/>
        </w:trPr>
        <w:tc>
          <w:tcPr>
            <w:tcW w:w="4120" w:type="dxa"/>
            <w:vAlign w:val="bottom"/>
            <w:gridSpan w:val="2"/>
          </w:tcPr>
          <w:p>
            <w:pPr>
              <w:ind w:left="20"/>
              <w:spacing w:after="0"/>
              <w:rPr>
                <w:sz w:val="20"/>
                <w:szCs w:val="20"/>
                <w:color w:val="auto"/>
              </w:rPr>
            </w:pPr>
            <w:r>
              <w:rPr>
                <w:rFonts w:ascii="Arial" w:cs="Arial" w:eastAsia="Arial" w:hAnsi="Arial"/>
                <w:sz w:val="16"/>
                <w:szCs w:val="16"/>
                <w:b w:val="1"/>
                <w:bCs w:val="1"/>
                <w:color w:val="auto"/>
              </w:rPr>
              <w:t>Quarter Ended</w:t>
            </w:r>
          </w:p>
        </w:tc>
        <w:tc>
          <w:tcPr>
            <w:tcW w:w="140" w:type="dxa"/>
            <w:vAlign w:val="bottom"/>
          </w:tcPr>
          <w:p>
            <w:pPr>
              <w:spacing w:after="0"/>
              <w:rPr>
                <w:sz w:val="18"/>
                <w:szCs w:val="18"/>
                <w:color w:val="auto"/>
              </w:rPr>
            </w:pPr>
          </w:p>
        </w:tc>
        <w:tc>
          <w:tcPr>
            <w:tcW w:w="160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87"/>
              </w:rPr>
              <w:t>Stock</w:t>
            </w:r>
          </w:p>
        </w:tc>
        <w:tc>
          <w:tcPr>
            <w:tcW w:w="120" w:type="dxa"/>
            <w:vAlign w:val="bottom"/>
          </w:tcPr>
          <w:p>
            <w:pPr>
              <w:spacing w:after="0"/>
              <w:rPr>
                <w:sz w:val="18"/>
                <w:szCs w:val="18"/>
                <w:color w:val="auto"/>
              </w:rPr>
            </w:pPr>
          </w:p>
        </w:tc>
        <w:tc>
          <w:tcPr>
            <w:tcW w:w="152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0"/>
              </w:rPr>
              <w:t>Depositary Share)</w:t>
            </w:r>
          </w:p>
        </w:tc>
        <w:tc>
          <w:tcPr>
            <w:tcW w:w="180" w:type="dxa"/>
            <w:vAlign w:val="bottom"/>
          </w:tcPr>
          <w:p>
            <w:pPr>
              <w:spacing w:after="0"/>
              <w:rPr>
                <w:sz w:val="18"/>
                <w:szCs w:val="18"/>
                <w:color w:val="auto"/>
              </w:rPr>
            </w:pPr>
          </w:p>
        </w:tc>
        <w:tc>
          <w:tcPr>
            <w:tcW w:w="1360" w:type="dxa"/>
            <w:vAlign w:val="bottom"/>
          </w:tcPr>
          <w:p>
            <w:pPr>
              <w:jc w:val="right"/>
              <w:ind w:right="159"/>
              <w:spacing w:after="0"/>
              <w:rPr>
                <w:sz w:val="20"/>
                <w:szCs w:val="20"/>
                <w:color w:val="auto"/>
              </w:rPr>
            </w:pPr>
            <w:r>
              <w:rPr>
                <w:rFonts w:ascii="Arial" w:cs="Arial" w:eastAsia="Arial" w:hAnsi="Arial"/>
                <w:sz w:val="16"/>
                <w:szCs w:val="16"/>
                <w:b w:val="1"/>
                <w:bCs w:val="1"/>
                <w:color w:val="auto"/>
                <w:w w:val="93"/>
              </w:rPr>
              <w:t>Common Stock</w:t>
            </w:r>
          </w:p>
        </w:tc>
      </w:tr>
      <w:tr>
        <w:trPr>
          <w:trHeight w:val="33"/>
        </w:trPr>
        <w:tc>
          <w:tcPr>
            <w:tcW w:w="4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30"/>
        </w:trPr>
        <w:tc>
          <w:tcPr>
            <w:tcW w:w="41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December 31, 2015</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0.50000</w:t>
            </w: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0.484375</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0.60</w:t>
            </w:r>
          </w:p>
        </w:tc>
      </w:tr>
      <w:tr>
        <w:trPr>
          <w:trHeight w:val="237"/>
        </w:trPr>
        <w:tc>
          <w:tcPr>
            <w:tcW w:w="4120" w:type="dxa"/>
            <w:vAlign w:val="bottom"/>
            <w:gridSpan w:val="2"/>
          </w:tcPr>
          <w:p>
            <w:pPr>
              <w:ind w:left="20"/>
              <w:spacing w:after="0"/>
              <w:rPr>
                <w:sz w:val="20"/>
                <w:szCs w:val="20"/>
                <w:color w:val="auto"/>
              </w:rPr>
            </w:pPr>
            <w:r>
              <w:rPr>
                <w:rFonts w:ascii="Arial" w:cs="Arial" w:eastAsia="Arial" w:hAnsi="Arial"/>
                <w:sz w:val="16"/>
                <w:szCs w:val="16"/>
                <w:color w:val="auto"/>
              </w:rPr>
              <w:t>September 30, 2015</w:t>
            </w:r>
          </w:p>
        </w:tc>
        <w:tc>
          <w:tcPr>
            <w:tcW w:w="140" w:type="dxa"/>
            <w:vAlign w:val="bottom"/>
          </w:tcPr>
          <w:p>
            <w:pPr>
              <w:spacing w:after="0"/>
              <w:rPr>
                <w:sz w:val="20"/>
                <w:szCs w:val="20"/>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0.50000</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0.484375</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0.60</w:t>
            </w:r>
          </w:p>
        </w:tc>
      </w:tr>
      <w:tr>
        <w:trPr>
          <w:trHeight w:val="33"/>
        </w:trPr>
        <w:tc>
          <w:tcPr>
            <w:tcW w:w="4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41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June 30, 2015</w:t>
            </w:r>
          </w:p>
        </w:tc>
        <w:tc>
          <w:tcPr>
            <w:tcW w:w="14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0.50000</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0.484375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0.62</w:t>
            </w:r>
          </w:p>
        </w:tc>
      </w:tr>
      <w:tr>
        <w:trPr>
          <w:trHeight w:val="237"/>
        </w:trPr>
        <w:tc>
          <w:tcPr>
            <w:tcW w:w="4120" w:type="dxa"/>
            <w:vAlign w:val="bottom"/>
            <w:gridSpan w:val="2"/>
          </w:tcPr>
          <w:p>
            <w:pPr>
              <w:ind w:left="20"/>
              <w:spacing w:after="0"/>
              <w:rPr>
                <w:sz w:val="20"/>
                <w:szCs w:val="20"/>
                <w:color w:val="auto"/>
              </w:rPr>
            </w:pPr>
            <w:r>
              <w:rPr>
                <w:rFonts w:ascii="Arial" w:cs="Arial" w:eastAsia="Arial" w:hAnsi="Arial"/>
                <w:sz w:val="16"/>
                <w:szCs w:val="16"/>
                <w:color w:val="auto"/>
              </w:rPr>
              <w:t>March 31, 2015</w:t>
            </w:r>
          </w:p>
        </w:tc>
        <w:tc>
          <w:tcPr>
            <w:tcW w:w="140" w:type="dxa"/>
            <w:vAlign w:val="bottom"/>
          </w:tcPr>
          <w:p>
            <w:pPr>
              <w:spacing w:after="0"/>
              <w:rPr>
                <w:sz w:val="20"/>
                <w:szCs w:val="20"/>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0.50000</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0.484375</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0.66</w:t>
            </w:r>
          </w:p>
        </w:tc>
      </w:tr>
      <w:tr>
        <w:trPr>
          <w:trHeight w:val="33"/>
        </w:trPr>
        <w:tc>
          <w:tcPr>
            <w:tcW w:w="40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44"/>
        </w:trPr>
        <w:tc>
          <w:tcPr>
            <w:tcW w:w="41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2.00000</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1.937500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2.48</w:t>
            </w:r>
          </w:p>
        </w:tc>
      </w:tr>
      <w:tr>
        <w:trPr>
          <w:trHeight w:val="20"/>
        </w:trPr>
        <w:tc>
          <w:tcPr>
            <w:tcW w:w="40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r>
      <w:tr>
        <w:trPr>
          <w:trHeight w:val="311"/>
        </w:trPr>
        <w:tc>
          <w:tcPr>
            <w:tcW w:w="4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60" w:type="dxa"/>
            <w:vAlign w:val="bottom"/>
          </w:tcPr>
          <w:p>
            <w:pPr>
              <w:spacing w:after="0"/>
              <w:rPr>
                <w:sz w:val="24"/>
                <w:szCs w:val="24"/>
                <w:color w:val="auto"/>
              </w:rPr>
            </w:pPr>
          </w:p>
        </w:tc>
      </w:tr>
      <w:tr>
        <w:trPr>
          <w:trHeight w:val="250"/>
        </w:trPr>
        <w:tc>
          <w:tcPr>
            <w:tcW w:w="41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December 31, 2014</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0.50000</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0.484375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0.66</w:t>
            </w:r>
          </w:p>
        </w:tc>
      </w:tr>
      <w:tr>
        <w:trPr>
          <w:trHeight w:val="237"/>
        </w:trPr>
        <w:tc>
          <w:tcPr>
            <w:tcW w:w="4120" w:type="dxa"/>
            <w:vAlign w:val="bottom"/>
            <w:gridSpan w:val="2"/>
          </w:tcPr>
          <w:p>
            <w:pPr>
              <w:ind w:left="20"/>
              <w:spacing w:after="0"/>
              <w:rPr>
                <w:sz w:val="20"/>
                <w:szCs w:val="20"/>
                <w:color w:val="auto"/>
              </w:rPr>
            </w:pPr>
            <w:r>
              <w:rPr>
                <w:rFonts w:ascii="Arial" w:cs="Arial" w:eastAsia="Arial" w:hAnsi="Arial"/>
                <w:sz w:val="16"/>
                <w:szCs w:val="16"/>
                <w:color w:val="auto"/>
              </w:rPr>
              <w:t>September 30, 2014</w:t>
            </w:r>
          </w:p>
        </w:tc>
        <w:tc>
          <w:tcPr>
            <w:tcW w:w="140" w:type="dxa"/>
            <w:vAlign w:val="bottom"/>
          </w:tcPr>
          <w:p>
            <w:pPr>
              <w:spacing w:after="0"/>
              <w:rPr>
                <w:sz w:val="20"/>
                <w:szCs w:val="20"/>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0.50000</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0.484375</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0.65</w:t>
            </w:r>
          </w:p>
        </w:tc>
      </w:tr>
      <w:tr>
        <w:trPr>
          <w:trHeight w:val="33"/>
        </w:trPr>
        <w:tc>
          <w:tcPr>
            <w:tcW w:w="4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41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June 30, 2014</w:t>
            </w:r>
          </w:p>
        </w:tc>
        <w:tc>
          <w:tcPr>
            <w:tcW w:w="14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0.50000</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0.360590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0.65</w:t>
            </w:r>
          </w:p>
        </w:tc>
      </w:tr>
      <w:tr>
        <w:trPr>
          <w:trHeight w:val="237"/>
        </w:trPr>
        <w:tc>
          <w:tcPr>
            <w:tcW w:w="4120" w:type="dxa"/>
            <w:vAlign w:val="bottom"/>
            <w:gridSpan w:val="2"/>
          </w:tcPr>
          <w:p>
            <w:pPr>
              <w:ind w:left="20"/>
              <w:spacing w:after="0"/>
              <w:rPr>
                <w:sz w:val="20"/>
                <w:szCs w:val="20"/>
                <w:color w:val="auto"/>
              </w:rPr>
            </w:pPr>
            <w:r>
              <w:rPr>
                <w:rFonts w:ascii="Arial" w:cs="Arial" w:eastAsia="Arial" w:hAnsi="Arial"/>
                <w:sz w:val="16"/>
                <w:szCs w:val="16"/>
                <w:color w:val="auto"/>
              </w:rPr>
              <w:t>March 31, 2014</w:t>
            </w:r>
          </w:p>
        </w:tc>
        <w:tc>
          <w:tcPr>
            <w:tcW w:w="140" w:type="dxa"/>
            <w:vAlign w:val="bottom"/>
          </w:tcPr>
          <w:p>
            <w:pPr>
              <w:spacing w:after="0"/>
              <w:rPr>
                <w:sz w:val="20"/>
                <w:szCs w:val="20"/>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0.50000</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0.65</w:t>
            </w:r>
          </w:p>
        </w:tc>
      </w:tr>
      <w:tr>
        <w:trPr>
          <w:trHeight w:val="33"/>
        </w:trPr>
        <w:tc>
          <w:tcPr>
            <w:tcW w:w="40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44"/>
        </w:trPr>
        <w:tc>
          <w:tcPr>
            <w:tcW w:w="41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2.00000</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1.329340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2.61</w:t>
            </w:r>
          </w:p>
        </w:tc>
      </w:tr>
      <w:tr>
        <w:trPr>
          <w:trHeight w:val="20"/>
        </w:trPr>
        <w:tc>
          <w:tcPr>
            <w:tcW w:w="40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Comprehensive Income (Loss)</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summarizes the components of our other comprehensive income (loss) for fiscal years 2015 and 2014 (in millions):</w:t>
      </w:r>
    </w:p>
    <w:p>
      <w:pPr>
        <w:spacing w:after="0" w:line="200" w:lineRule="exact"/>
        <w:rPr>
          <w:sz w:val="20"/>
          <w:szCs w:val="20"/>
          <w:color w:val="auto"/>
        </w:rPr>
      </w:pPr>
    </w:p>
    <w:p>
      <w:pPr>
        <w:spacing w:after="0" w:line="219" w:lineRule="exact"/>
        <w:rPr>
          <w:sz w:val="20"/>
          <w:szCs w:val="20"/>
          <w:color w:val="auto"/>
        </w:rPr>
      </w:pPr>
    </w:p>
    <w:tbl>
      <w:tblPr>
        <w:tblLayout w:type="fixed"/>
        <w:tblInd w:w="800" w:type="dxa"/>
        <w:tblCellMar>
          <w:top w:w="0" w:type="dxa"/>
          <w:left w:w="0" w:type="dxa"/>
          <w:bottom w:w="0" w:type="dxa"/>
          <w:right w:w="0" w:type="dxa"/>
        </w:tblCellMar>
      </w:tblPr>
      <w:tr>
        <w:trPr>
          <w:trHeight w:val="192"/>
        </w:trPr>
        <w:tc>
          <w:tcPr>
            <w:tcW w:w="796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gridSpan w:val="4"/>
          </w:tcPr>
          <w:p>
            <w:pPr>
              <w:jc w:val="right"/>
              <w:ind w:right="508"/>
              <w:spacing w:after="0"/>
              <w:rPr>
                <w:sz w:val="20"/>
                <w:szCs w:val="20"/>
                <w:color w:val="auto"/>
              </w:rPr>
            </w:pPr>
            <w:r>
              <w:rPr>
                <w:rFonts w:ascii="Arial" w:cs="Arial" w:eastAsia="Arial" w:hAnsi="Arial"/>
                <w:sz w:val="14"/>
                <w:szCs w:val="14"/>
                <w:b w:val="1"/>
                <w:bCs w:val="1"/>
                <w:color w:val="auto"/>
              </w:rPr>
              <w:t>Fiscal Year</w:t>
            </w:r>
          </w:p>
        </w:tc>
      </w:tr>
      <w:tr>
        <w:trPr>
          <w:trHeight w:val="264"/>
        </w:trPr>
        <w:tc>
          <w:tcPr>
            <w:tcW w:w="796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2014</w:t>
            </w:r>
          </w:p>
        </w:tc>
      </w:tr>
      <w:tr>
        <w:trPr>
          <w:trHeight w:val="270"/>
        </w:trPr>
        <w:tc>
          <w:tcPr>
            <w:tcW w:w="7960" w:type="dxa"/>
            <w:vAlign w:val="bottom"/>
            <w:shd w:val="clear" w:color="auto" w:fill="CCEEFF"/>
          </w:tcPr>
          <w:p>
            <w:pPr>
              <w:ind w:left="40"/>
              <w:spacing w:after="0"/>
              <w:rPr>
                <w:sz w:val="20"/>
                <w:szCs w:val="20"/>
                <w:color w:val="auto"/>
              </w:rPr>
            </w:pPr>
            <w:r>
              <w:rPr>
                <w:rFonts w:ascii="Arial" w:cs="Arial" w:eastAsia="Arial" w:hAnsi="Arial"/>
                <w:sz w:val="14"/>
                <w:szCs w:val="14"/>
                <w:color w:val="auto"/>
              </w:rPr>
              <w:t>Unrealized gain (loss) on available-for-sale securities, net:</w:t>
            </w:r>
          </w:p>
        </w:tc>
        <w:tc>
          <w:tcPr>
            <w:tcW w:w="20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r>
      <w:tr>
        <w:trPr>
          <w:trHeight w:val="264"/>
        </w:trPr>
        <w:tc>
          <w:tcPr>
            <w:tcW w:w="7960" w:type="dxa"/>
            <w:vAlign w:val="bottom"/>
          </w:tcPr>
          <w:p>
            <w:pPr>
              <w:ind w:left="120"/>
              <w:spacing w:after="0"/>
              <w:rPr>
                <w:sz w:val="20"/>
                <w:szCs w:val="20"/>
                <w:color w:val="auto"/>
              </w:rPr>
            </w:pPr>
            <w:r>
              <w:rPr>
                <w:rFonts w:ascii="Arial" w:cs="Arial" w:eastAsia="Arial" w:hAnsi="Arial"/>
                <w:sz w:val="14"/>
                <w:szCs w:val="14"/>
                <w:color w:val="auto"/>
              </w:rPr>
              <w:t>Unrealized gain (loss), net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(620)</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1,708</w:t>
            </w:r>
          </w:p>
        </w:tc>
      </w:tr>
      <w:tr>
        <w:trPr>
          <w:trHeight w:val="270"/>
        </w:trPr>
        <w:tc>
          <w:tcPr>
            <w:tcW w:w="7960" w:type="dxa"/>
            <w:vAlign w:val="bottom"/>
            <w:shd w:val="clear" w:color="auto" w:fill="CCEEFF"/>
          </w:tcPr>
          <w:p>
            <w:pPr>
              <w:ind w:left="120"/>
              <w:spacing w:after="0"/>
              <w:rPr>
                <w:sz w:val="20"/>
                <w:szCs w:val="20"/>
                <w:color w:val="auto"/>
              </w:rPr>
            </w:pPr>
            <w:r>
              <w:rPr>
                <w:rFonts w:ascii="Arial" w:cs="Arial" w:eastAsia="Arial" w:hAnsi="Arial"/>
                <w:sz w:val="14"/>
                <w:szCs w:val="14"/>
                <w:color w:val="auto"/>
              </w:rPr>
              <w:t>Reversal of prior period unrealized (gain) loss, net, upon realization</w:t>
            </w:r>
          </w:p>
        </w:tc>
        <w:tc>
          <w:tcPr>
            <w:tcW w:w="20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23</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(51)</w:t>
            </w:r>
          </w:p>
        </w:tc>
      </w:tr>
      <w:tr>
        <w:trPr>
          <w:trHeight w:val="250"/>
        </w:trPr>
        <w:tc>
          <w:tcPr>
            <w:tcW w:w="796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Unrealized gain (loss) on available-for-sale securities, net:</w:t>
            </w:r>
          </w:p>
        </w:tc>
        <w:tc>
          <w:tcPr>
            <w:tcW w:w="200" w:type="dxa"/>
            <w:vAlign w:val="bottom"/>
            <w:tcBorders>
              <w:bottom w:val="single" w:sz="8" w:color="auto"/>
            </w:tcBorders>
          </w:tcPr>
          <w:p>
            <w:pPr>
              <w:spacing w:after="0"/>
              <w:rPr>
                <w:sz w:val="21"/>
                <w:szCs w:val="21"/>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(597)</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1,657</w:t>
            </w:r>
          </w:p>
        </w:tc>
      </w:tr>
      <w:tr>
        <w:trPr>
          <w:trHeight w:val="270"/>
        </w:trPr>
        <w:tc>
          <w:tcPr>
            <w:tcW w:w="7960" w:type="dxa"/>
            <w:vAlign w:val="bottom"/>
            <w:shd w:val="clear" w:color="auto" w:fill="CCEEFF"/>
          </w:tcPr>
          <w:p>
            <w:pPr>
              <w:ind w:left="40"/>
              <w:spacing w:after="0"/>
              <w:rPr>
                <w:sz w:val="20"/>
                <w:szCs w:val="20"/>
                <w:color w:val="auto"/>
              </w:rPr>
            </w:pPr>
            <w:r>
              <w:rPr>
                <w:rFonts w:ascii="Arial" w:cs="Arial" w:eastAsia="Arial" w:hAnsi="Arial"/>
                <w:sz w:val="14"/>
                <w:szCs w:val="14"/>
                <w:color w:val="auto"/>
              </w:rPr>
              <w:t>Unrealized gain on interest rate swaps designated as cash flow hedges:</w:t>
            </w:r>
          </w:p>
        </w:tc>
        <w:tc>
          <w:tcPr>
            <w:tcW w:w="20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r>
      <w:tr>
        <w:trPr>
          <w:trHeight w:val="264"/>
        </w:trPr>
        <w:tc>
          <w:tcPr>
            <w:tcW w:w="7960" w:type="dxa"/>
            <w:vAlign w:val="bottom"/>
            <w:tcBorders>
              <w:bottom w:val="single" w:sz="8" w:color="CCEEFF"/>
            </w:tcBorders>
          </w:tcPr>
          <w:p>
            <w:pPr>
              <w:ind w:left="120"/>
              <w:spacing w:after="0"/>
              <w:rPr>
                <w:sz w:val="20"/>
                <w:szCs w:val="20"/>
                <w:color w:val="auto"/>
              </w:rPr>
            </w:pPr>
            <w:r>
              <w:rPr>
                <w:rFonts w:ascii="Arial" w:cs="Arial" w:eastAsia="Arial" w:hAnsi="Arial"/>
                <w:sz w:val="14"/>
                <w:szCs w:val="14"/>
                <w:color w:val="auto"/>
              </w:rPr>
              <w:t>Reversal of prior period unrealized loss on interest rate swaps, net, upon reclassification to interest expense</w:t>
            </w:r>
          </w:p>
        </w:tc>
        <w:tc>
          <w:tcPr>
            <w:tcW w:w="20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101</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156</w:t>
            </w:r>
          </w:p>
        </w:tc>
      </w:tr>
      <w:tr>
        <w:trPr>
          <w:trHeight w:val="243"/>
        </w:trPr>
        <w:tc>
          <w:tcPr>
            <w:tcW w:w="7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Total other comprehensive income (loss)</w:t>
            </w: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(496)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1,813</w:t>
            </w:r>
          </w:p>
        </w:tc>
      </w:tr>
      <w:tr>
        <w:trPr>
          <w:trHeight w:val="20"/>
        </w:trPr>
        <w:tc>
          <w:tcPr>
            <w:tcW w:w="79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400"/>
          </w:cols>
          <w:pgMar w:left="240" w:top="746" w:right="259" w:bottom="1440" w:gutter="0" w:footer="0" w:header="0"/>
        </w:sectPr>
      </w:pPr>
    </w:p>
    <w:bookmarkStart w:id="57" w:name="page58"/>
    <w:bookmarkEnd w:id="57"/>
    <w:p>
      <w:pPr>
        <w:spacing w:after="0"/>
        <w:rPr>
          <w:sz w:val="20"/>
          <w:szCs w:val="20"/>
          <w:color w:val="auto"/>
        </w:rPr>
      </w:pPr>
      <w:r>
        <w:rPr>
          <w:rFonts w:ascii="Arial" w:cs="Arial" w:eastAsia="Arial" w:hAnsi="Arial"/>
          <w:sz w:val="18"/>
          <w:szCs w:val="18"/>
          <w:b w:val="1"/>
          <w:bCs w:val="1"/>
          <w:color w:val="auto"/>
        </w:rPr>
        <w:t>FISCAL YEAR 2014 COMPARED TO FISCAL YEAR 2013:</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 and Asset Yield</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summarizes our interest income for the fiscal years 2014 and 2013 (dollars in millions):</w:t>
      </w:r>
    </w:p>
    <w:p>
      <w:pPr>
        <w:spacing w:after="0" w:line="392" w:lineRule="exact"/>
        <w:rPr>
          <w:sz w:val="20"/>
          <w:szCs w:val="20"/>
          <w:color w:val="auto"/>
        </w:rPr>
      </w:pPr>
    </w:p>
    <w:tbl>
      <w:tblPr>
        <w:tblLayout w:type="fixed"/>
        <w:tblInd w:w="1640" w:type="dxa"/>
        <w:tblCellMar>
          <w:top w:w="0" w:type="dxa"/>
          <w:left w:w="0" w:type="dxa"/>
          <w:bottom w:w="0" w:type="dxa"/>
          <w:right w:w="0" w:type="dxa"/>
        </w:tblCellMar>
      </w:tblPr>
      <w:tr>
        <w:trPr>
          <w:trHeight w:val="192"/>
        </w:trPr>
        <w:tc>
          <w:tcPr>
            <w:tcW w:w="426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760" w:type="dxa"/>
            <w:vAlign w:val="bottom"/>
            <w:tcBorders>
              <w:bottom w:val="single" w:sz="8" w:color="auto"/>
            </w:tcBorders>
            <w:gridSpan w:val="3"/>
          </w:tcPr>
          <w:p>
            <w:pPr>
              <w:jc w:val="right"/>
              <w:ind w:right="368"/>
              <w:spacing w:after="0"/>
              <w:rPr>
                <w:sz w:val="20"/>
                <w:szCs w:val="20"/>
                <w:color w:val="auto"/>
              </w:rPr>
            </w:pPr>
            <w:r>
              <w:rPr>
                <w:rFonts w:ascii="Arial" w:cs="Arial" w:eastAsia="Arial" w:hAnsi="Arial"/>
                <w:sz w:val="14"/>
                <w:szCs w:val="14"/>
                <w:b w:val="1"/>
                <w:bCs w:val="1"/>
                <w:color w:val="auto"/>
              </w:rPr>
              <w:t>Fiscal Year 2014</w:t>
            </w: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760" w:type="dxa"/>
            <w:vAlign w:val="bottom"/>
            <w:tcBorders>
              <w:bottom w:val="single" w:sz="8" w:color="auto"/>
            </w:tcBorders>
            <w:gridSpan w:val="3"/>
          </w:tcPr>
          <w:p>
            <w:pPr>
              <w:jc w:val="right"/>
              <w:ind w:right="368"/>
              <w:spacing w:after="0"/>
              <w:rPr>
                <w:sz w:val="20"/>
                <w:szCs w:val="20"/>
                <w:color w:val="auto"/>
              </w:rPr>
            </w:pPr>
            <w:r>
              <w:rPr>
                <w:rFonts w:ascii="Arial" w:cs="Arial" w:eastAsia="Arial" w:hAnsi="Arial"/>
                <w:sz w:val="14"/>
                <w:szCs w:val="14"/>
                <w:b w:val="1"/>
                <w:bCs w:val="1"/>
                <w:color w:val="auto"/>
              </w:rPr>
              <w:t>Fiscal Year 2013</w:t>
            </w:r>
          </w:p>
        </w:tc>
      </w:tr>
      <w:tr>
        <w:trPr>
          <w:trHeight w:val="264"/>
        </w:trPr>
        <w:tc>
          <w:tcPr>
            <w:tcW w:w="42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gridSpan w:val="2"/>
          </w:tcPr>
          <w:p>
            <w:pPr>
              <w:ind w:left="60"/>
              <w:spacing w:after="0"/>
              <w:rPr>
                <w:sz w:val="20"/>
                <w:szCs w:val="20"/>
                <w:color w:val="auto"/>
              </w:rPr>
            </w:pPr>
            <w:r>
              <w:rPr>
                <w:rFonts w:ascii="Arial" w:cs="Arial" w:eastAsia="Arial" w:hAnsi="Arial"/>
                <w:sz w:val="14"/>
                <w:szCs w:val="14"/>
                <w:b w:val="1"/>
                <w:bCs w:val="1"/>
                <w:color w:val="auto"/>
              </w:rPr>
              <w:t>Amount</w:t>
            </w:r>
          </w:p>
        </w:tc>
        <w:tc>
          <w:tcPr>
            <w:tcW w:w="1000" w:type="dxa"/>
            <w:vAlign w:val="bottom"/>
            <w:gridSpan w:val="2"/>
          </w:tcPr>
          <w:p>
            <w:pPr>
              <w:ind w:left="280"/>
              <w:spacing w:after="0"/>
              <w:rPr>
                <w:sz w:val="20"/>
                <w:szCs w:val="20"/>
                <w:color w:val="auto"/>
              </w:rPr>
            </w:pPr>
            <w:r>
              <w:rPr>
                <w:rFonts w:ascii="Arial" w:cs="Arial" w:eastAsia="Arial" w:hAnsi="Arial"/>
                <w:sz w:val="14"/>
                <w:szCs w:val="14"/>
                <w:b w:val="1"/>
                <w:bCs w:val="1"/>
                <w:color w:val="auto"/>
              </w:rPr>
              <w:t>Yield</w:t>
            </w:r>
          </w:p>
        </w:tc>
        <w:tc>
          <w:tcPr>
            <w:tcW w:w="140" w:type="dxa"/>
            <w:vAlign w:val="bottom"/>
          </w:tcPr>
          <w:p>
            <w:pPr>
              <w:spacing w:after="0"/>
              <w:rPr>
                <w:sz w:val="22"/>
                <w:szCs w:val="22"/>
                <w:color w:val="auto"/>
              </w:rPr>
            </w:pPr>
          </w:p>
        </w:tc>
        <w:tc>
          <w:tcPr>
            <w:tcW w:w="860" w:type="dxa"/>
            <w:vAlign w:val="bottom"/>
            <w:gridSpan w:val="2"/>
          </w:tcPr>
          <w:p>
            <w:pPr>
              <w:ind w:left="40"/>
              <w:spacing w:after="0"/>
              <w:rPr>
                <w:sz w:val="20"/>
                <w:szCs w:val="20"/>
                <w:color w:val="auto"/>
              </w:rPr>
            </w:pPr>
            <w:r>
              <w:rPr>
                <w:rFonts w:ascii="Arial" w:cs="Arial" w:eastAsia="Arial" w:hAnsi="Arial"/>
                <w:sz w:val="14"/>
                <w:szCs w:val="14"/>
                <w:b w:val="1"/>
                <w:bCs w:val="1"/>
                <w:color w:val="auto"/>
              </w:rPr>
              <w:t>Amount</w:t>
            </w:r>
          </w:p>
        </w:tc>
        <w:tc>
          <w:tcPr>
            <w:tcW w:w="900" w:type="dxa"/>
            <w:vAlign w:val="bottom"/>
          </w:tcPr>
          <w:p>
            <w:pPr>
              <w:jc w:val="right"/>
              <w:ind w:right="228"/>
              <w:spacing w:after="0"/>
              <w:rPr>
                <w:sz w:val="20"/>
                <w:szCs w:val="20"/>
                <w:color w:val="auto"/>
              </w:rPr>
            </w:pPr>
            <w:r>
              <w:rPr>
                <w:rFonts w:ascii="Arial" w:cs="Arial" w:eastAsia="Arial" w:hAnsi="Arial"/>
                <w:sz w:val="14"/>
                <w:szCs w:val="14"/>
                <w:b w:val="1"/>
                <w:bCs w:val="1"/>
                <w:color w:val="auto"/>
              </w:rPr>
              <w:t>Yield</w:t>
            </w:r>
          </w:p>
        </w:tc>
      </w:tr>
      <w:tr>
        <w:trPr>
          <w:trHeight w:val="256"/>
        </w:trPr>
        <w:tc>
          <w:tcPr>
            <w:tcW w:w="42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Cash/coupon interest income</w:t>
            </w: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1,945</w:t>
            </w:r>
          </w:p>
        </w:tc>
        <w:tc>
          <w:tcPr>
            <w:tcW w:w="120" w:type="dxa"/>
            <w:vAlign w:val="bottom"/>
            <w:tcBorders>
              <w:top w:val="single" w:sz="8" w:color="CCEEFF"/>
            </w:tcBorders>
            <w:shd w:val="clear" w:color="auto" w:fill="CCEEFF"/>
          </w:tcPr>
          <w:p>
            <w:pPr>
              <w:spacing w:after="0"/>
              <w:rPr>
                <w:sz w:val="22"/>
                <w:szCs w:val="22"/>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3.63 %</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2,710</w:t>
            </w:r>
          </w:p>
        </w:tc>
        <w:tc>
          <w:tcPr>
            <w:tcW w:w="120" w:type="dxa"/>
            <w:vAlign w:val="bottom"/>
            <w:tcBorders>
              <w:top w:val="single" w:sz="8" w:color="CCEEFF"/>
            </w:tcBorders>
            <w:shd w:val="clear" w:color="auto" w:fill="CCEEFF"/>
          </w:tcPr>
          <w:p>
            <w:pPr>
              <w:spacing w:after="0"/>
              <w:rPr>
                <w:sz w:val="22"/>
                <w:szCs w:val="22"/>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3.59 %</w:t>
            </w:r>
          </w:p>
        </w:tc>
      </w:tr>
      <w:tr>
        <w:trPr>
          <w:trHeight w:val="264"/>
        </w:trPr>
        <w:tc>
          <w:tcPr>
            <w:tcW w:w="42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Net premium amortization</w:t>
            </w:r>
          </w:p>
        </w:tc>
        <w:tc>
          <w:tcPr>
            <w:tcW w:w="14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(473)</w:t>
            </w:r>
          </w:p>
        </w:tc>
        <w:tc>
          <w:tcPr>
            <w:tcW w:w="12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(1.00)%</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(517)</w:t>
            </w:r>
          </w:p>
        </w:tc>
        <w:tc>
          <w:tcPr>
            <w:tcW w:w="12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(0.82)%</w:t>
            </w:r>
          </w:p>
        </w:tc>
      </w:tr>
      <w:tr>
        <w:trPr>
          <w:trHeight w:val="243"/>
        </w:trPr>
        <w:tc>
          <w:tcPr>
            <w:tcW w:w="4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Interest income</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1,472</w:t>
            </w: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2.63 %</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2,193</w:t>
            </w: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2.77 %</w:t>
            </w:r>
          </w:p>
        </w:tc>
      </w:tr>
      <w:tr>
        <w:trPr>
          <w:trHeight w:val="20"/>
        </w:trPr>
        <w:tc>
          <w:tcPr>
            <w:tcW w:w="42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r>
        <w:trPr>
          <w:trHeight w:val="245"/>
        </w:trPr>
        <w:tc>
          <w:tcPr>
            <w:tcW w:w="4260" w:type="dxa"/>
            <w:vAlign w:val="bottom"/>
          </w:tcPr>
          <w:p>
            <w:pPr>
              <w:ind w:left="20"/>
              <w:spacing w:after="0"/>
              <w:rPr>
                <w:sz w:val="20"/>
                <w:szCs w:val="20"/>
                <w:color w:val="auto"/>
              </w:rPr>
            </w:pPr>
            <w:r>
              <w:rPr>
                <w:rFonts w:ascii="Arial" w:cs="Arial" w:eastAsia="Arial" w:hAnsi="Arial"/>
                <w:sz w:val="14"/>
                <w:szCs w:val="14"/>
                <w:color w:val="auto"/>
              </w:rPr>
              <w:t>Actual portfolio CPR</w:t>
            </w:r>
          </w:p>
        </w:tc>
        <w:tc>
          <w:tcPr>
            <w:tcW w:w="14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9%</w:t>
            </w:r>
          </w:p>
        </w:tc>
        <w:tc>
          <w:tcPr>
            <w:tcW w:w="1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10%</w:t>
            </w:r>
          </w:p>
        </w:tc>
        <w:tc>
          <w:tcPr>
            <w:tcW w:w="120" w:type="dxa"/>
            <w:vAlign w:val="bottom"/>
          </w:tcPr>
          <w:p>
            <w:pPr>
              <w:spacing w:after="0"/>
              <w:rPr>
                <w:sz w:val="21"/>
                <w:szCs w:val="21"/>
                <w:color w:val="auto"/>
              </w:rPr>
            </w:pPr>
          </w:p>
        </w:tc>
        <w:tc>
          <w:tcPr>
            <w:tcW w:w="900" w:type="dxa"/>
            <w:vAlign w:val="bottom"/>
          </w:tcPr>
          <w:p>
            <w:pPr>
              <w:spacing w:after="0"/>
              <w:rPr>
                <w:sz w:val="21"/>
                <w:szCs w:val="21"/>
                <w:color w:val="auto"/>
              </w:rPr>
            </w:pPr>
          </w:p>
        </w:tc>
      </w:tr>
      <w:tr>
        <w:trPr>
          <w:trHeight w:val="276"/>
        </w:trPr>
        <w:tc>
          <w:tcPr>
            <w:tcW w:w="4260" w:type="dxa"/>
            <w:vAlign w:val="bottom"/>
            <w:shd w:val="clear" w:color="auto" w:fill="CCEEFF"/>
          </w:tcPr>
          <w:p>
            <w:pPr>
              <w:ind w:left="20"/>
              <w:spacing w:after="0"/>
              <w:rPr>
                <w:sz w:val="20"/>
                <w:szCs w:val="20"/>
                <w:color w:val="auto"/>
              </w:rPr>
            </w:pPr>
            <w:r>
              <w:rPr>
                <w:rFonts w:ascii="Arial" w:cs="Arial" w:eastAsia="Arial" w:hAnsi="Arial"/>
                <w:sz w:val="14"/>
                <w:szCs w:val="14"/>
                <w:color w:val="auto"/>
              </w:rPr>
              <w:t>Projected life CPR as of period end</w:t>
            </w:r>
          </w:p>
        </w:tc>
        <w:tc>
          <w:tcPr>
            <w:tcW w:w="140" w:type="dxa"/>
            <w:vAlign w:val="bottom"/>
            <w:shd w:val="clear" w:color="auto" w:fill="CCEEFF"/>
          </w:tcPr>
          <w:p>
            <w:pPr>
              <w:spacing w:after="0"/>
              <w:rPr>
                <w:sz w:val="24"/>
                <w:szCs w:val="24"/>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r>
      <w:tr>
        <w:trPr>
          <w:trHeight w:val="264"/>
        </w:trPr>
        <w:tc>
          <w:tcPr>
            <w:tcW w:w="4260" w:type="dxa"/>
            <w:vAlign w:val="bottom"/>
          </w:tcPr>
          <w:p>
            <w:pPr>
              <w:ind w:left="20"/>
              <w:spacing w:after="0"/>
              <w:rPr>
                <w:sz w:val="20"/>
                <w:szCs w:val="20"/>
                <w:color w:val="auto"/>
              </w:rPr>
            </w:pPr>
            <w:r>
              <w:rPr>
                <w:rFonts w:ascii="Arial" w:cs="Arial" w:eastAsia="Arial" w:hAnsi="Arial"/>
                <w:sz w:val="14"/>
                <w:szCs w:val="14"/>
                <w:color w:val="auto"/>
              </w:rPr>
              <w:t xml:space="preserve">Average 30-year fixed rate mortgage rate as of period end </w:t>
            </w:r>
            <w:r>
              <w:rPr>
                <w:rFonts w:ascii="Arial" w:cs="Arial" w:eastAsia="Arial" w:hAnsi="Arial"/>
                <w:sz w:val="8"/>
                <w:szCs w:val="8"/>
                <w:color w:val="auto"/>
              </w:rPr>
              <w:t>1</w:t>
            </w:r>
          </w:p>
        </w:tc>
        <w:tc>
          <w:tcPr>
            <w:tcW w:w="14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3.87%</w:t>
            </w:r>
          </w:p>
        </w:tc>
        <w:tc>
          <w:tcPr>
            <w:tcW w:w="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4.48%</w:t>
            </w:r>
          </w:p>
        </w:tc>
        <w:tc>
          <w:tcPr>
            <w:tcW w:w="120" w:type="dxa"/>
            <w:vAlign w:val="bottom"/>
          </w:tcPr>
          <w:p>
            <w:pPr>
              <w:spacing w:after="0"/>
              <w:rPr>
                <w:sz w:val="22"/>
                <w:szCs w:val="22"/>
                <w:color w:val="auto"/>
              </w:rPr>
            </w:pPr>
          </w:p>
        </w:tc>
        <w:tc>
          <w:tcPr>
            <w:tcW w:w="900" w:type="dxa"/>
            <w:vAlign w:val="bottom"/>
          </w:tcPr>
          <w:p>
            <w:pPr>
              <w:spacing w:after="0"/>
              <w:rPr>
                <w:sz w:val="22"/>
                <w:szCs w:val="22"/>
                <w:color w:val="auto"/>
              </w:rPr>
            </w:pPr>
          </w:p>
        </w:tc>
      </w:tr>
      <w:tr>
        <w:trPr>
          <w:trHeight w:val="276"/>
        </w:trPr>
        <w:tc>
          <w:tcPr>
            <w:tcW w:w="4260" w:type="dxa"/>
            <w:vAlign w:val="bottom"/>
            <w:shd w:val="clear" w:color="auto" w:fill="CCEEFF"/>
          </w:tcPr>
          <w:p>
            <w:pPr>
              <w:ind w:left="20"/>
              <w:spacing w:after="0"/>
              <w:rPr>
                <w:sz w:val="20"/>
                <w:szCs w:val="20"/>
                <w:color w:val="auto"/>
              </w:rPr>
            </w:pPr>
            <w:r>
              <w:rPr>
                <w:rFonts w:ascii="Arial" w:cs="Arial" w:eastAsia="Arial" w:hAnsi="Arial"/>
                <w:sz w:val="14"/>
                <w:szCs w:val="14"/>
                <w:color w:val="auto"/>
              </w:rPr>
              <w:t>10-year U.S. Treasury rate as of period end</w:t>
            </w:r>
          </w:p>
        </w:tc>
        <w:tc>
          <w:tcPr>
            <w:tcW w:w="140" w:type="dxa"/>
            <w:vAlign w:val="bottom"/>
            <w:shd w:val="clear" w:color="auto" w:fill="CCEEFF"/>
          </w:tcPr>
          <w:p>
            <w:pPr>
              <w:spacing w:after="0"/>
              <w:rPr>
                <w:sz w:val="24"/>
                <w:szCs w:val="24"/>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2.17%</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3.01%</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r>
    </w:tbl>
    <w:p>
      <w:pPr>
        <w:spacing w:after="0" w:line="22" w:lineRule="exact"/>
        <w:rPr>
          <w:sz w:val="20"/>
          <w:szCs w:val="20"/>
          <w:color w:val="auto"/>
        </w:rPr>
      </w:pPr>
    </w:p>
    <w:p>
      <w:pPr>
        <w:ind w:left="60"/>
        <w:spacing w:after="0"/>
        <w:rPr>
          <w:sz w:val="20"/>
          <w:szCs w:val="20"/>
          <w:color w:val="auto"/>
        </w:rPr>
      </w:pPr>
      <w:r>
        <w:rPr>
          <w:rFonts w:ascii="Arial" w:cs="Arial" w:eastAsia="Arial" w:hAnsi="Arial"/>
          <w:sz w:val="14"/>
          <w:szCs w:val="14"/>
          <w:color w:val="auto"/>
        </w:rPr>
        <w:t>_______________________</w:t>
      </w:r>
    </w:p>
    <w:p>
      <w:pPr>
        <w:spacing w:after="0" w:line="28" w:lineRule="exact"/>
        <w:rPr>
          <w:sz w:val="20"/>
          <w:szCs w:val="20"/>
          <w:color w:val="auto"/>
        </w:rPr>
      </w:pPr>
    </w:p>
    <w:p>
      <w:pPr>
        <w:ind w:left="660" w:hanging="328"/>
        <w:spacing w:after="0"/>
        <w:tabs>
          <w:tab w:leader="none" w:pos="660" w:val="left"/>
        </w:tabs>
        <w:numPr>
          <w:ilvl w:val="0"/>
          <w:numId w:val="35"/>
        </w:numPr>
        <w:rPr>
          <w:rFonts w:ascii="Arial" w:cs="Arial" w:eastAsia="Arial" w:hAnsi="Arial"/>
          <w:sz w:val="14"/>
          <w:szCs w:val="14"/>
          <w:color w:val="auto"/>
        </w:rPr>
      </w:pPr>
      <w:r>
        <w:rPr>
          <w:rFonts w:ascii="Arial" w:cs="Arial" w:eastAsia="Arial" w:hAnsi="Arial"/>
          <w:sz w:val="14"/>
          <w:szCs w:val="14"/>
          <w:color w:val="auto"/>
        </w:rPr>
        <w:t>Source: Freddie Mac Primary Fixed Mortgage Rate Mortgage Market Survey</w:t>
      </w:r>
    </w:p>
    <w:p>
      <w:pPr>
        <w:spacing w:after="0" w:line="303"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The following is a summary of the estimated impact of the principal elements impacting our interest income on the decline in interest income from fiscal year 2013 to 2014 (in millions):</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14"/>
          <w:szCs w:val="14"/>
          <w:b w:val="1"/>
          <w:bCs w:val="1"/>
          <w:color w:val="auto"/>
        </w:rPr>
        <w:t>Impact of Changes in Principal Elements Impacting</w:t>
      </w:r>
    </w:p>
    <w:p>
      <w:pPr>
        <w:spacing w:after="0" w:line="4" w:lineRule="exact"/>
        <w:rPr>
          <w:sz w:val="20"/>
          <w:szCs w:val="20"/>
          <w:color w:val="auto"/>
        </w:rPr>
      </w:pPr>
    </w:p>
    <w:p>
      <w:pPr>
        <w:jc w:val="center"/>
        <w:ind w:right="-19"/>
        <w:spacing w:after="0"/>
        <w:rPr>
          <w:sz w:val="20"/>
          <w:szCs w:val="20"/>
          <w:color w:val="auto"/>
        </w:rPr>
      </w:pPr>
      <w:r>
        <w:rPr>
          <w:rFonts w:ascii="Arial" w:cs="Arial" w:eastAsia="Arial" w:hAnsi="Arial"/>
          <w:sz w:val="14"/>
          <w:szCs w:val="14"/>
          <w:b w:val="1"/>
          <w:bCs w:val="1"/>
          <w:color w:val="auto"/>
        </w:rPr>
        <w:t>Interest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168275</wp:posOffset>
            </wp:positionH>
            <wp:positionV relativeFrom="paragraph">
              <wp:posOffset>13335</wp:posOffset>
            </wp:positionV>
            <wp:extent cx="692086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920865" cy="8890"/>
                    </a:xfrm>
                    <a:prstGeom prst="rect">
                      <a:avLst/>
                    </a:prstGeom>
                    <a:noFill/>
                  </pic:spPr>
                </pic:pic>
              </a:graphicData>
            </a:graphic>
          </wp:anchor>
        </w:drawing>
      </w:r>
    </w:p>
    <w:p>
      <w:pPr>
        <w:spacing w:after="0" w:line="19" w:lineRule="exact"/>
        <w:rPr>
          <w:sz w:val="20"/>
          <w:szCs w:val="20"/>
          <w:color w:val="auto"/>
        </w:rPr>
      </w:pPr>
    </w:p>
    <w:p>
      <w:pPr>
        <w:jc w:val="center"/>
        <w:ind w:right="-19"/>
        <w:spacing w:after="0"/>
        <w:rPr>
          <w:sz w:val="20"/>
          <w:szCs w:val="20"/>
          <w:color w:val="auto"/>
        </w:rPr>
      </w:pPr>
      <w:r>
        <w:rPr>
          <w:rFonts w:ascii="Arial" w:cs="Arial" w:eastAsia="Arial" w:hAnsi="Arial"/>
          <w:sz w:val="14"/>
          <w:szCs w:val="14"/>
          <w:b w:val="1"/>
          <w:bCs w:val="1"/>
          <w:color w:val="auto"/>
        </w:rPr>
        <w:t>Fiscal Year 2014 vs. 2013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168275</wp:posOffset>
            </wp:positionH>
            <wp:positionV relativeFrom="paragraph">
              <wp:posOffset>23495</wp:posOffset>
            </wp:positionV>
            <wp:extent cx="6920865"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920865" cy="8890"/>
                    </a:xfrm>
                    <a:prstGeom prst="rect">
                      <a:avLst/>
                    </a:prstGeom>
                    <a:noFill/>
                  </pic:spPr>
                </pic:pic>
              </a:graphicData>
            </a:graphic>
          </wp:anchor>
        </w:drawing>
      </w:r>
    </w:p>
    <w:p>
      <w:pPr>
        <w:spacing w:after="0" w:line="103" w:lineRule="exact"/>
        <w:rPr>
          <w:sz w:val="20"/>
          <w:szCs w:val="20"/>
          <w:color w:val="auto"/>
        </w:rPr>
      </w:pPr>
    </w:p>
    <w:tbl>
      <w:tblPr>
        <w:tblLayout w:type="fixed"/>
        <w:tblInd w:w="260" w:type="dxa"/>
        <w:tblCellMar>
          <w:top w:w="0" w:type="dxa"/>
          <w:left w:w="0" w:type="dxa"/>
          <w:bottom w:w="0" w:type="dxa"/>
          <w:right w:w="0" w:type="dxa"/>
        </w:tblCellMar>
      </w:tblPr>
      <w:tr>
        <w:trPr>
          <w:trHeight w:val="192"/>
        </w:trPr>
        <w:tc>
          <w:tcPr>
            <w:tcW w:w="514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4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3420" w:type="dxa"/>
            <w:vAlign w:val="bottom"/>
            <w:tcBorders>
              <w:bottom w:val="single" w:sz="8" w:color="auto"/>
            </w:tcBorders>
            <w:gridSpan w:val="4"/>
          </w:tcPr>
          <w:p>
            <w:pPr>
              <w:jc w:val="right"/>
              <w:ind w:right="968"/>
              <w:spacing w:after="0"/>
              <w:rPr>
                <w:sz w:val="20"/>
                <w:szCs w:val="20"/>
                <w:color w:val="auto"/>
              </w:rPr>
            </w:pPr>
            <w:r>
              <w:rPr>
                <w:rFonts w:ascii="Arial" w:cs="Arial" w:eastAsia="Arial" w:hAnsi="Arial"/>
                <w:sz w:val="14"/>
                <w:szCs w:val="14"/>
                <w:b w:val="1"/>
                <w:bCs w:val="1"/>
                <w:color w:val="auto"/>
              </w:rPr>
              <w:t xml:space="preserve">Due to Change in Average </w:t>
            </w:r>
            <w:r>
              <w:rPr>
                <w:rFonts w:ascii="Arial" w:cs="Arial" w:eastAsia="Arial" w:hAnsi="Arial"/>
                <w:sz w:val="8"/>
                <w:szCs w:val="8"/>
                <w:b w:val="1"/>
                <w:bCs w:val="1"/>
                <w:color w:val="auto"/>
              </w:rPr>
              <w:t>1</w:t>
            </w:r>
          </w:p>
        </w:tc>
      </w:tr>
      <w:tr>
        <w:trPr>
          <w:trHeight w:val="153"/>
        </w:trPr>
        <w:tc>
          <w:tcPr>
            <w:tcW w:w="51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580" w:type="dxa"/>
            <w:vAlign w:val="bottom"/>
            <w:gridSpan w:val="2"/>
          </w:tcPr>
          <w:p>
            <w:pPr>
              <w:jc w:val="center"/>
              <w:ind w:right="500"/>
              <w:spacing w:after="0" w:line="153" w:lineRule="exact"/>
              <w:rPr>
                <w:sz w:val="20"/>
                <w:szCs w:val="20"/>
                <w:color w:val="auto"/>
              </w:rPr>
            </w:pPr>
            <w:r>
              <w:rPr>
                <w:rFonts w:ascii="Arial" w:cs="Arial" w:eastAsia="Arial" w:hAnsi="Arial"/>
                <w:sz w:val="14"/>
                <w:szCs w:val="14"/>
                <w:b w:val="1"/>
                <w:bCs w:val="1"/>
                <w:color w:val="auto"/>
                <w:w w:val="88"/>
              </w:rPr>
              <w:t>Net</w:t>
            </w:r>
          </w:p>
        </w:tc>
        <w:tc>
          <w:tcPr>
            <w:tcW w:w="380" w:type="dxa"/>
            <w:vAlign w:val="bottom"/>
          </w:tcPr>
          <w:p>
            <w:pPr>
              <w:spacing w:after="0"/>
              <w:rPr>
                <w:sz w:val="13"/>
                <w:szCs w:val="13"/>
                <w:color w:val="auto"/>
              </w:rPr>
            </w:pPr>
          </w:p>
        </w:tc>
        <w:tc>
          <w:tcPr>
            <w:tcW w:w="1580" w:type="dxa"/>
            <w:vAlign w:val="bottom"/>
            <w:gridSpan w:val="2"/>
          </w:tcPr>
          <w:p>
            <w:pPr>
              <w:jc w:val="center"/>
              <w:ind w:right="500"/>
              <w:spacing w:after="0" w:line="153" w:lineRule="exact"/>
              <w:rPr>
                <w:sz w:val="20"/>
                <w:szCs w:val="20"/>
                <w:color w:val="auto"/>
              </w:rPr>
            </w:pPr>
            <w:r>
              <w:rPr>
                <w:rFonts w:ascii="Arial" w:cs="Arial" w:eastAsia="Arial" w:hAnsi="Arial"/>
                <w:sz w:val="14"/>
                <w:szCs w:val="14"/>
                <w:b w:val="1"/>
                <w:bCs w:val="1"/>
                <w:color w:val="auto"/>
                <w:w w:val="97"/>
              </w:rPr>
              <w:t>Portfolio</w:t>
            </w:r>
          </w:p>
        </w:tc>
        <w:tc>
          <w:tcPr>
            <w:tcW w:w="420" w:type="dxa"/>
            <w:vAlign w:val="bottom"/>
          </w:tcPr>
          <w:p>
            <w:pPr>
              <w:spacing w:after="0"/>
              <w:rPr>
                <w:sz w:val="13"/>
                <w:szCs w:val="13"/>
                <w:color w:val="auto"/>
              </w:rPr>
            </w:pPr>
          </w:p>
        </w:tc>
        <w:tc>
          <w:tcPr>
            <w:tcW w:w="1420" w:type="dxa"/>
            <w:vAlign w:val="bottom"/>
          </w:tcPr>
          <w:p>
            <w:pPr>
              <w:ind w:left="340"/>
              <w:spacing w:after="0" w:line="153" w:lineRule="exact"/>
              <w:rPr>
                <w:sz w:val="20"/>
                <w:szCs w:val="20"/>
                <w:color w:val="auto"/>
              </w:rPr>
            </w:pPr>
            <w:r>
              <w:rPr>
                <w:rFonts w:ascii="Arial" w:cs="Arial" w:eastAsia="Arial" w:hAnsi="Arial"/>
                <w:sz w:val="14"/>
                <w:szCs w:val="14"/>
                <w:b w:val="1"/>
                <w:bCs w:val="1"/>
                <w:color w:val="auto"/>
              </w:rPr>
              <w:t>Asset</w:t>
            </w:r>
          </w:p>
        </w:tc>
      </w:tr>
      <w:tr>
        <w:trPr>
          <w:trHeight w:val="192"/>
        </w:trPr>
        <w:tc>
          <w:tcPr>
            <w:tcW w:w="514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58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w w:val="89"/>
              </w:rPr>
              <w:t>Decrease</w:t>
            </w:r>
          </w:p>
        </w:tc>
        <w:tc>
          <w:tcPr>
            <w:tcW w:w="380" w:type="dxa"/>
            <w:vAlign w:val="bottom"/>
          </w:tcPr>
          <w:p>
            <w:pPr>
              <w:spacing w:after="0"/>
              <w:rPr>
                <w:sz w:val="16"/>
                <w:szCs w:val="16"/>
                <w:color w:val="auto"/>
              </w:rPr>
            </w:pPr>
          </w:p>
        </w:tc>
        <w:tc>
          <w:tcPr>
            <w:tcW w:w="158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w w:val="85"/>
              </w:rPr>
              <w:t>Size</w:t>
            </w:r>
          </w:p>
        </w:tc>
        <w:tc>
          <w:tcPr>
            <w:tcW w:w="420" w:type="dxa"/>
            <w:vAlign w:val="bottom"/>
          </w:tcPr>
          <w:p>
            <w:pPr>
              <w:spacing w:after="0"/>
              <w:rPr>
                <w:sz w:val="16"/>
                <w:szCs w:val="16"/>
                <w:color w:val="auto"/>
              </w:rPr>
            </w:pPr>
          </w:p>
        </w:tc>
        <w:tc>
          <w:tcPr>
            <w:tcW w:w="1420" w:type="dxa"/>
            <w:vAlign w:val="bottom"/>
          </w:tcPr>
          <w:p>
            <w:pPr>
              <w:ind w:left="340"/>
              <w:spacing w:after="0"/>
              <w:rPr>
                <w:sz w:val="20"/>
                <w:szCs w:val="20"/>
                <w:color w:val="auto"/>
              </w:rPr>
            </w:pPr>
            <w:r>
              <w:rPr>
                <w:rFonts w:ascii="Arial" w:cs="Arial" w:eastAsia="Arial" w:hAnsi="Arial"/>
                <w:sz w:val="14"/>
                <w:szCs w:val="14"/>
                <w:b w:val="1"/>
                <w:bCs w:val="1"/>
                <w:color w:val="auto"/>
              </w:rPr>
              <w:t>Yield</w:t>
            </w:r>
          </w:p>
        </w:tc>
      </w:tr>
      <w:tr>
        <w:trPr>
          <w:trHeight w:val="256"/>
        </w:trPr>
        <w:tc>
          <w:tcPr>
            <w:tcW w:w="514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Interest Income</w:t>
            </w:r>
          </w:p>
        </w:tc>
        <w:tc>
          <w:tcPr>
            <w:tcW w:w="380" w:type="dxa"/>
            <w:vAlign w:val="bottom"/>
            <w:tcBorders>
              <w:top w:val="single" w:sz="8" w:color="auto"/>
            </w:tcBorders>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1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(721)</w:t>
            </w:r>
          </w:p>
        </w:tc>
        <w:tc>
          <w:tcPr>
            <w:tcW w:w="120" w:type="dxa"/>
            <w:vAlign w:val="bottom"/>
            <w:tcBorders>
              <w:top w:val="single" w:sz="8" w:color="CCEEFF"/>
            </w:tcBorders>
            <w:shd w:val="clear" w:color="auto" w:fill="CCEEFF"/>
          </w:tcPr>
          <w:p>
            <w:pPr>
              <w:spacing w:after="0"/>
              <w:rPr>
                <w:sz w:val="22"/>
                <w:szCs w:val="22"/>
                <w:color w:val="auto"/>
              </w:rPr>
            </w:pPr>
          </w:p>
        </w:tc>
        <w:tc>
          <w:tcPr>
            <w:tcW w:w="380" w:type="dxa"/>
            <w:vAlign w:val="bottom"/>
            <w:tcBorders>
              <w:top w:val="single" w:sz="8" w:color="auto"/>
            </w:tcBorders>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1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(638)</w:t>
            </w:r>
          </w:p>
        </w:tc>
        <w:tc>
          <w:tcPr>
            <w:tcW w:w="120" w:type="dxa"/>
            <w:vAlign w:val="bottom"/>
            <w:tcBorders>
              <w:top w:val="single" w:sz="8" w:color="CCEEFF"/>
            </w:tcBorders>
            <w:shd w:val="clear" w:color="auto" w:fill="CCEEFF"/>
          </w:tcPr>
          <w:p>
            <w:pPr>
              <w:spacing w:after="0"/>
              <w:rPr>
                <w:sz w:val="22"/>
                <w:szCs w:val="22"/>
                <w:color w:val="auto"/>
              </w:rPr>
            </w:pPr>
          </w:p>
        </w:tc>
        <w:tc>
          <w:tcPr>
            <w:tcW w:w="420" w:type="dxa"/>
            <w:vAlign w:val="bottom"/>
            <w:tcBorders>
              <w:top w:val="single" w:sz="8" w:color="auto"/>
            </w:tcBorders>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14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(83)</w:t>
            </w:r>
          </w:p>
        </w:tc>
      </w:tr>
    </w:tbl>
    <w:p>
      <w:pPr>
        <w:spacing w:after="0" w:line="40"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______________________</w:t>
      </w:r>
    </w:p>
    <w:p>
      <w:pPr>
        <w:spacing w:after="0" w:line="113" w:lineRule="exact"/>
        <w:rPr>
          <w:sz w:val="20"/>
          <w:szCs w:val="20"/>
          <w:color w:val="auto"/>
        </w:rPr>
      </w:pPr>
    </w:p>
    <w:p>
      <w:pPr>
        <w:ind w:left="660" w:hanging="328"/>
        <w:spacing w:after="0" w:line="273" w:lineRule="auto"/>
        <w:tabs>
          <w:tab w:leader="none" w:pos="660" w:val="left"/>
        </w:tabs>
        <w:numPr>
          <w:ilvl w:val="0"/>
          <w:numId w:val="36"/>
        </w:numPr>
        <w:rPr>
          <w:rFonts w:ascii="Arial" w:cs="Arial" w:eastAsia="Arial" w:hAnsi="Arial"/>
          <w:sz w:val="14"/>
          <w:szCs w:val="14"/>
          <w:color w:val="auto"/>
        </w:rPr>
      </w:pPr>
      <w:r>
        <w:rPr>
          <w:rFonts w:ascii="Arial" w:cs="Arial" w:eastAsia="Arial" w:hAnsi="Arial"/>
          <w:sz w:val="14"/>
          <w:szCs w:val="14"/>
          <w:color w:val="auto"/>
        </w:rPr>
        <w:t>Variances that are the combined effect of changes in portfolio size and asset yield, but cannot be separately identified, are allocated to the portfolio size and asset yield variances based on their respective relative amounts.</w:t>
      </w:r>
    </w:p>
    <w:p>
      <w:pPr>
        <w:spacing w:after="0" w:line="313" w:lineRule="exact"/>
        <w:rPr>
          <w:sz w:val="20"/>
          <w:szCs w:val="20"/>
          <w:color w:val="auto"/>
        </w:rPr>
      </w:pPr>
    </w:p>
    <w:p>
      <w:pPr>
        <w:jc w:val="both"/>
        <w:ind w:firstLine="432"/>
        <w:spacing w:after="0" w:line="334" w:lineRule="auto"/>
        <w:rPr>
          <w:sz w:val="20"/>
          <w:szCs w:val="20"/>
          <w:color w:val="auto"/>
        </w:rPr>
      </w:pPr>
      <w:r>
        <w:rPr>
          <w:rFonts w:ascii="Arial" w:cs="Arial" w:eastAsia="Arial" w:hAnsi="Arial"/>
          <w:sz w:val="16"/>
          <w:szCs w:val="16"/>
          <w:color w:val="auto"/>
        </w:rPr>
        <w:t>The average par value of our agency MBS portfolio decreased by 29% for fiscal year 2014, reflective of a shift from agency MBS repo funded assets to TBA dollar roll funded assets and a smaller average capital base due to common stock share repurchases and realized losses on our portfolio during 2013.</w:t>
      </w:r>
    </w:p>
    <w:p>
      <w:pPr>
        <w:spacing w:after="0" w:line="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Our average asset yield for fiscal year 2014 was also impacted by changes in our asset composition and fluctuations in "catch-up" premium amortization adjustments recognized due to changes in our projected life CPR forecasts. Excluding "catch-up" premium amortization adjustments, our average asset yield for fiscal year 2014 was 2.72%, compared to 2.64% for fiscal year 2013.</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Leverage</w:t>
      </w:r>
    </w:p>
    <w:p>
      <w:pPr>
        <w:spacing w:after="0" w:line="185" w:lineRule="exact"/>
        <w:rPr>
          <w:sz w:val="20"/>
          <w:szCs w:val="20"/>
          <w:color w:val="auto"/>
        </w:rPr>
      </w:pPr>
    </w:p>
    <w:p>
      <w:pPr>
        <w:jc w:val="both"/>
        <w:ind w:right="20" w:firstLine="432"/>
        <w:spacing w:after="0" w:line="277" w:lineRule="auto"/>
        <w:rPr>
          <w:sz w:val="20"/>
          <w:szCs w:val="20"/>
          <w:color w:val="auto"/>
        </w:rPr>
      </w:pPr>
      <w:r>
        <w:rPr>
          <w:rFonts w:ascii="Arial" w:cs="Arial" w:eastAsia="Arial" w:hAnsi="Arial"/>
          <w:sz w:val="18"/>
          <w:szCs w:val="18"/>
          <w:color w:val="auto"/>
        </w:rPr>
        <w:t>Our leverage was 5.3x and 7.3x our stockholders' equity as of December 31, 2014 and 2013, respectively. Inclusive of our net TBA position, our total "at risk" leverage was 6.9x and 7.5x our stockholders' equity as of December 31, 2014 and 2013, respectively.</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1420"/>
          </w:cols>
          <w:pgMar w:left="240" w:top="580" w:right="239" w:bottom="1440" w:gutter="0" w:footer="0" w:header="0"/>
        </w:sectPr>
      </w:pPr>
    </w:p>
    <w:bookmarkStart w:id="58" w:name="page59"/>
    <w:bookmarkEnd w:id="58"/>
    <w:p>
      <w:pPr>
        <w:ind w:firstLine="432"/>
        <w:spacing w:after="0" w:line="277" w:lineRule="auto"/>
        <w:rPr>
          <w:sz w:val="20"/>
          <w:szCs w:val="20"/>
          <w:color w:val="auto"/>
        </w:rPr>
      </w:pPr>
      <w:r>
        <w:rPr>
          <w:rFonts w:ascii="Arial" w:cs="Arial" w:eastAsia="Arial" w:hAnsi="Arial"/>
          <w:sz w:val="18"/>
          <w:szCs w:val="18"/>
          <w:color w:val="auto"/>
        </w:rPr>
        <w:t>The table below presents our average and quarter-end repo and other debt balance, net TBA position and leverage ratios for each of the three month periods listed below (dollars in millions):</w:t>
      </w: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153"/>
        </w:trPr>
        <w:tc>
          <w:tcPr>
            <w:tcW w:w="25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980" w:type="dxa"/>
            <w:vAlign w:val="bottom"/>
            <w:gridSpan w:val="8"/>
          </w:tcPr>
          <w:p>
            <w:pPr>
              <w:jc w:val="center"/>
              <w:ind w:right="260"/>
              <w:spacing w:after="0"/>
              <w:rPr>
                <w:sz w:val="20"/>
                <w:szCs w:val="20"/>
                <w:color w:val="auto"/>
              </w:rPr>
            </w:pPr>
            <w:r>
              <w:rPr>
                <w:rFonts w:ascii="Arial" w:cs="Arial" w:eastAsia="Arial" w:hAnsi="Arial"/>
                <w:sz w:val="13"/>
                <w:szCs w:val="13"/>
                <w:b w:val="1"/>
                <w:bCs w:val="1"/>
                <w:color w:val="auto"/>
                <w:w w:val="86"/>
              </w:rPr>
              <w:t>Agency MBS Repurchase Agreements</w:t>
            </w:r>
          </w:p>
        </w:tc>
        <w:tc>
          <w:tcPr>
            <w:tcW w:w="160" w:type="dxa"/>
            <w:vAlign w:val="bottom"/>
          </w:tcPr>
          <w:p>
            <w:pPr>
              <w:spacing w:after="0"/>
              <w:rPr>
                <w:sz w:val="13"/>
                <w:szCs w:val="13"/>
                <w:color w:val="auto"/>
              </w:rPr>
            </w:pPr>
          </w:p>
        </w:tc>
        <w:tc>
          <w:tcPr>
            <w:tcW w:w="1740" w:type="dxa"/>
            <w:vAlign w:val="bottom"/>
            <w:gridSpan w:val="4"/>
          </w:tcPr>
          <w:p>
            <w:pPr>
              <w:jc w:val="right"/>
              <w:ind w:right="390"/>
              <w:spacing w:after="0"/>
              <w:rPr>
                <w:sz w:val="20"/>
                <w:szCs w:val="20"/>
                <w:color w:val="auto"/>
              </w:rPr>
            </w:pPr>
            <w:r>
              <w:rPr>
                <w:rFonts w:ascii="Arial" w:cs="Arial" w:eastAsia="Arial" w:hAnsi="Arial"/>
                <w:sz w:val="13"/>
                <w:szCs w:val="13"/>
                <w:b w:val="1"/>
                <w:bCs w:val="1"/>
                <w:color w:val="auto"/>
              </w:rPr>
              <w:t>Net TBA Position</w:t>
            </w:r>
          </w:p>
        </w:tc>
        <w:tc>
          <w:tcPr>
            <w:tcW w:w="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2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8"/>
              </w:rPr>
              <w:t>Average Total</w:t>
            </w: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jc w:val="center"/>
              <w:spacing w:after="0"/>
              <w:rPr>
                <w:sz w:val="20"/>
                <w:szCs w:val="20"/>
                <w:color w:val="auto"/>
              </w:rPr>
            </w:pPr>
            <w:r>
              <w:rPr>
                <w:rFonts w:ascii="Arial" w:cs="Arial" w:eastAsia="Arial" w:hAnsi="Arial"/>
                <w:sz w:val="13"/>
                <w:szCs w:val="13"/>
                <w:b w:val="1"/>
                <w:bCs w:val="1"/>
                <w:color w:val="auto"/>
                <w:w w:val="97"/>
              </w:rPr>
              <w:t>"At Risk"</w:t>
            </w:r>
          </w:p>
        </w:tc>
        <w:tc>
          <w:tcPr>
            <w:tcW w:w="0" w:type="dxa"/>
            <w:vAlign w:val="bottom"/>
          </w:tcPr>
          <w:p>
            <w:pPr>
              <w:spacing w:after="0"/>
              <w:rPr>
                <w:sz w:val="1"/>
                <w:szCs w:val="1"/>
                <w:color w:val="auto"/>
              </w:rPr>
            </w:pPr>
          </w:p>
        </w:tc>
      </w:tr>
      <w:tr>
        <w:trPr>
          <w:trHeight w:val="135"/>
        </w:trPr>
        <w:tc>
          <w:tcPr>
            <w:tcW w:w="25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gridSpan w:val="3"/>
          </w:tcPr>
          <w:p>
            <w:pPr>
              <w:ind w:left="20"/>
              <w:spacing w:after="0" w:line="135" w:lineRule="exact"/>
              <w:rPr>
                <w:sz w:val="20"/>
                <w:szCs w:val="20"/>
                <w:color w:val="auto"/>
              </w:rPr>
            </w:pPr>
            <w:r>
              <w:rPr>
                <w:rFonts w:ascii="Arial" w:cs="Arial" w:eastAsia="Arial" w:hAnsi="Arial"/>
                <w:sz w:val="13"/>
                <w:szCs w:val="13"/>
                <w:b w:val="1"/>
                <w:bCs w:val="1"/>
                <w:color w:val="auto"/>
                <w:w w:val="98"/>
              </w:rPr>
              <w:t xml:space="preserve">and Other Debt </w:t>
            </w:r>
            <w:r>
              <w:rPr>
                <w:rFonts w:ascii="Arial" w:cs="Arial" w:eastAsia="Arial" w:hAnsi="Arial"/>
                <w:sz w:val="8"/>
                <w:szCs w:val="8"/>
                <w:b w:val="1"/>
                <w:bCs w:val="1"/>
                <w:color w:val="auto"/>
                <w:w w:val="98"/>
              </w:rPr>
              <w:t>1</w:t>
            </w: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740" w:type="dxa"/>
            <w:vAlign w:val="bottom"/>
            <w:gridSpan w:val="4"/>
          </w:tcPr>
          <w:p>
            <w:pPr>
              <w:jc w:val="right"/>
              <w:ind w:right="470"/>
              <w:spacing w:after="0" w:line="135" w:lineRule="exact"/>
              <w:rPr>
                <w:sz w:val="20"/>
                <w:szCs w:val="20"/>
                <w:color w:val="auto"/>
              </w:rPr>
            </w:pPr>
            <w:r>
              <w:rPr>
                <w:rFonts w:ascii="Arial" w:cs="Arial" w:eastAsia="Arial" w:hAnsi="Arial"/>
                <w:sz w:val="13"/>
                <w:szCs w:val="13"/>
                <w:b w:val="1"/>
                <w:bCs w:val="1"/>
                <w:color w:val="auto"/>
              </w:rPr>
              <w:t xml:space="preserve">Long / (Short) </w:t>
            </w:r>
            <w:r>
              <w:rPr>
                <w:rFonts w:ascii="Arial" w:cs="Arial" w:eastAsia="Arial" w:hAnsi="Arial"/>
                <w:sz w:val="8"/>
                <w:szCs w:val="8"/>
                <w:b w:val="1"/>
                <w:bCs w:val="1"/>
                <w:color w:val="auto"/>
              </w:rPr>
              <w:t>2</w:t>
            </w:r>
          </w:p>
        </w:tc>
        <w:tc>
          <w:tcPr>
            <w:tcW w:w="100" w:type="dxa"/>
            <w:vAlign w:val="bottom"/>
          </w:tcPr>
          <w:p>
            <w:pPr>
              <w:spacing w:after="0"/>
              <w:rPr>
                <w:sz w:val="11"/>
                <w:szCs w:val="11"/>
                <w:color w:val="auto"/>
              </w:rPr>
            </w:pPr>
          </w:p>
        </w:tc>
        <w:tc>
          <w:tcPr>
            <w:tcW w:w="90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5"/>
              </w:rPr>
              <w:t>Average</w:t>
            </w:r>
          </w:p>
        </w:tc>
        <w:tc>
          <w:tcPr>
            <w:tcW w:w="102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97"/>
              </w:rPr>
              <w:t>"At Risk"</w:t>
            </w:r>
          </w:p>
        </w:tc>
        <w:tc>
          <w:tcPr>
            <w:tcW w:w="90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7"/>
              </w:rPr>
              <w:t>Leverage</w:t>
            </w:r>
          </w:p>
        </w:tc>
        <w:tc>
          <w:tcPr>
            <w:tcW w:w="80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4"/>
              </w:rPr>
              <w:t>Leverage</w:t>
            </w:r>
          </w:p>
        </w:tc>
        <w:tc>
          <w:tcPr>
            <w:tcW w:w="0" w:type="dxa"/>
            <w:vAlign w:val="bottom"/>
          </w:tcPr>
          <w:p>
            <w:pPr>
              <w:spacing w:after="0"/>
              <w:rPr>
                <w:sz w:val="1"/>
                <w:szCs w:val="1"/>
                <w:color w:val="auto"/>
              </w:rPr>
            </w:pPr>
          </w:p>
        </w:tc>
      </w:tr>
      <w:tr>
        <w:trPr>
          <w:trHeight w:val="54"/>
        </w:trPr>
        <w:tc>
          <w:tcPr>
            <w:tcW w:w="25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78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gridSpan w:val="2"/>
            <w:vMerge w:val="restart"/>
          </w:tcPr>
          <w:p>
            <w:pPr>
              <w:jc w:val="center"/>
              <w:ind w:right="100"/>
              <w:spacing w:after="0" w:line="135" w:lineRule="exact"/>
              <w:rPr>
                <w:sz w:val="20"/>
                <w:szCs w:val="20"/>
                <w:color w:val="auto"/>
              </w:rPr>
            </w:pPr>
            <w:r>
              <w:rPr>
                <w:rFonts w:ascii="Arial" w:cs="Arial" w:eastAsia="Arial" w:hAnsi="Arial"/>
                <w:sz w:val="13"/>
                <w:szCs w:val="13"/>
                <w:b w:val="1"/>
                <w:bCs w:val="1"/>
                <w:color w:val="auto"/>
                <w:w w:val="84"/>
              </w:rPr>
              <w:t>Leverage</w:t>
            </w:r>
          </w:p>
        </w:tc>
        <w:tc>
          <w:tcPr>
            <w:tcW w:w="1020" w:type="dxa"/>
            <w:vAlign w:val="bottom"/>
            <w:gridSpan w:val="2"/>
            <w:vMerge w:val="restart"/>
          </w:tcPr>
          <w:p>
            <w:pPr>
              <w:jc w:val="center"/>
              <w:ind w:right="120"/>
              <w:spacing w:after="0" w:line="135" w:lineRule="exact"/>
              <w:rPr>
                <w:sz w:val="20"/>
                <w:szCs w:val="20"/>
                <w:color w:val="auto"/>
              </w:rPr>
            </w:pPr>
            <w:r>
              <w:rPr>
                <w:rFonts w:ascii="Arial" w:cs="Arial" w:eastAsia="Arial" w:hAnsi="Arial"/>
                <w:sz w:val="13"/>
                <w:szCs w:val="13"/>
                <w:b w:val="1"/>
                <w:bCs w:val="1"/>
                <w:color w:val="auto"/>
                <w:w w:val="87"/>
              </w:rPr>
              <w:t>Leverage</w:t>
            </w:r>
          </w:p>
        </w:tc>
        <w:tc>
          <w:tcPr>
            <w:tcW w:w="900" w:type="dxa"/>
            <w:vAlign w:val="bottom"/>
            <w:gridSpan w:val="2"/>
            <w:vMerge w:val="restart"/>
          </w:tcPr>
          <w:p>
            <w:pPr>
              <w:jc w:val="center"/>
              <w:ind w:right="100"/>
              <w:spacing w:after="0" w:line="135" w:lineRule="exact"/>
              <w:rPr>
                <w:sz w:val="20"/>
                <w:szCs w:val="20"/>
                <w:color w:val="auto"/>
              </w:rPr>
            </w:pPr>
            <w:r>
              <w:rPr>
                <w:rFonts w:ascii="Arial" w:cs="Arial" w:eastAsia="Arial" w:hAnsi="Arial"/>
                <w:sz w:val="13"/>
                <w:szCs w:val="13"/>
                <w:b w:val="1"/>
                <w:bCs w:val="1"/>
                <w:color w:val="auto"/>
                <w:w w:val="78"/>
              </w:rPr>
              <w:t>as of</w:t>
            </w:r>
          </w:p>
        </w:tc>
        <w:tc>
          <w:tcPr>
            <w:tcW w:w="800" w:type="dxa"/>
            <w:vAlign w:val="bottom"/>
            <w:vMerge w:val="restart"/>
          </w:tcPr>
          <w:p>
            <w:pPr>
              <w:jc w:val="center"/>
              <w:spacing w:after="0" w:line="135" w:lineRule="exact"/>
              <w:rPr>
                <w:sz w:val="20"/>
                <w:szCs w:val="20"/>
                <w:color w:val="auto"/>
              </w:rPr>
            </w:pPr>
            <w:r>
              <w:rPr>
                <w:rFonts w:ascii="Arial" w:cs="Arial" w:eastAsia="Arial" w:hAnsi="Arial"/>
                <w:sz w:val="13"/>
                <w:szCs w:val="13"/>
                <w:b w:val="1"/>
                <w:bCs w:val="1"/>
                <w:color w:val="auto"/>
                <w:w w:val="78"/>
              </w:rPr>
              <w:t>as of</w:t>
            </w:r>
          </w:p>
        </w:tc>
        <w:tc>
          <w:tcPr>
            <w:tcW w:w="0" w:type="dxa"/>
            <w:vAlign w:val="bottom"/>
          </w:tcPr>
          <w:p>
            <w:pPr>
              <w:spacing w:after="0"/>
              <w:rPr>
                <w:sz w:val="1"/>
                <w:szCs w:val="1"/>
                <w:color w:val="auto"/>
              </w:rPr>
            </w:pPr>
          </w:p>
        </w:tc>
      </w:tr>
      <w:tr>
        <w:trPr>
          <w:trHeight w:val="61"/>
        </w:trPr>
        <w:tc>
          <w:tcPr>
            <w:tcW w:w="2520" w:type="dxa"/>
            <w:vAlign w:val="bottom"/>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tcPr>
          <w:p>
            <w:pPr>
              <w:spacing w:after="0"/>
              <w:rPr>
                <w:sz w:val="5"/>
                <w:szCs w:val="5"/>
                <w:color w:val="auto"/>
              </w:rPr>
            </w:pPr>
          </w:p>
        </w:tc>
        <w:tc>
          <w:tcPr>
            <w:tcW w:w="7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tcPr>
          <w:p>
            <w:pPr>
              <w:spacing w:after="0"/>
              <w:rPr>
                <w:sz w:val="5"/>
                <w:szCs w:val="5"/>
                <w:color w:val="auto"/>
              </w:rPr>
            </w:pPr>
          </w:p>
        </w:tc>
        <w:tc>
          <w:tcPr>
            <w:tcW w:w="780" w:type="dxa"/>
            <w:vAlign w:val="bottom"/>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tcPr>
          <w:p>
            <w:pPr>
              <w:spacing w:after="0"/>
              <w:rPr>
                <w:sz w:val="5"/>
                <w:szCs w:val="5"/>
                <w:color w:val="auto"/>
              </w:rPr>
            </w:pPr>
          </w:p>
        </w:tc>
        <w:tc>
          <w:tcPr>
            <w:tcW w:w="7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7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60" w:type="dxa"/>
            <w:vAlign w:val="bottom"/>
          </w:tcPr>
          <w:p>
            <w:pPr>
              <w:spacing w:after="0"/>
              <w:rPr>
                <w:sz w:val="5"/>
                <w:szCs w:val="5"/>
                <w:color w:val="auto"/>
              </w:rPr>
            </w:pPr>
          </w:p>
        </w:tc>
        <w:tc>
          <w:tcPr>
            <w:tcW w:w="740" w:type="dxa"/>
            <w:vAlign w:val="bottom"/>
          </w:tcPr>
          <w:p>
            <w:pPr>
              <w:spacing w:after="0"/>
              <w:rPr>
                <w:sz w:val="5"/>
                <w:szCs w:val="5"/>
                <w:color w:val="auto"/>
              </w:rPr>
            </w:pPr>
          </w:p>
        </w:tc>
        <w:tc>
          <w:tcPr>
            <w:tcW w:w="100" w:type="dxa"/>
            <w:vAlign w:val="bottom"/>
          </w:tcPr>
          <w:p>
            <w:pPr>
              <w:spacing w:after="0"/>
              <w:rPr>
                <w:sz w:val="5"/>
                <w:szCs w:val="5"/>
                <w:color w:val="auto"/>
              </w:rPr>
            </w:pPr>
          </w:p>
        </w:tc>
        <w:tc>
          <w:tcPr>
            <w:tcW w:w="900" w:type="dxa"/>
            <w:vAlign w:val="bottom"/>
            <w:gridSpan w:val="2"/>
            <w:vMerge w:val="continue"/>
          </w:tcPr>
          <w:p>
            <w:pPr>
              <w:spacing w:after="0"/>
              <w:rPr>
                <w:sz w:val="5"/>
                <w:szCs w:val="5"/>
                <w:color w:val="auto"/>
              </w:rPr>
            </w:pPr>
          </w:p>
        </w:tc>
        <w:tc>
          <w:tcPr>
            <w:tcW w:w="1020" w:type="dxa"/>
            <w:vAlign w:val="bottom"/>
            <w:gridSpan w:val="2"/>
            <w:vMerge w:val="continue"/>
          </w:tcPr>
          <w:p>
            <w:pPr>
              <w:spacing w:after="0"/>
              <w:rPr>
                <w:sz w:val="5"/>
                <w:szCs w:val="5"/>
                <w:color w:val="auto"/>
              </w:rPr>
            </w:pPr>
          </w:p>
        </w:tc>
        <w:tc>
          <w:tcPr>
            <w:tcW w:w="900" w:type="dxa"/>
            <w:vAlign w:val="bottom"/>
            <w:gridSpan w:val="2"/>
            <w:vMerge w:val="continue"/>
          </w:tcPr>
          <w:p>
            <w:pPr>
              <w:spacing w:after="0"/>
              <w:rPr>
                <w:sz w:val="5"/>
                <w:szCs w:val="5"/>
                <w:color w:val="auto"/>
              </w:rPr>
            </w:pPr>
          </w:p>
        </w:tc>
        <w:tc>
          <w:tcPr>
            <w:tcW w:w="8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35"/>
        </w:trPr>
        <w:tc>
          <w:tcPr>
            <w:tcW w:w="2520" w:type="dxa"/>
            <w:vAlign w:val="bottom"/>
            <w:vMerge w:val="restart"/>
          </w:tcPr>
          <w:p>
            <w:pPr>
              <w:ind w:left="40"/>
              <w:spacing w:after="0"/>
              <w:rPr>
                <w:sz w:val="20"/>
                <w:szCs w:val="20"/>
                <w:color w:val="auto"/>
              </w:rPr>
            </w:pPr>
            <w:r>
              <w:rPr>
                <w:rFonts w:ascii="Arial" w:cs="Arial" w:eastAsia="Arial" w:hAnsi="Arial"/>
                <w:sz w:val="13"/>
                <w:szCs w:val="13"/>
                <w:b w:val="1"/>
                <w:bCs w:val="1"/>
                <w:color w:val="auto"/>
              </w:rPr>
              <w:t>Quarter Ended</w:t>
            </w:r>
          </w:p>
        </w:tc>
        <w:tc>
          <w:tcPr>
            <w:tcW w:w="120" w:type="dxa"/>
            <w:vAlign w:val="bottom"/>
            <w:vMerge w:val="restart"/>
          </w:tcPr>
          <w:p>
            <w:pPr>
              <w:spacing w:after="0"/>
              <w:rPr>
                <w:sz w:val="11"/>
                <w:szCs w:val="11"/>
                <w:color w:val="auto"/>
              </w:rPr>
            </w:pPr>
          </w:p>
        </w:tc>
        <w:tc>
          <w:tcPr>
            <w:tcW w:w="1060" w:type="dxa"/>
            <w:vAlign w:val="bottom"/>
            <w:gridSpan w:val="3"/>
          </w:tcPr>
          <w:p>
            <w:pPr>
              <w:ind w:left="80"/>
              <w:spacing w:after="0" w:line="135" w:lineRule="exact"/>
              <w:rPr>
                <w:sz w:val="20"/>
                <w:szCs w:val="20"/>
                <w:color w:val="auto"/>
              </w:rPr>
            </w:pPr>
            <w:r>
              <w:rPr>
                <w:rFonts w:ascii="Arial" w:cs="Arial" w:eastAsia="Arial" w:hAnsi="Arial"/>
                <w:sz w:val="13"/>
                <w:szCs w:val="13"/>
                <w:b w:val="1"/>
                <w:bCs w:val="1"/>
                <w:color w:val="auto"/>
              </w:rPr>
              <w:t>Average Daily</w:t>
            </w:r>
          </w:p>
        </w:tc>
        <w:tc>
          <w:tcPr>
            <w:tcW w:w="140" w:type="dxa"/>
            <w:vAlign w:val="bottom"/>
          </w:tcPr>
          <w:p>
            <w:pPr>
              <w:spacing w:after="0"/>
              <w:rPr>
                <w:sz w:val="11"/>
                <w:szCs w:val="11"/>
                <w:color w:val="auto"/>
              </w:rPr>
            </w:pPr>
          </w:p>
        </w:tc>
        <w:tc>
          <w:tcPr>
            <w:tcW w:w="90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93"/>
              </w:rPr>
              <w:t>Maximum</w:t>
            </w:r>
          </w:p>
        </w:tc>
        <w:tc>
          <w:tcPr>
            <w:tcW w:w="180" w:type="dxa"/>
            <w:vAlign w:val="bottom"/>
          </w:tcPr>
          <w:p>
            <w:pPr>
              <w:spacing w:after="0"/>
              <w:rPr>
                <w:sz w:val="11"/>
                <w:szCs w:val="11"/>
                <w:color w:val="auto"/>
              </w:rPr>
            </w:pPr>
          </w:p>
        </w:tc>
        <w:tc>
          <w:tcPr>
            <w:tcW w:w="880" w:type="dxa"/>
            <w:vAlign w:val="bottom"/>
            <w:gridSpan w:val="2"/>
          </w:tcPr>
          <w:p>
            <w:pPr>
              <w:ind w:left="100"/>
              <w:spacing w:after="0" w:line="135" w:lineRule="exact"/>
              <w:rPr>
                <w:sz w:val="20"/>
                <w:szCs w:val="20"/>
                <w:color w:val="auto"/>
              </w:rPr>
            </w:pPr>
            <w:r>
              <w:rPr>
                <w:rFonts w:ascii="Arial" w:cs="Arial" w:eastAsia="Arial" w:hAnsi="Arial"/>
                <w:sz w:val="13"/>
                <w:szCs w:val="13"/>
                <w:b w:val="1"/>
                <w:bCs w:val="1"/>
                <w:color w:val="auto"/>
              </w:rPr>
              <w:t>Ending</w:t>
            </w:r>
          </w:p>
        </w:tc>
        <w:tc>
          <w:tcPr>
            <w:tcW w:w="1000" w:type="dxa"/>
            <w:vAlign w:val="bottom"/>
            <w:gridSpan w:val="3"/>
          </w:tcPr>
          <w:p>
            <w:pPr>
              <w:ind w:left="60"/>
              <w:spacing w:after="0" w:line="135" w:lineRule="exact"/>
              <w:rPr>
                <w:sz w:val="20"/>
                <w:szCs w:val="20"/>
                <w:color w:val="auto"/>
              </w:rPr>
            </w:pPr>
            <w:r>
              <w:rPr>
                <w:rFonts w:ascii="Arial" w:cs="Arial" w:eastAsia="Arial" w:hAnsi="Arial"/>
                <w:sz w:val="13"/>
                <w:szCs w:val="13"/>
                <w:b w:val="1"/>
                <w:bCs w:val="1"/>
                <w:color w:val="auto"/>
              </w:rPr>
              <w:t>Average Daily</w:t>
            </w:r>
          </w:p>
        </w:tc>
        <w:tc>
          <w:tcPr>
            <w:tcW w:w="160" w:type="dxa"/>
            <w:vAlign w:val="bottom"/>
          </w:tcPr>
          <w:p>
            <w:pPr>
              <w:spacing w:after="0"/>
              <w:rPr>
                <w:sz w:val="11"/>
                <w:szCs w:val="11"/>
                <w:color w:val="auto"/>
              </w:rPr>
            </w:pPr>
          </w:p>
        </w:tc>
        <w:tc>
          <w:tcPr>
            <w:tcW w:w="740" w:type="dxa"/>
            <w:vAlign w:val="bottom"/>
          </w:tcPr>
          <w:p>
            <w:pPr>
              <w:jc w:val="right"/>
              <w:ind w:right="190"/>
              <w:spacing w:after="0" w:line="135" w:lineRule="exact"/>
              <w:rPr>
                <w:sz w:val="20"/>
                <w:szCs w:val="20"/>
                <w:color w:val="auto"/>
              </w:rPr>
            </w:pPr>
            <w:r>
              <w:rPr>
                <w:rFonts w:ascii="Arial" w:cs="Arial" w:eastAsia="Arial" w:hAnsi="Arial"/>
                <w:sz w:val="13"/>
                <w:szCs w:val="13"/>
                <w:b w:val="1"/>
                <w:bCs w:val="1"/>
                <w:color w:val="auto"/>
              </w:rPr>
              <w:t>Ending</w:t>
            </w:r>
          </w:p>
        </w:tc>
        <w:tc>
          <w:tcPr>
            <w:tcW w:w="100" w:type="dxa"/>
            <w:vAlign w:val="bottom"/>
          </w:tcPr>
          <w:p>
            <w:pPr>
              <w:spacing w:after="0"/>
              <w:rPr>
                <w:sz w:val="11"/>
                <w:szCs w:val="11"/>
                <w:color w:val="auto"/>
              </w:rPr>
            </w:pPr>
          </w:p>
        </w:tc>
        <w:tc>
          <w:tcPr>
            <w:tcW w:w="90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8"/>
              </w:rPr>
              <w:t>during the</w:t>
            </w:r>
          </w:p>
        </w:tc>
        <w:tc>
          <w:tcPr>
            <w:tcW w:w="102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8"/>
              </w:rPr>
              <w:t>during the</w:t>
            </w:r>
          </w:p>
        </w:tc>
        <w:tc>
          <w:tcPr>
            <w:tcW w:w="90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7"/>
              </w:rPr>
              <w:t>Period End</w:t>
            </w:r>
          </w:p>
        </w:tc>
        <w:tc>
          <w:tcPr>
            <w:tcW w:w="80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7"/>
              </w:rPr>
              <w:t>Period End</w:t>
            </w:r>
          </w:p>
        </w:tc>
        <w:tc>
          <w:tcPr>
            <w:tcW w:w="0" w:type="dxa"/>
            <w:vAlign w:val="bottom"/>
          </w:tcPr>
          <w:p>
            <w:pPr>
              <w:spacing w:after="0"/>
              <w:rPr>
                <w:sz w:val="1"/>
                <w:szCs w:val="1"/>
                <w:color w:val="auto"/>
              </w:rPr>
            </w:pPr>
          </w:p>
        </w:tc>
      </w:tr>
      <w:tr>
        <w:trPr>
          <w:trHeight w:val="162"/>
        </w:trPr>
        <w:tc>
          <w:tcPr>
            <w:tcW w:w="2520" w:type="dxa"/>
            <w:vAlign w:val="bottom"/>
            <w:tcBorders>
              <w:bottom w:val="single" w:sz="8" w:color="auto"/>
            </w:tcBorders>
            <w:vMerge w:val="continue"/>
          </w:tcPr>
          <w:p>
            <w:pPr>
              <w:spacing w:after="0"/>
              <w:rPr>
                <w:sz w:val="14"/>
                <w:szCs w:val="14"/>
                <w:color w:val="auto"/>
              </w:rPr>
            </w:pPr>
          </w:p>
        </w:tc>
        <w:tc>
          <w:tcPr>
            <w:tcW w:w="120" w:type="dxa"/>
            <w:vAlign w:val="bottom"/>
            <w:tcBorders>
              <w:bottom w:val="single" w:sz="8" w:color="CCEEFF"/>
            </w:tcBorders>
            <w:vMerge w:val="continue"/>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190"/>
              <w:spacing w:after="0"/>
              <w:rPr>
                <w:sz w:val="20"/>
                <w:szCs w:val="20"/>
                <w:color w:val="auto"/>
              </w:rPr>
            </w:pPr>
            <w:r>
              <w:rPr>
                <w:rFonts w:ascii="Arial" w:cs="Arial" w:eastAsia="Arial" w:hAnsi="Arial"/>
                <w:sz w:val="13"/>
                <w:szCs w:val="13"/>
                <w:b w:val="1"/>
                <w:bCs w:val="1"/>
                <w:color w:val="auto"/>
                <w:w w:val="97"/>
              </w:rPr>
              <w:t>Amount</w:t>
            </w:r>
          </w:p>
        </w:tc>
        <w:tc>
          <w:tcPr>
            <w:tcW w:w="120" w:type="dxa"/>
            <w:vAlign w:val="bottom"/>
            <w:tcBorders>
              <w:bottom w:val="single" w:sz="8" w:color="CCEEFF"/>
            </w:tcBorders>
          </w:tcPr>
          <w:p>
            <w:pPr>
              <w:spacing w:after="0"/>
              <w:rPr>
                <w:sz w:val="14"/>
                <w:szCs w:val="14"/>
                <w:color w:val="auto"/>
              </w:rPr>
            </w:pPr>
          </w:p>
        </w:tc>
        <w:tc>
          <w:tcPr>
            <w:tcW w:w="920" w:type="dxa"/>
            <w:vAlign w:val="bottom"/>
            <w:tcBorders>
              <w:bottom w:val="single" w:sz="8" w:color="auto"/>
            </w:tcBorders>
            <w:gridSpan w:val="2"/>
          </w:tcPr>
          <w:p>
            <w:pPr>
              <w:jc w:val="center"/>
              <w:spacing w:after="0"/>
              <w:rPr>
                <w:sz w:val="20"/>
                <w:szCs w:val="20"/>
                <w:color w:val="auto"/>
              </w:rPr>
            </w:pPr>
            <w:r>
              <w:rPr>
                <w:rFonts w:ascii="Arial" w:cs="Arial" w:eastAsia="Arial" w:hAnsi="Arial"/>
                <w:sz w:val="13"/>
                <w:szCs w:val="13"/>
                <w:b w:val="1"/>
                <w:bCs w:val="1"/>
                <w:color w:val="auto"/>
                <w:w w:val="90"/>
              </w:rPr>
              <w:t>Daily Amount</w:t>
            </w:r>
          </w:p>
        </w:tc>
        <w:tc>
          <w:tcPr>
            <w:tcW w:w="12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170"/>
              <w:spacing w:after="0"/>
              <w:rPr>
                <w:sz w:val="20"/>
                <w:szCs w:val="20"/>
                <w:color w:val="auto"/>
              </w:rPr>
            </w:pPr>
            <w:r>
              <w:rPr>
                <w:rFonts w:ascii="Arial" w:cs="Arial" w:eastAsia="Arial" w:hAnsi="Arial"/>
                <w:sz w:val="13"/>
                <w:szCs w:val="13"/>
                <w:b w:val="1"/>
                <w:bCs w:val="1"/>
                <w:color w:val="auto"/>
              </w:rPr>
              <w:t>Amount</w:t>
            </w:r>
          </w:p>
        </w:tc>
        <w:tc>
          <w:tcPr>
            <w:tcW w:w="12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170"/>
              <w:spacing w:after="0"/>
              <w:rPr>
                <w:sz w:val="20"/>
                <w:szCs w:val="20"/>
                <w:color w:val="auto"/>
              </w:rPr>
            </w:pPr>
            <w:r>
              <w:rPr>
                <w:rFonts w:ascii="Arial" w:cs="Arial" w:eastAsia="Arial" w:hAnsi="Arial"/>
                <w:sz w:val="13"/>
                <w:szCs w:val="13"/>
                <w:b w:val="1"/>
                <w:bCs w:val="1"/>
                <w:color w:val="auto"/>
                <w:w w:val="97"/>
              </w:rPr>
              <w:t>Amount</w:t>
            </w:r>
          </w:p>
        </w:tc>
        <w:tc>
          <w:tcPr>
            <w:tcW w:w="10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170"/>
              <w:spacing w:after="0"/>
              <w:rPr>
                <w:sz w:val="20"/>
                <w:szCs w:val="20"/>
                <w:color w:val="auto"/>
              </w:rPr>
            </w:pPr>
            <w:r>
              <w:rPr>
                <w:rFonts w:ascii="Arial" w:cs="Arial" w:eastAsia="Arial" w:hAnsi="Arial"/>
                <w:sz w:val="13"/>
                <w:szCs w:val="13"/>
                <w:b w:val="1"/>
                <w:bCs w:val="1"/>
                <w:color w:val="auto"/>
                <w:w w:val="97"/>
              </w:rPr>
              <w:t>Amount</w:t>
            </w:r>
          </w:p>
        </w:tc>
        <w:tc>
          <w:tcPr>
            <w:tcW w:w="100" w:type="dxa"/>
            <w:vAlign w:val="bottom"/>
            <w:tcBorders>
              <w:bottom w:val="single" w:sz="8" w:color="CCEEFF"/>
            </w:tcBorders>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0"/>
              </w:rPr>
              <w:t xml:space="preserve">Period </w:t>
            </w:r>
            <w:r>
              <w:rPr>
                <w:rFonts w:ascii="Arial" w:cs="Arial" w:eastAsia="Arial" w:hAnsi="Arial"/>
                <w:sz w:val="8"/>
                <w:szCs w:val="8"/>
                <w:b w:val="1"/>
                <w:bCs w:val="1"/>
                <w:color w:val="auto"/>
                <w:w w:val="90"/>
              </w:rPr>
              <w:t>1,3</w:t>
            </w:r>
          </w:p>
        </w:tc>
        <w:tc>
          <w:tcPr>
            <w:tcW w:w="100" w:type="dxa"/>
            <w:vAlign w:val="bottom"/>
            <w:tcBorders>
              <w:bottom w:val="single" w:sz="8" w:color="CCEEFF"/>
            </w:tcBorders>
          </w:tcPr>
          <w:p>
            <w:pPr>
              <w:spacing w:after="0"/>
              <w:rPr>
                <w:sz w:val="14"/>
                <w:szCs w:val="14"/>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0"/>
              </w:rPr>
              <w:t xml:space="preserve">Period </w:t>
            </w:r>
            <w:r>
              <w:rPr>
                <w:rFonts w:ascii="Arial" w:cs="Arial" w:eastAsia="Arial" w:hAnsi="Arial"/>
                <w:sz w:val="8"/>
                <w:szCs w:val="8"/>
                <w:b w:val="1"/>
                <w:bCs w:val="1"/>
                <w:color w:val="auto"/>
                <w:w w:val="90"/>
              </w:rPr>
              <w:t>1,4</w:t>
            </w:r>
          </w:p>
        </w:tc>
        <w:tc>
          <w:tcPr>
            <w:tcW w:w="100" w:type="dxa"/>
            <w:vAlign w:val="bottom"/>
            <w:tcBorders>
              <w:bottom w:val="single" w:sz="8" w:color="CCEEFF"/>
            </w:tcBorders>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9"/>
                <w:szCs w:val="9"/>
                <w:b w:val="1"/>
                <w:bCs w:val="1"/>
                <w:color w:val="auto"/>
                <w:w w:val="95"/>
              </w:rPr>
              <w:t>1,5</w:t>
            </w:r>
          </w:p>
        </w:tc>
        <w:tc>
          <w:tcPr>
            <w:tcW w:w="100" w:type="dxa"/>
            <w:vAlign w:val="bottom"/>
            <w:tcBorders>
              <w:bottom w:val="single" w:sz="8" w:color="CCEEFF"/>
            </w:tcBorders>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9"/>
                <w:szCs w:val="9"/>
                <w:b w:val="1"/>
                <w:bCs w:val="1"/>
                <w:color w:val="auto"/>
                <w:w w:val="95"/>
              </w:rPr>
              <w:t>1,6</w:t>
            </w:r>
          </w:p>
        </w:tc>
        <w:tc>
          <w:tcPr>
            <w:tcW w:w="0" w:type="dxa"/>
            <w:vAlign w:val="bottom"/>
          </w:tcPr>
          <w:p>
            <w:pPr>
              <w:spacing w:after="0"/>
              <w:rPr>
                <w:sz w:val="1"/>
                <w:szCs w:val="1"/>
                <w:color w:val="auto"/>
              </w:rPr>
            </w:pPr>
          </w:p>
        </w:tc>
      </w:tr>
      <w:tr>
        <w:trPr>
          <w:trHeight w:val="250"/>
        </w:trPr>
        <w:tc>
          <w:tcPr>
            <w:tcW w:w="26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December 31, 2014</w:t>
            </w:r>
          </w:p>
        </w:tc>
        <w:tc>
          <w:tcPr>
            <w:tcW w:w="1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45,554</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49,170</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49,150</w:t>
            </w:r>
          </w:p>
        </w:tc>
        <w:tc>
          <w:tcPr>
            <w:tcW w:w="12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18,492</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14,576</w:t>
            </w:r>
          </w:p>
        </w:tc>
        <w:tc>
          <w:tcPr>
            <w:tcW w:w="900" w:type="dxa"/>
            <w:vAlign w:val="bottom"/>
            <w:gridSpan w:val="2"/>
            <w:shd w:val="clear" w:color="auto" w:fill="CCEEFF"/>
          </w:tcPr>
          <w:p>
            <w:pPr>
              <w:jc w:val="center"/>
              <w:ind w:left="28"/>
              <w:spacing w:after="0"/>
              <w:rPr>
                <w:sz w:val="20"/>
                <w:szCs w:val="20"/>
                <w:color w:val="auto"/>
              </w:rPr>
            </w:pPr>
            <w:r>
              <w:rPr>
                <w:rFonts w:ascii="Arial" w:cs="Arial" w:eastAsia="Arial" w:hAnsi="Arial"/>
                <w:sz w:val="14"/>
                <w:szCs w:val="14"/>
                <w:color w:val="auto"/>
                <w:w w:val="89"/>
              </w:rPr>
              <w:t>4.9:1</w:t>
            </w:r>
          </w:p>
        </w:tc>
        <w:tc>
          <w:tcPr>
            <w:tcW w:w="100" w:type="dxa"/>
            <w:vAlign w:val="bottom"/>
            <w:shd w:val="clear" w:color="auto" w:fill="CCEEFF"/>
          </w:tcPr>
          <w:p>
            <w:pPr>
              <w:spacing w:after="0"/>
              <w:rPr>
                <w:sz w:val="21"/>
                <w:szCs w:val="21"/>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6.9:1</w:t>
            </w:r>
          </w:p>
        </w:tc>
        <w:tc>
          <w:tcPr>
            <w:tcW w:w="100" w:type="dxa"/>
            <w:vAlign w:val="bottom"/>
            <w:shd w:val="clear" w:color="auto" w:fill="CCEEFF"/>
          </w:tcPr>
          <w:p>
            <w:pPr>
              <w:spacing w:after="0"/>
              <w:rPr>
                <w:sz w:val="21"/>
                <w:szCs w:val="21"/>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5.3:1</w:t>
            </w:r>
          </w:p>
        </w:tc>
        <w:tc>
          <w:tcPr>
            <w:tcW w:w="100" w:type="dxa"/>
            <w:vAlign w:val="bottom"/>
            <w:shd w:val="clear" w:color="auto" w:fill="CCEEFF"/>
          </w:tcPr>
          <w:p>
            <w:pPr>
              <w:spacing w:after="0"/>
              <w:rPr>
                <w:sz w:val="21"/>
                <w:szCs w:val="21"/>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6.9:1</w:t>
            </w:r>
          </w:p>
        </w:tc>
        <w:tc>
          <w:tcPr>
            <w:tcW w:w="0" w:type="dxa"/>
            <w:vAlign w:val="bottom"/>
          </w:tcPr>
          <w:p>
            <w:pPr>
              <w:spacing w:after="0"/>
              <w:rPr>
                <w:sz w:val="1"/>
                <w:szCs w:val="1"/>
                <w:color w:val="auto"/>
              </w:rPr>
            </w:pPr>
          </w:p>
        </w:tc>
      </w:tr>
      <w:tr>
        <w:trPr>
          <w:trHeight w:val="264"/>
        </w:trPr>
        <w:tc>
          <w:tcPr>
            <w:tcW w:w="2640" w:type="dxa"/>
            <w:vAlign w:val="bottom"/>
            <w:gridSpan w:val="2"/>
          </w:tcPr>
          <w:p>
            <w:pPr>
              <w:ind w:left="40"/>
              <w:spacing w:after="0"/>
              <w:rPr>
                <w:sz w:val="20"/>
                <w:szCs w:val="20"/>
                <w:color w:val="auto"/>
              </w:rPr>
            </w:pPr>
            <w:r>
              <w:rPr>
                <w:rFonts w:ascii="Arial" w:cs="Arial" w:eastAsia="Arial" w:hAnsi="Arial"/>
                <w:sz w:val="14"/>
                <w:szCs w:val="14"/>
                <w:color w:val="auto"/>
              </w:rPr>
              <w:t>September 30, 2014</w:t>
            </w:r>
          </w:p>
        </w:tc>
        <w:tc>
          <w:tcPr>
            <w:tcW w:w="18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50"/>
              <w:spacing w:after="0"/>
              <w:rPr>
                <w:sz w:val="20"/>
                <w:szCs w:val="20"/>
                <w:color w:val="auto"/>
              </w:rPr>
            </w:pPr>
            <w:r>
              <w:rPr>
                <w:rFonts w:ascii="Arial" w:cs="Arial" w:eastAsia="Arial" w:hAnsi="Arial"/>
                <w:sz w:val="14"/>
                <w:szCs w:val="14"/>
                <w:color w:val="auto"/>
              </w:rPr>
              <w:t>46,694</w:t>
            </w:r>
          </w:p>
        </w:tc>
        <w:tc>
          <w:tcPr>
            <w:tcW w:w="120" w:type="dxa"/>
            <w:vAlign w:val="bottom"/>
          </w:tcPr>
          <w:p>
            <w:pPr>
              <w:spacing w:after="0"/>
              <w:rPr>
                <w:sz w:val="22"/>
                <w:szCs w:val="22"/>
                <w:color w:val="auto"/>
              </w:rPr>
            </w:pPr>
          </w:p>
        </w:tc>
        <w:tc>
          <w:tcPr>
            <w:tcW w:w="140" w:type="dxa"/>
            <w:vAlign w:val="bottom"/>
          </w:tcPr>
          <w:p>
            <w:pPr>
              <w:ind w:left="20"/>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49"/>
              <w:spacing w:after="0"/>
              <w:rPr>
                <w:sz w:val="20"/>
                <w:szCs w:val="20"/>
                <w:color w:val="auto"/>
              </w:rPr>
            </w:pPr>
            <w:r>
              <w:rPr>
                <w:rFonts w:ascii="Arial" w:cs="Arial" w:eastAsia="Arial" w:hAnsi="Arial"/>
                <w:sz w:val="14"/>
                <w:szCs w:val="14"/>
                <w:color w:val="auto"/>
              </w:rPr>
              <w:t>50,989</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50"/>
              <w:spacing w:after="0"/>
              <w:rPr>
                <w:sz w:val="20"/>
                <w:szCs w:val="20"/>
                <w:color w:val="auto"/>
              </w:rPr>
            </w:pPr>
            <w:r>
              <w:rPr>
                <w:rFonts w:ascii="Arial" w:cs="Arial" w:eastAsia="Arial" w:hAnsi="Arial"/>
                <w:sz w:val="14"/>
                <w:szCs w:val="14"/>
                <w:color w:val="auto"/>
              </w:rPr>
              <w:t>44,368</w:t>
            </w:r>
          </w:p>
        </w:tc>
        <w:tc>
          <w:tcPr>
            <w:tcW w:w="12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50"/>
              <w:spacing w:after="0"/>
              <w:rPr>
                <w:sz w:val="20"/>
                <w:szCs w:val="20"/>
                <w:color w:val="auto"/>
              </w:rPr>
            </w:pPr>
            <w:r>
              <w:rPr>
                <w:rFonts w:ascii="Arial" w:cs="Arial" w:eastAsia="Arial" w:hAnsi="Arial"/>
                <w:sz w:val="14"/>
                <w:szCs w:val="14"/>
                <w:color w:val="auto"/>
              </w:rPr>
              <w:t>15,680</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50"/>
              <w:spacing w:after="0"/>
              <w:rPr>
                <w:sz w:val="20"/>
                <w:szCs w:val="20"/>
                <w:color w:val="auto"/>
              </w:rPr>
            </w:pPr>
            <w:r>
              <w:rPr>
                <w:rFonts w:ascii="Arial" w:cs="Arial" w:eastAsia="Arial" w:hAnsi="Arial"/>
                <w:sz w:val="14"/>
                <w:szCs w:val="14"/>
                <w:color w:val="auto"/>
              </w:rPr>
              <w:t>17,769</w:t>
            </w:r>
          </w:p>
        </w:tc>
        <w:tc>
          <w:tcPr>
            <w:tcW w:w="900" w:type="dxa"/>
            <w:vAlign w:val="bottom"/>
            <w:gridSpan w:val="2"/>
          </w:tcPr>
          <w:p>
            <w:pPr>
              <w:jc w:val="center"/>
              <w:ind w:left="28"/>
              <w:spacing w:after="0"/>
              <w:rPr>
                <w:sz w:val="20"/>
                <w:szCs w:val="20"/>
                <w:color w:val="auto"/>
              </w:rPr>
            </w:pPr>
            <w:r>
              <w:rPr>
                <w:rFonts w:ascii="Arial" w:cs="Arial" w:eastAsia="Arial" w:hAnsi="Arial"/>
                <w:sz w:val="14"/>
                <w:szCs w:val="14"/>
                <w:color w:val="auto"/>
                <w:w w:val="89"/>
              </w:rPr>
              <w:t>5.0:1</w:t>
            </w:r>
          </w:p>
        </w:tc>
        <w:tc>
          <w:tcPr>
            <w:tcW w:w="100" w:type="dxa"/>
            <w:vAlign w:val="bottom"/>
          </w:tcPr>
          <w:p>
            <w:pPr>
              <w:spacing w:after="0"/>
              <w:rPr>
                <w:sz w:val="22"/>
                <w:szCs w:val="22"/>
                <w:color w:val="auto"/>
              </w:rPr>
            </w:pPr>
          </w:p>
        </w:tc>
        <w:tc>
          <w:tcPr>
            <w:tcW w:w="920" w:type="dxa"/>
            <w:vAlign w:val="bottom"/>
          </w:tcPr>
          <w:p>
            <w:pPr>
              <w:jc w:val="center"/>
              <w:spacing w:after="0"/>
              <w:rPr>
                <w:sz w:val="20"/>
                <w:szCs w:val="20"/>
                <w:color w:val="auto"/>
              </w:rPr>
            </w:pPr>
            <w:r>
              <w:rPr>
                <w:rFonts w:ascii="Arial" w:cs="Arial" w:eastAsia="Arial" w:hAnsi="Arial"/>
                <w:sz w:val="14"/>
                <w:szCs w:val="14"/>
                <w:color w:val="auto"/>
                <w:w w:val="89"/>
              </w:rPr>
              <w:t>6.7:1</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89"/>
              </w:rPr>
              <w:t>4.8:1</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89"/>
              </w:rPr>
              <w:t>6.7:1</w:t>
            </w:r>
          </w:p>
        </w:tc>
        <w:tc>
          <w:tcPr>
            <w:tcW w:w="0" w:type="dxa"/>
            <w:vAlign w:val="bottom"/>
          </w:tcPr>
          <w:p>
            <w:pPr>
              <w:spacing w:after="0"/>
              <w:rPr>
                <w:sz w:val="1"/>
                <w:szCs w:val="1"/>
                <w:color w:val="auto"/>
              </w:rPr>
            </w:pPr>
          </w:p>
        </w:tc>
      </w:tr>
      <w:tr>
        <w:trPr>
          <w:trHeight w:val="276"/>
        </w:trPr>
        <w:tc>
          <w:tcPr>
            <w:tcW w:w="26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June 30, 2014</w:t>
            </w:r>
          </w:p>
        </w:tc>
        <w:tc>
          <w:tcPr>
            <w:tcW w:w="1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50,448</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52,945</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48,362</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13,963</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18,184</w:t>
            </w:r>
          </w:p>
        </w:tc>
        <w:tc>
          <w:tcPr>
            <w:tcW w:w="900" w:type="dxa"/>
            <w:vAlign w:val="bottom"/>
            <w:gridSpan w:val="2"/>
            <w:shd w:val="clear" w:color="auto" w:fill="CCEEFF"/>
          </w:tcPr>
          <w:p>
            <w:pPr>
              <w:jc w:val="center"/>
              <w:ind w:left="28"/>
              <w:spacing w:after="0"/>
              <w:rPr>
                <w:sz w:val="20"/>
                <w:szCs w:val="20"/>
                <w:color w:val="auto"/>
              </w:rPr>
            </w:pPr>
            <w:r>
              <w:rPr>
                <w:rFonts w:ascii="Arial" w:cs="Arial" w:eastAsia="Arial" w:hAnsi="Arial"/>
                <w:sz w:val="14"/>
                <w:szCs w:val="14"/>
                <w:color w:val="auto"/>
                <w:w w:val="89"/>
              </w:rPr>
              <w:t>5.6:1</w:t>
            </w:r>
          </w:p>
        </w:tc>
        <w:tc>
          <w:tcPr>
            <w:tcW w:w="100" w:type="dxa"/>
            <w:vAlign w:val="bottom"/>
            <w:shd w:val="clear" w:color="auto" w:fill="CCEEFF"/>
          </w:tcPr>
          <w:p>
            <w:pPr>
              <w:spacing w:after="0"/>
              <w:rPr>
                <w:sz w:val="24"/>
                <w:szCs w:val="24"/>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7.1:1</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5.0:1</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6.9:1</w:t>
            </w:r>
          </w:p>
        </w:tc>
        <w:tc>
          <w:tcPr>
            <w:tcW w:w="0" w:type="dxa"/>
            <w:vAlign w:val="bottom"/>
          </w:tcPr>
          <w:p>
            <w:pPr>
              <w:spacing w:after="0"/>
              <w:rPr>
                <w:sz w:val="1"/>
                <w:szCs w:val="1"/>
                <w:color w:val="auto"/>
              </w:rPr>
            </w:pPr>
          </w:p>
        </w:tc>
      </w:tr>
      <w:tr>
        <w:trPr>
          <w:trHeight w:val="264"/>
        </w:trPr>
        <w:tc>
          <w:tcPr>
            <w:tcW w:w="2640" w:type="dxa"/>
            <w:vAlign w:val="bottom"/>
            <w:gridSpan w:val="2"/>
          </w:tcPr>
          <w:p>
            <w:pPr>
              <w:ind w:left="40"/>
              <w:spacing w:after="0"/>
              <w:rPr>
                <w:sz w:val="20"/>
                <w:szCs w:val="20"/>
                <w:color w:val="auto"/>
              </w:rPr>
            </w:pPr>
            <w:r>
              <w:rPr>
                <w:rFonts w:ascii="Arial" w:cs="Arial" w:eastAsia="Arial" w:hAnsi="Arial"/>
                <w:sz w:val="14"/>
                <w:szCs w:val="14"/>
                <w:color w:val="auto"/>
              </w:rPr>
              <w:t>March 31, 2014</w:t>
            </w:r>
          </w:p>
        </w:tc>
        <w:tc>
          <w:tcPr>
            <w:tcW w:w="18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50"/>
              <w:spacing w:after="0"/>
              <w:rPr>
                <w:sz w:val="20"/>
                <w:szCs w:val="20"/>
                <w:color w:val="auto"/>
              </w:rPr>
            </w:pPr>
            <w:r>
              <w:rPr>
                <w:rFonts w:ascii="Arial" w:cs="Arial" w:eastAsia="Arial" w:hAnsi="Arial"/>
                <w:sz w:val="14"/>
                <w:szCs w:val="14"/>
                <w:color w:val="auto"/>
              </w:rPr>
              <w:t>57,544</w:t>
            </w:r>
          </w:p>
        </w:tc>
        <w:tc>
          <w:tcPr>
            <w:tcW w:w="120" w:type="dxa"/>
            <w:vAlign w:val="bottom"/>
          </w:tcPr>
          <w:p>
            <w:pPr>
              <w:spacing w:after="0"/>
              <w:rPr>
                <w:sz w:val="22"/>
                <w:szCs w:val="22"/>
                <w:color w:val="auto"/>
              </w:rPr>
            </w:pPr>
          </w:p>
        </w:tc>
        <w:tc>
          <w:tcPr>
            <w:tcW w:w="140" w:type="dxa"/>
            <w:vAlign w:val="bottom"/>
          </w:tcPr>
          <w:p>
            <w:pPr>
              <w:ind w:left="20"/>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49"/>
              <w:spacing w:after="0"/>
              <w:rPr>
                <w:sz w:val="20"/>
                <w:szCs w:val="20"/>
                <w:color w:val="auto"/>
              </w:rPr>
            </w:pPr>
            <w:r>
              <w:rPr>
                <w:rFonts w:ascii="Arial" w:cs="Arial" w:eastAsia="Arial" w:hAnsi="Arial"/>
                <w:sz w:val="14"/>
                <w:szCs w:val="14"/>
                <w:color w:val="auto"/>
              </w:rPr>
              <w:t>63,117</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50"/>
              <w:spacing w:after="0"/>
              <w:rPr>
                <w:sz w:val="20"/>
                <w:szCs w:val="20"/>
                <w:color w:val="auto"/>
              </w:rPr>
            </w:pPr>
            <w:r>
              <w:rPr>
                <w:rFonts w:ascii="Arial" w:cs="Arial" w:eastAsia="Arial" w:hAnsi="Arial"/>
                <w:sz w:val="14"/>
                <w:szCs w:val="14"/>
                <w:color w:val="auto"/>
              </w:rPr>
              <w:t>50,454</w:t>
            </w:r>
          </w:p>
        </w:tc>
        <w:tc>
          <w:tcPr>
            <w:tcW w:w="12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50"/>
              <w:spacing w:after="0"/>
              <w:rPr>
                <w:sz w:val="20"/>
                <w:szCs w:val="20"/>
                <w:color w:val="auto"/>
              </w:rPr>
            </w:pPr>
            <w:r>
              <w:rPr>
                <w:rFonts w:ascii="Arial" w:cs="Arial" w:eastAsia="Arial" w:hAnsi="Arial"/>
                <w:sz w:val="14"/>
                <w:szCs w:val="14"/>
                <w:color w:val="auto"/>
              </w:rPr>
              <w:t>4,534</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50"/>
              <w:spacing w:after="0"/>
              <w:rPr>
                <w:sz w:val="20"/>
                <w:szCs w:val="20"/>
                <w:color w:val="auto"/>
              </w:rPr>
            </w:pPr>
            <w:r>
              <w:rPr>
                <w:rFonts w:ascii="Arial" w:cs="Arial" w:eastAsia="Arial" w:hAnsi="Arial"/>
                <w:sz w:val="14"/>
                <w:szCs w:val="14"/>
                <w:color w:val="auto"/>
              </w:rPr>
              <w:t>14,127</w:t>
            </w:r>
          </w:p>
        </w:tc>
        <w:tc>
          <w:tcPr>
            <w:tcW w:w="900" w:type="dxa"/>
            <w:vAlign w:val="bottom"/>
            <w:gridSpan w:val="2"/>
          </w:tcPr>
          <w:p>
            <w:pPr>
              <w:jc w:val="center"/>
              <w:ind w:left="28"/>
              <w:spacing w:after="0"/>
              <w:rPr>
                <w:sz w:val="20"/>
                <w:szCs w:val="20"/>
                <w:color w:val="auto"/>
              </w:rPr>
            </w:pPr>
            <w:r>
              <w:rPr>
                <w:rFonts w:ascii="Arial" w:cs="Arial" w:eastAsia="Arial" w:hAnsi="Arial"/>
                <w:sz w:val="14"/>
                <w:szCs w:val="14"/>
                <w:color w:val="auto"/>
                <w:w w:val="89"/>
              </w:rPr>
              <w:t>6.7:1</w:t>
            </w:r>
          </w:p>
        </w:tc>
        <w:tc>
          <w:tcPr>
            <w:tcW w:w="100" w:type="dxa"/>
            <w:vAlign w:val="bottom"/>
          </w:tcPr>
          <w:p>
            <w:pPr>
              <w:spacing w:after="0"/>
              <w:rPr>
                <w:sz w:val="22"/>
                <w:szCs w:val="22"/>
                <w:color w:val="auto"/>
              </w:rPr>
            </w:pPr>
          </w:p>
        </w:tc>
        <w:tc>
          <w:tcPr>
            <w:tcW w:w="920" w:type="dxa"/>
            <w:vAlign w:val="bottom"/>
          </w:tcPr>
          <w:p>
            <w:pPr>
              <w:jc w:val="center"/>
              <w:spacing w:after="0"/>
              <w:rPr>
                <w:sz w:val="20"/>
                <w:szCs w:val="20"/>
                <w:color w:val="auto"/>
              </w:rPr>
            </w:pPr>
            <w:r>
              <w:rPr>
                <w:rFonts w:ascii="Arial" w:cs="Arial" w:eastAsia="Arial" w:hAnsi="Arial"/>
                <w:sz w:val="14"/>
                <w:szCs w:val="14"/>
                <w:color w:val="auto"/>
                <w:w w:val="89"/>
              </w:rPr>
              <w:t>7.2:1</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89"/>
              </w:rPr>
              <w:t>5.9:1</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89"/>
              </w:rPr>
              <w:t>7.6:1</w:t>
            </w:r>
          </w:p>
        </w:tc>
        <w:tc>
          <w:tcPr>
            <w:tcW w:w="0" w:type="dxa"/>
            <w:vAlign w:val="bottom"/>
          </w:tcPr>
          <w:p>
            <w:pPr>
              <w:spacing w:after="0"/>
              <w:rPr>
                <w:sz w:val="1"/>
                <w:szCs w:val="1"/>
                <w:color w:val="auto"/>
              </w:rPr>
            </w:pPr>
          </w:p>
        </w:tc>
      </w:tr>
      <w:tr>
        <w:trPr>
          <w:trHeight w:val="276"/>
        </w:trPr>
        <w:tc>
          <w:tcPr>
            <w:tcW w:w="26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December 31, 2013</w:t>
            </w:r>
          </w:p>
        </w:tc>
        <w:tc>
          <w:tcPr>
            <w:tcW w:w="1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71,260</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80,706</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62,124</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(486)</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2,276</w:t>
            </w:r>
          </w:p>
        </w:tc>
        <w:tc>
          <w:tcPr>
            <w:tcW w:w="900" w:type="dxa"/>
            <w:vAlign w:val="bottom"/>
            <w:gridSpan w:val="2"/>
            <w:shd w:val="clear" w:color="auto" w:fill="CCEEFF"/>
          </w:tcPr>
          <w:p>
            <w:pPr>
              <w:jc w:val="center"/>
              <w:ind w:left="28"/>
              <w:spacing w:after="0"/>
              <w:rPr>
                <w:sz w:val="20"/>
                <w:szCs w:val="20"/>
                <w:color w:val="auto"/>
              </w:rPr>
            </w:pPr>
            <w:r>
              <w:rPr>
                <w:rFonts w:ascii="Arial" w:cs="Arial" w:eastAsia="Arial" w:hAnsi="Arial"/>
                <w:sz w:val="14"/>
                <w:szCs w:val="14"/>
                <w:color w:val="auto"/>
                <w:w w:val="89"/>
              </w:rPr>
              <w:t>7.6:1</w:t>
            </w:r>
          </w:p>
        </w:tc>
        <w:tc>
          <w:tcPr>
            <w:tcW w:w="100" w:type="dxa"/>
            <w:vAlign w:val="bottom"/>
            <w:shd w:val="clear" w:color="auto" w:fill="CCEEFF"/>
          </w:tcPr>
          <w:p>
            <w:pPr>
              <w:spacing w:after="0"/>
              <w:rPr>
                <w:sz w:val="24"/>
                <w:szCs w:val="24"/>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7.5:1</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7.3:1</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7.5:1</w:t>
            </w:r>
          </w:p>
        </w:tc>
        <w:tc>
          <w:tcPr>
            <w:tcW w:w="0" w:type="dxa"/>
            <w:vAlign w:val="bottom"/>
          </w:tcPr>
          <w:p>
            <w:pPr>
              <w:spacing w:after="0"/>
              <w:rPr>
                <w:sz w:val="1"/>
                <w:szCs w:val="1"/>
                <w:color w:val="auto"/>
              </w:rPr>
            </w:pPr>
          </w:p>
        </w:tc>
      </w:tr>
      <w:tr>
        <w:trPr>
          <w:trHeight w:val="264"/>
        </w:trPr>
        <w:tc>
          <w:tcPr>
            <w:tcW w:w="2640" w:type="dxa"/>
            <w:vAlign w:val="bottom"/>
            <w:gridSpan w:val="2"/>
          </w:tcPr>
          <w:p>
            <w:pPr>
              <w:ind w:left="40"/>
              <w:spacing w:after="0"/>
              <w:rPr>
                <w:sz w:val="20"/>
                <w:szCs w:val="20"/>
                <w:color w:val="auto"/>
              </w:rPr>
            </w:pPr>
            <w:r>
              <w:rPr>
                <w:rFonts w:ascii="Arial" w:cs="Arial" w:eastAsia="Arial" w:hAnsi="Arial"/>
                <w:sz w:val="14"/>
                <w:szCs w:val="14"/>
                <w:color w:val="auto"/>
              </w:rPr>
              <w:t>September 30, 2013</w:t>
            </w:r>
          </w:p>
        </w:tc>
        <w:tc>
          <w:tcPr>
            <w:tcW w:w="18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50"/>
              <w:spacing w:after="0"/>
              <w:rPr>
                <w:sz w:val="20"/>
                <w:szCs w:val="20"/>
                <w:color w:val="auto"/>
              </w:rPr>
            </w:pPr>
            <w:r>
              <w:rPr>
                <w:rFonts w:ascii="Arial" w:cs="Arial" w:eastAsia="Arial" w:hAnsi="Arial"/>
                <w:sz w:val="14"/>
                <w:szCs w:val="14"/>
                <w:color w:val="auto"/>
              </w:rPr>
              <w:t>78,845</w:t>
            </w:r>
          </w:p>
        </w:tc>
        <w:tc>
          <w:tcPr>
            <w:tcW w:w="120" w:type="dxa"/>
            <w:vAlign w:val="bottom"/>
          </w:tcPr>
          <w:p>
            <w:pPr>
              <w:spacing w:after="0"/>
              <w:rPr>
                <w:sz w:val="22"/>
                <w:szCs w:val="22"/>
                <w:color w:val="auto"/>
              </w:rPr>
            </w:pPr>
          </w:p>
        </w:tc>
        <w:tc>
          <w:tcPr>
            <w:tcW w:w="140" w:type="dxa"/>
            <w:vAlign w:val="bottom"/>
          </w:tcPr>
          <w:p>
            <w:pPr>
              <w:ind w:left="20"/>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49"/>
              <w:spacing w:after="0"/>
              <w:rPr>
                <w:sz w:val="20"/>
                <w:szCs w:val="20"/>
                <w:color w:val="auto"/>
              </w:rPr>
            </w:pPr>
            <w:r>
              <w:rPr>
                <w:rFonts w:ascii="Arial" w:cs="Arial" w:eastAsia="Arial" w:hAnsi="Arial"/>
                <w:sz w:val="14"/>
                <w:szCs w:val="14"/>
                <w:color w:val="auto"/>
              </w:rPr>
              <w:t>83,859</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50"/>
              <w:spacing w:after="0"/>
              <w:rPr>
                <w:sz w:val="20"/>
                <w:szCs w:val="20"/>
                <w:color w:val="auto"/>
              </w:rPr>
            </w:pPr>
            <w:r>
              <w:rPr>
                <w:rFonts w:ascii="Arial" w:cs="Arial" w:eastAsia="Arial" w:hAnsi="Arial"/>
                <w:sz w:val="14"/>
                <w:szCs w:val="14"/>
                <w:color w:val="auto"/>
              </w:rPr>
              <w:t>79,117</w:t>
            </w:r>
          </w:p>
        </w:tc>
        <w:tc>
          <w:tcPr>
            <w:tcW w:w="12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50"/>
              <w:spacing w:after="0"/>
              <w:rPr>
                <w:sz w:val="20"/>
                <w:szCs w:val="20"/>
                <w:color w:val="auto"/>
              </w:rPr>
            </w:pPr>
            <w:r>
              <w:rPr>
                <w:rFonts w:ascii="Arial" w:cs="Arial" w:eastAsia="Arial" w:hAnsi="Arial"/>
                <w:sz w:val="14"/>
                <w:szCs w:val="14"/>
                <w:color w:val="auto"/>
              </w:rPr>
              <w:t>131</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(7,060)</w:t>
            </w:r>
          </w:p>
        </w:tc>
        <w:tc>
          <w:tcPr>
            <w:tcW w:w="900" w:type="dxa"/>
            <w:vAlign w:val="bottom"/>
            <w:gridSpan w:val="2"/>
          </w:tcPr>
          <w:p>
            <w:pPr>
              <w:jc w:val="center"/>
              <w:ind w:left="28"/>
              <w:spacing w:after="0"/>
              <w:rPr>
                <w:sz w:val="20"/>
                <w:szCs w:val="20"/>
                <w:color w:val="auto"/>
              </w:rPr>
            </w:pPr>
            <w:r>
              <w:rPr>
                <w:rFonts w:ascii="Arial" w:cs="Arial" w:eastAsia="Arial" w:hAnsi="Arial"/>
                <w:sz w:val="14"/>
                <w:szCs w:val="14"/>
                <w:color w:val="auto"/>
                <w:w w:val="89"/>
              </w:rPr>
              <w:t>7.8:1</w:t>
            </w:r>
          </w:p>
        </w:tc>
        <w:tc>
          <w:tcPr>
            <w:tcW w:w="100" w:type="dxa"/>
            <w:vAlign w:val="bottom"/>
          </w:tcPr>
          <w:p>
            <w:pPr>
              <w:spacing w:after="0"/>
              <w:rPr>
                <w:sz w:val="22"/>
                <w:szCs w:val="22"/>
                <w:color w:val="auto"/>
              </w:rPr>
            </w:pPr>
          </w:p>
        </w:tc>
        <w:tc>
          <w:tcPr>
            <w:tcW w:w="920" w:type="dxa"/>
            <w:vAlign w:val="bottom"/>
          </w:tcPr>
          <w:p>
            <w:pPr>
              <w:jc w:val="center"/>
              <w:spacing w:after="0"/>
              <w:rPr>
                <w:sz w:val="20"/>
                <w:szCs w:val="20"/>
                <w:color w:val="auto"/>
              </w:rPr>
            </w:pPr>
            <w:r>
              <w:rPr>
                <w:rFonts w:ascii="Arial" w:cs="Arial" w:eastAsia="Arial" w:hAnsi="Arial"/>
                <w:sz w:val="14"/>
                <w:szCs w:val="14"/>
                <w:color w:val="auto"/>
                <w:w w:val="89"/>
              </w:rPr>
              <w:t>7.8:1</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89"/>
              </w:rPr>
              <w:t>7.9:1</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89"/>
              </w:rPr>
              <w:t>7.2:1</w:t>
            </w:r>
          </w:p>
        </w:tc>
        <w:tc>
          <w:tcPr>
            <w:tcW w:w="0" w:type="dxa"/>
            <w:vAlign w:val="bottom"/>
          </w:tcPr>
          <w:p>
            <w:pPr>
              <w:spacing w:after="0"/>
              <w:rPr>
                <w:sz w:val="1"/>
                <w:szCs w:val="1"/>
                <w:color w:val="auto"/>
              </w:rPr>
            </w:pPr>
          </w:p>
        </w:tc>
      </w:tr>
      <w:tr>
        <w:trPr>
          <w:trHeight w:val="276"/>
        </w:trPr>
        <w:tc>
          <w:tcPr>
            <w:tcW w:w="26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June 30, 2013</w:t>
            </w:r>
          </w:p>
        </w:tc>
        <w:tc>
          <w:tcPr>
            <w:tcW w:w="1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66,060</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71,102</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71,102</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28,904</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15,285</w:t>
            </w:r>
          </w:p>
        </w:tc>
        <w:tc>
          <w:tcPr>
            <w:tcW w:w="900" w:type="dxa"/>
            <w:vAlign w:val="bottom"/>
            <w:gridSpan w:val="2"/>
            <w:shd w:val="clear" w:color="auto" w:fill="CCEEFF"/>
          </w:tcPr>
          <w:p>
            <w:pPr>
              <w:jc w:val="center"/>
              <w:ind w:left="28"/>
              <w:spacing w:after="0"/>
              <w:rPr>
                <w:sz w:val="20"/>
                <w:szCs w:val="20"/>
                <w:color w:val="auto"/>
              </w:rPr>
            </w:pPr>
            <w:r>
              <w:rPr>
                <w:rFonts w:ascii="Arial" w:cs="Arial" w:eastAsia="Arial" w:hAnsi="Arial"/>
                <w:sz w:val="14"/>
                <w:szCs w:val="14"/>
                <w:color w:val="auto"/>
                <w:w w:val="89"/>
              </w:rPr>
              <w:t>5.9:1</w:t>
            </w:r>
          </w:p>
        </w:tc>
        <w:tc>
          <w:tcPr>
            <w:tcW w:w="100" w:type="dxa"/>
            <w:vAlign w:val="bottom"/>
            <w:shd w:val="clear" w:color="auto" w:fill="CCEEFF"/>
          </w:tcPr>
          <w:p>
            <w:pPr>
              <w:spacing w:after="0"/>
              <w:rPr>
                <w:sz w:val="24"/>
                <w:szCs w:val="24"/>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8.4:1</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7.0:1</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8.5:1</w:t>
            </w:r>
          </w:p>
        </w:tc>
        <w:tc>
          <w:tcPr>
            <w:tcW w:w="0" w:type="dxa"/>
            <w:vAlign w:val="bottom"/>
          </w:tcPr>
          <w:p>
            <w:pPr>
              <w:spacing w:after="0"/>
              <w:rPr>
                <w:sz w:val="1"/>
                <w:szCs w:val="1"/>
                <w:color w:val="auto"/>
              </w:rPr>
            </w:pPr>
          </w:p>
        </w:tc>
      </w:tr>
      <w:tr>
        <w:trPr>
          <w:trHeight w:val="258"/>
        </w:trPr>
        <w:tc>
          <w:tcPr>
            <w:tcW w:w="2640" w:type="dxa"/>
            <w:vAlign w:val="bottom"/>
            <w:gridSpan w:val="2"/>
          </w:tcPr>
          <w:p>
            <w:pPr>
              <w:ind w:left="40"/>
              <w:spacing w:after="0"/>
              <w:rPr>
                <w:sz w:val="20"/>
                <w:szCs w:val="20"/>
                <w:color w:val="auto"/>
              </w:rPr>
            </w:pPr>
            <w:r>
              <w:rPr>
                <w:rFonts w:ascii="Arial" w:cs="Arial" w:eastAsia="Arial" w:hAnsi="Arial"/>
                <w:sz w:val="14"/>
                <w:szCs w:val="14"/>
                <w:color w:val="auto"/>
              </w:rPr>
              <w:t>March 31, 2013</w:t>
            </w:r>
          </w:p>
        </w:tc>
        <w:tc>
          <w:tcPr>
            <w:tcW w:w="18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50"/>
              <w:spacing w:after="0"/>
              <w:rPr>
                <w:sz w:val="20"/>
                <w:szCs w:val="20"/>
                <w:color w:val="auto"/>
              </w:rPr>
            </w:pPr>
            <w:r>
              <w:rPr>
                <w:rFonts w:ascii="Arial" w:cs="Arial" w:eastAsia="Arial" w:hAnsi="Arial"/>
                <w:sz w:val="14"/>
                <w:szCs w:val="14"/>
                <w:color w:val="auto"/>
              </w:rPr>
              <w:t>70,591</w:t>
            </w:r>
          </w:p>
        </w:tc>
        <w:tc>
          <w:tcPr>
            <w:tcW w:w="120" w:type="dxa"/>
            <w:vAlign w:val="bottom"/>
          </w:tcPr>
          <w:p>
            <w:pPr>
              <w:spacing w:after="0"/>
              <w:rPr>
                <w:sz w:val="22"/>
                <w:szCs w:val="22"/>
                <w:color w:val="auto"/>
              </w:rPr>
            </w:pPr>
          </w:p>
        </w:tc>
        <w:tc>
          <w:tcPr>
            <w:tcW w:w="140" w:type="dxa"/>
            <w:vAlign w:val="bottom"/>
          </w:tcPr>
          <w:p>
            <w:pPr>
              <w:ind w:left="20"/>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49"/>
              <w:spacing w:after="0"/>
              <w:rPr>
                <w:sz w:val="20"/>
                <w:szCs w:val="20"/>
                <w:color w:val="auto"/>
              </w:rPr>
            </w:pPr>
            <w:r>
              <w:rPr>
                <w:rFonts w:ascii="Arial" w:cs="Arial" w:eastAsia="Arial" w:hAnsi="Arial"/>
                <w:sz w:val="14"/>
                <w:szCs w:val="14"/>
                <w:color w:val="auto"/>
              </w:rPr>
              <w:t>75,580</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50"/>
              <w:spacing w:after="0"/>
              <w:rPr>
                <w:sz w:val="20"/>
                <w:szCs w:val="20"/>
                <w:color w:val="auto"/>
              </w:rPr>
            </w:pPr>
            <w:r>
              <w:rPr>
                <w:rFonts w:ascii="Arial" w:cs="Arial" w:eastAsia="Arial" w:hAnsi="Arial"/>
                <w:sz w:val="14"/>
                <w:szCs w:val="14"/>
                <w:color w:val="auto"/>
              </w:rPr>
              <w:t>67,122</w:t>
            </w:r>
          </w:p>
        </w:tc>
        <w:tc>
          <w:tcPr>
            <w:tcW w:w="12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50"/>
              <w:spacing w:after="0"/>
              <w:rPr>
                <w:sz w:val="20"/>
                <w:szCs w:val="20"/>
                <w:color w:val="auto"/>
              </w:rPr>
            </w:pPr>
            <w:r>
              <w:rPr>
                <w:rFonts w:ascii="Arial" w:cs="Arial" w:eastAsia="Arial" w:hAnsi="Arial"/>
                <w:sz w:val="14"/>
                <w:szCs w:val="14"/>
                <w:color w:val="auto"/>
              </w:rPr>
              <w:t>17,892</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50"/>
              <w:spacing w:after="0"/>
              <w:rPr>
                <w:sz w:val="20"/>
                <w:szCs w:val="20"/>
                <w:color w:val="auto"/>
              </w:rPr>
            </w:pPr>
            <w:r>
              <w:rPr>
                <w:rFonts w:ascii="Arial" w:cs="Arial" w:eastAsia="Arial" w:hAnsi="Arial"/>
                <w:sz w:val="14"/>
                <w:szCs w:val="14"/>
                <w:color w:val="auto"/>
              </w:rPr>
              <w:t>27,294</w:t>
            </w:r>
          </w:p>
        </w:tc>
        <w:tc>
          <w:tcPr>
            <w:tcW w:w="900" w:type="dxa"/>
            <w:vAlign w:val="bottom"/>
            <w:gridSpan w:val="2"/>
          </w:tcPr>
          <w:p>
            <w:pPr>
              <w:jc w:val="center"/>
              <w:ind w:left="28"/>
              <w:spacing w:after="0"/>
              <w:rPr>
                <w:sz w:val="20"/>
                <w:szCs w:val="20"/>
                <w:color w:val="auto"/>
              </w:rPr>
            </w:pPr>
            <w:r>
              <w:rPr>
                <w:rFonts w:ascii="Arial" w:cs="Arial" w:eastAsia="Arial" w:hAnsi="Arial"/>
                <w:sz w:val="14"/>
                <w:szCs w:val="14"/>
                <w:color w:val="auto"/>
                <w:w w:val="89"/>
              </w:rPr>
              <w:t>6.5:1</w:t>
            </w:r>
          </w:p>
        </w:tc>
        <w:tc>
          <w:tcPr>
            <w:tcW w:w="100" w:type="dxa"/>
            <w:vAlign w:val="bottom"/>
          </w:tcPr>
          <w:p>
            <w:pPr>
              <w:spacing w:after="0"/>
              <w:rPr>
                <w:sz w:val="22"/>
                <w:szCs w:val="22"/>
                <w:color w:val="auto"/>
              </w:rPr>
            </w:pPr>
          </w:p>
        </w:tc>
        <w:tc>
          <w:tcPr>
            <w:tcW w:w="920" w:type="dxa"/>
            <w:vAlign w:val="bottom"/>
          </w:tcPr>
          <w:p>
            <w:pPr>
              <w:jc w:val="center"/>
              <w:spacing w:after="0"/>
              <w:rPr>
                <w:sz w:val="20"/>
                <w:szCs w:val="20"/>
                <w:color w:val="auto"/>
              </w:rPr>
            </w:pPr>
            <w:r>
              <w:rPr>
                <w:rFonts w:ascii="Arial" w:cs="Arial" w:eastAsia="Arial" w:hAnsi="Arial"/>
                <w:sz w:val="14"/>
                <w:szCs w:val="14"/>
                <w:color w:val="auto"/>
                <w:w w:val="89"/>
              </w:rPr>
              <w:t>8.2:1</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89"/>
              </w:rPr>
              <w:t>5.7:1</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89"/>
              </w:rPr>
              <w:t>8.1:1</w:t>
            </w:r>
          </w:p>
        </w:tc>
        <w:tc>
          <w:tcPr>
            <w:tcW w:w="0" w:type="dxa"/>
            <w:vAlign w:val="bottom"/>
          </w:tcPr>
          <w:p>
            <w:pPr>
              <w:spacing w:after="0"/>
              <w:rPr>
                <w:sz w:val="1"/>
                <w:szCs w:val="1"/>
                <w:color w:val="auto"/>
              </w:rPr>
            </w:pPr>
          </w:p>
        </w:tc>
      </w:tr>
      <w:tr>
        <w:trPr>
          <w:trHeight w:val="230"/>
        </w:trPr>
        <w:tc>
          <w:tcPr>
            <w:tcW w:w="2520" w:type="dxa"/>
            <w:vAlign w:val="bottom"/>
          </w:tcPr>
          <w:p>
            <w:pPr>
              <w:spacing w:after="0"/>
              <w:rPr>
                <w:sz w:val="20"/>
                <w:szCs w:val="20"/>
                <w:color w:val="auto"/>
              </w:rPr>
            </w:pPr>
            <w:r>
              <w:rPr>
                <w:rFonts w:ascii="Arial" w:cs="Arial" w:eastAsia="Arial" w:hAnsi="Arial"/>
                <w:sz w:val="14"/>
                <w:szCs w:val="14"/>
                <w:color w:val="auto"/>
              </w:rPr>
              <w:t>_______________________</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34" w:lineRule="exact"/>
        <w:rPr>
          <w:sz w:val="20"/>
          <w:szCs w:val="20"/>
          <w:color w:val="auto"/>
        </w:rPr>
      </w:pPr>
    </w:p>
    <w:p>
      <w:pPr>
        <w:ind w:left="420" w:hanging="412"/>
        <w:spacing w:after="0"/>
        <w:tabs>
          <w:tab w:leader="none" w:pos="420" w:val="left"/>
        </w:tabs>
        <w:numPr>
          <w:ilvl w:val="0"/>
          <w:numId w:val="37"/>
        </w:numPr>
        <w:rPr>
          <w:rFonts w:ascii="Arial" w:cs="Arial" w:eastAsia="Arial" w:hAnsi="Arial"/>
          <w:sz w:val="14"/>
          <w:szCs w:val="14"/>
          <w:color w:val="auto"/>
        </w:rPr>
      </w:pPr>
      <w:r>
        <w:rPr>
          <w:rFonts w:ascii="Arial" w:cs="Arial" w:eastAsia="Arial" w:hAnsi="Arial"/>
          <w:sz w:val="14"/>
          <w:szCs w:val="14"/>
          <w:color w:val="auto"/>
        </w:rPr>
        <w:t>Excludes U.S. Treasury repo agreements.</w:t>
      </w:r>
    </w:p>
    <w:p>
      <w:pPr>
        <w:spacing w:after="0" w:line="13" w:lineRule="exact"/>
        <w:rPr>
          <w:rFonts w:ascii="Arial" w:cs="Arial" w:eastAsia="Arial" w:hAnsi="Arial"/>
          <w:sz w:val="14"/>
          <w:szCs w:val="14"/>
          <w:color w:val="auto"/>
        </w:rPr>
      </w:pPr>
    </w:p>
    <w:p>
      <w:pPr>
        <w:ind w:left="420" w:hanging="412"/>
        <w:spacing w:after="0"/>
        <w:tabs>
          <w:tab w:leader="none" w:pos="420" w:val="left"/>
        </w:tabs>
        <w:numPr>
          <w:ilvl w:val="0"/>
          <w:numId w:val="37"/>
        </w:numPr>
        <w:rPr>
          <w:rFonts w:ascii="Arial" w:cs="Arial" w:eastAsia="Arial" w:hAnsi="Arial"/>
          <w:sz w:val="14"/>
          <w:szCs w:val="14"/>
          <w:color w:val="auto"/>
        </w:rPr>
      </w:pPr>
      <w:r>
        <w:rPr>
          <w:rFonts w:ascii="Arial" w:cs="Arial" w:eastAsia="Arial" w:hAnsi="Arial"/>
          <w:sz w:val="14"/>
          <w:szCs w:val="14"/>
          <w:color w:val="auto"/>
        </w:rPr>
        <w:t>Daily average and ending net TBA position outstanding measured at cost.</w:t>
      </w:r>
    </w:p>
    <w:p>
      <w:pPr>
        <w:spacing w:after="0" w:line="1" w:lineRule="exact"/>
        <w:rPr>
          <w:rFonts w:ascii="Arial" w:cs="Arial" w:eastAsia="Arial" w:hAnsi="Arial"/>
          <w:sz w:val="14"/>
          <w:szCs w:val="14"/>
          <w:color w:val="auto"/>
        </w:rPr>
      </w:pPr>
    </w:p>
    <w:p>
      <w:pPr>
        <w:ind w:left="420" w:hanging="412"/>
        <w:spacing w:after="0" w:line="241" w:lineRule="auto"/>
        <w:tabs>
          <w:tab w:leader="none" w:pos="420" w:val="left"/>
        </w:tabs>
        <w:numPr>
          <w:ilvl w:val="0"/>
          <w:numId w:val="37"/>
        </w:numPr>
        <w:rPr>
          <w:rFonts w:ascii="Arial" w:cs="Arial" w:eastAsia="Arial" w:hAnsi="Arial"/>
          <w:sz w:val="14"/>
          <w:szCs w:val="14"/>
          <w:color w:val="auto"/>
        </w:rPr>
      </w:pPr>
      <w:r>
        <w:rPr>
          <w:rFonts w:ascii="Arial" w:cs="Arial" w:eastAsia="Arial" w:hAnsi="Arial"/>
          <w:sz w:val="14"/>
          <w:szCs w:val="14"/>
          <w:color w:val="auto"/>
        </w:rPr>
        <w:t>Average leverage during the period was calculated by dividing the sum of our daily weighted average agency repurchase agreements and debt of consolidated VIEs outstanding for the period by the sum of our average month-end stockholders' equity less our average investment in REIT equity securities for the period.</w:t>
      </w:r>
    </w:p>
    <w:p>
      <w:pPr>
        <w:ind w:left="420" w:hanging="412"/>
        <w:spacing w:after="0"/>
        <w:tabs>
          <w:tab w:leader="none" w:pos="420" w:val="left"/>
        </w:tabs>
        <w:numPr>
          <w:ilvl w:val="0"/>
          <w:numId w:val="37"/>
        </w:numPr>
        <w:rPr>
          <w:rFonts w:ascii="Arial" w:cs="Arial" w:eastAsia="Arial" w:hAnsi="Arial"/>
          <w:sz w:val="13"/>
          <w:szCs w:val="13"/>
          <w:color w:val="auto"/>
        </w:rPr>
      </w:pPr>
      <w:r>
        <w:rPr>
          <w:rFonts w:ascii="Arial" w:cs="Arial" w:eastAsia="Arial" w:hAnsi="Arial"/>
          <w:sz w:val="13"/>
          <w:szCs w:val="13"/>
          <w:color w:val="auto"/>
        </w:rPr>
        <w:t>Average "at risk" leverage during the period includes the components of "</w:t>
      </w:r>
      <w:r>
        <w:rPr>
          <w:rFonts w:ascii="Arial" w:cs="Arial" w:eastAsia="Arial" w:hAnsi="Arial"/>
          <w:sz w:val="13"/>
          <w:szCs w:val="13"/>
          <w:i w:val="1"/>
          <w:iCs w:val="1"/>
          <w:color w:val="auto"/>
        </w:rPr>
        <w:t>average leverage during the period,</w:t>
      </w:r>
      <w:r>
        <w:rPr>
          <w:rFonts w:ascii="Arial" w:cs="Arial" w:eastAsia="Arial" w:hAnsi="Arial"/>
          <w:sz w:val="13"/>
          <w:szCs w:val="13"/>
          <w:color w:val="auto"/>
        </w:rPr>
        <w:t>" plus our daily weighted average net TBA position (at cost) during the period.</w:t>
      </w:r>
    </w:p>
    <w:p>
      <w:pPr>
        <w:spacing w:after="0" w:line="12" w:lineRule="exact"/>
        <w:rPr>
          <w:rFonts w:ascii="Arial" w:cs="Arial" w:eastAsia="Arial" w:hAnsi="Arial"/>
          <w:sz w:val="13"/>
          <w:szCs w:val="13"/>
          <w:color w:val="auto"/>
        </w:rPr>
      </w:pPr>
    </w:p>
    <w:p>
      <w:pPr>
        <w:ind w:left="420" w:hanging="412"/>
        <w:spacing w:after="0" w:line="260" w:lineRule="auto"/>
        <w:tabs>
          <w:tab w:leader="none" w:pos="420" w:val="left"/>
        </w:tabs>
        <w:numPr>
          <w:ilvl w:val="0"/>
          <w:numId w:val="37"/>
        </w:numPr>
        <w:rPr>
          <w:rFonts w:ascii="Arial" w:cs="Arial" w:eastAsia="Arial" w:hAnsi="Arial"/>
          <w:sz w:val="13"/>
          <w:szCs w:val="13"/>
          <w:color w:val="auto"/>
        </w:rPr>
      </w:pPr>
      <w:r>
        <w:rPr>
          <w:rFonts w:ascii="Arial" w:cs="Arial" w:eastAsia="Arial" w:hAnsi="Arial"/>
          <w:sz w:val="13"/>
          <w:szCs w:val="13"/>
          <w:color w:val="auto"/>
        </w:rPr>
        <w:t>Leverage as of period end was calculated by dividing the sum of the amount outstanding under our agency MBS repurchase agreements, net payables and receivables for unsettled agency MBS securities and debt of consolidated VIEs by the sum of our total stockholders' equity less the fair value of our investment in REIT equity securities at period end.</w:t>
      </w:r>
    </w:p>
    <w:p>
      <w:pPr>
        <w:ind w:left="420" w:hanging="412"/>
        <w:spacing w:after="0"/>
        <w:tabs>
          <w:tab w:leader="none" w:pos="420" w:val="left"/>
        </w:tabs>
        <w:numPr>
          <w:ilvl w:val="0"/>
          <w:numId w:val="37"/>
        </w:numPr>
        <w:rPr>
          <w:rFonts w:ascii="Arial" w:cs="Arial" w:eastAsia="Arial" w:hAnsi="Arial"/>
          <w:sz w:val="14"/>
          <w:szCs w:val="14"/>
          <w:color w:val="auto"/>
        </w:rPr>
      </w:pPr>
      <w:r>
        <w:rPr>
          <w:rFonts w:ascii="Arial" w:cs="Arial" w:eastAsia="Arial" w:hAnsi="Arial"/>
          <w:sz w:val="14"/>
          <w:szCs w:val="14"/>
          <w:color w:val="auto"/>
        </w:rPr>
        <w:t>"At risk" leverage as of period end includes the components of "</w:t>
      </w:r>
      <w:r>
        <w:rPr>
          <w:rFonts w:ascii="Arial" w:cs="Arial" w:eastAsia="Arial" w:hAnsi="Arial"/>
          <w:sz w:val="14"/>
          <w:szCs w:val="14"/>
          <w:i w:val="1"/>
          <w:iCs w:val="1"/>
          <w:color w:val="auto"/>
        </w:rPr>
        <w:t>leverage as of period end,</w:t>
      </w:r>
      <w:r>
        <w:rPr>
          <w:rFonts w:ascii="Arial" w:cs="Arial" w:eastAsia="Arial" w:hAnsi="Arial"/>
          <w:sz w:val="14"/>
          <w:szCs w:val="14"/>
          <w:color w:val="auto"/>
        </w:rPr>
        <w:t>" plus the cost basis (or contract price) of our net TBA position.</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 and Cost of Funds</w:t>
      </w:r>
    </w:p>
    <w:p>
      <w:pPr>
        <w:spacing w:after="0" w:line="185"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The table below presents a reconciliation of our interest expense (the most comparable GAAP financial measure) to our adjusted net interest expense and cost of funds (non-GAAP financial measures) for fiscal years 2014 and 2013 (dollars in millions):</w:t>
      </w:r>
    </w:p>
    <w:p>
      <w:pPr>
        <w:spacing w:after="0" w:line="392" w:lineRule="exact"/>
        <w:rPr>
          <w:sz w:val="20"/>
          <w:szCs w:val="20"/>
          <w:color w:val="auto"/>
        </w:rPr>
      </w:pPr>
    </w:p>
    <w:tbl>
      <w:tblPr>
        <w:tblLayout w:type="fixed"/>
        <w:tblInd w:w="2500" w:type="dxa"/>
        <w:tblCellMar>
          <w:top w:w="0" w:type="dxa"/>
          <w:left w:w="0" w:type="dxa"/>
          <w:bottom w:w="0" w:type="dxa"/>
          <w:right w:w="0" w:type="dxa"/>
        </w:tblCellMar>
      </w:tblPr>
      <w:tr>
        <w:trPr>
          <w:trHeight w:val="192"/>
        </w:trPr>
        <w:tc>
          <w:tcPr>
            <w:tcW w:w="34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360" w:type="dxa"/>
            <w:vAlign w:val="bottom"/>
            <w:gridSpan w:val="4"/>
          </w:tcPr>
          <w:p>
            <w:pPr>
              <w:ind w:left="60"/>
              <w:spacing w:after="0"/>
              <w:rPr>
                <w:sz w:val="20"/>
                <w:szCs w:val="20"/>
                <w:color w:val="auto"/>
              </w:rPr>
            </w:pPr>
            <w:r>
              <w:rPr>
                <w:rFonts w:ascii="Arial" w:cs="Arial" w:eastAsia="Arial" w:hAnsi="Arial"/>
                <w:sz w:val="14"/>
                <w:szCs w:val="14"/>
                <w:b w:val="1"/>
                <w:bCs w:val="1"/>
                <w:color w:val="auto"/>
              </w:rPr>
              <w:t>Fiscal Year 2014</w:t>
            </w:r>
          </w:p>
        </w:tc>
        <w:tc>
          <w:tcPr>
            <w:tcW w:w="160" w:type="dxa"/>
            <w:vAlign w:val="bottom"/>
          </w:tcPr>
          <w:p>
            <w:pPr>
              <w:spacing w:after="0"/>
              <w:rPr>
                <w:sz w:val="16"/>
                <w:szCs w:val="16"/>
                <w:color w:val="auto"/>
              </w:rPr>
            </w:pPr>
          </w:p>
        </w:tc>
        <w:tc>
          <w:tcPr>
            <w:tcW w:w="1240" w:type="dxa"/>
            <w:vAlign w:val="bottom"/>
            <w:gridSpan w:val="3"/>
          </w:tcPr>
          <w:p>
            <w:pPr>
              <w:jc w:val="right"/>
              <w:ind w:right="113"/>
              <w:spacing w:after="0"/>
              <w:rPr>
                <w:sz w:val="20"/>
                <w:szCs w:val="20"/>
                <w:color w:val="auto"/>
              </w:rPr>
            </w:pPr>
            <w:r>
              <w:rPr>
                <w:rFonts w:ascii="Arial" w:cs="Arial" w:eastAsia="Arial" w:hAnsi="Arial"/>
                <w:sz w:val="14"/>
                <w:szCs w:val="14"/>
                <w:b w:val="1"/>
                <w:bCs w:val="1"/>
                <w:color w:val="auto"/>
                <w:w w:val="95"/>
              </w:rPr>
              <w:t>Fiscal Year 2013</w:t>
            </w:r>
          </w:p>
        </w:tc>
      </w:tr>
      <w:tr>
        <w:trPr>
          <w:trHeight w:val="270"/>
        </w:trPr>
        <w:tc>
          <w:tcPr>
            <w:tcW w:w="34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Adjusted Net Interest Expense and Cost of Funds</w:t>
            </w:r>
          </w:p>
        </w:tc>
        <w:tc>
          <w:tcPr>
            <w:tcW w:w="100" w:type="dxa"/>
            <w:vAlign w:val="bottom"/>
            <w:tcBorders>
              <w:bottom w:val="single" w:sz="8" w:color="CCEEFF"/>
            </w:tcBorders>
          </w:tcPr>
          <w:p>
            <w:pPr>
              <w:spacing w:after="0"/>
              <w:rPr>
                <w:sz w:val="23"/>
                <w:szCs w:val="23"/>
                <w:color w:val="auto"/>
              </w:rPr>
            </w:pPr>
          </w:p>
        </w:tc>
        <w:tc>
          <w:tcPr>
            <w:tcW w:w="660" w:type="dxa"/>
            <w:vAlign w:val="bottom"/>
            <w:tcBorders>
              <w:top w:val="single" w:sz="8" w:color="auto"/>
              <w:bottom w:val="single" w:sz="8" w:color="auto"/>
            </w:tcBorders>
            <w:gridSpan w:val="2"/>
          </w:tcPr>
          <w:p>
            <w:pPr>
              <w:jc w:val="right"/>
              <w:ind w:right="8"/>
              <w:spacing w:after="0"/>
              <w:rPr>
                <w:sz w:val="20"/>
                <w:szCs w:val="20"/>
                <w:color w:val="auto"/>
              </w:rPr>
            </w:pPr>
            <w:r>
              <w:rPr>
                <w:rFonts w:ascii="Arial" w:cs="Arial" w:eastAsia="Arial" w:hAnsi="Arial"/>
                <w:sz w:val="14"/>
                <w:szCs w:val="14"/>
                <w:b w:val="1"/>
                <w:bCs w:val="1"/>
                <w:color w:val="auto"/>
              </w:rPr>
              <w:t>Amount</w:t>
            </w:r>
          </w:p>
        </w:tc>
        <w:tc>
          <w:tcPr>
            <w:tcW w:w="100" w:type="dxa"/>
            <w:vAlign w:val="bottom"/>
            <w:tcBorders>
              <w:top w:val="single" w:sz="8" w:color="auto"/>
              <w:bottom w:val="single" w:sz="8" w:color="CCEEFF"/>
            </w:tcBorders>
          </w:tcPr>
          <w:p>
            <w:pPr>
              <w:spacing w:after="0"/>
              <w:rPr>
                <w:sz w:val="23"/>
                <w:szCs w:val="23"/>
                <w:color w:val="auto"/>
              </w:rPr>
            </w:pPr>
          </w:p>
        </w:tc>
        <w:tc>
          <w:tcPr>
            <w:tcW w:w="640" w:type="dxa"/>
            <w:vAlign w:val="bottom"/>
            <w:tcBorders>
              <w:top w:val="single" w:sz="8" w:color="auto"/>
              <w:bottom w:val="single" w:sz="8" w:color="auto"/>
            </w:tcBorders>
          </w:tcPr>
          <w:p>
            <w:pPr>
              <w:jc w:val="right"/>
              <w:ind w:right="133"/>
              <w:spacing w:after="0" w:line="269" w:lineRule="exact"/>
              <w:rPr>
                <w:sz w:val="20"/>
                <w:szCs w:val="20"/>
                <w:color w:val="auto"/>
              </w:rPr>
            </w:pPr>
            <w:r>
              <w:rPr>
                <w:rFonts w:ascii="Arial" w:cs="Arial" w:eastAsia="Arial" w:hAnsi="Arial"/>
                <w:sz w:val="28"/>
                <w:szCs w:val="28"/>
                <w:b w:val="1"/>
                <w:bCs w:val="1"/>
                <w:color w:val="auto"/>
                <w:vertAlign w:val="subscript"/>
              </w:rPr>
              <w:t>%</w:t>
            </w:r>
            <w:r>
              <w:rPr>
                <w:rFonts w:ascii="Arial" w:cs="Arial" w:eastAsia="Arial" w:hAnsi="Arial"/>
                <w:sz w:val="9"/>
                <w:szCs w:val="9"/>
                <w:b w:val="1"/>
                <w:bCs w:val="1"/>
                <w:color w:val="auto"/>
              </w:rPr>
              <w:t xml:space="preserve"> 1</w:t>
            </w:r>
          </w:p>
        </w:tc>
        <w:tc>
          <w:tcPr>
            <w:tcW w:w="120" w:type="dxa"/>
            <w:vAlign w:val="bottom"/>
            <w:tcBorders>
              <w:bottom w:val="single" w:sz="8" w:color="CCEEFF"/>
            </w:tcBorders>
          </w:tcPr>
          <w:p>
            <w:pPr>
              <w:spacing w:after="0"/>
              <w:rPr>
                <w:sz w:val="23"/>
                <w:szCs w:val="23"/>
                <w:color w:val="auto"/>
              </w:rPr>
            </w:pPr>
          </w:p>
        </w:tc>
        <w:tc>
          <w:tcPr>
            <w:tcW w:w="64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Amount</w:t>
            </w:r>
          </w:p>
        </w:tc>
        <w:tc>
          <w:tcPr>
            <w:tcW w:w="120" w:type="dxa"/>
            <w:vAlign w:val="bottom"/>
            <w:tcBorders>
              <w:top w:val="single" w:sz="8" w:color="auto"/>
              <w:bottom w:val="single" w:sz="8" w:color="CCEEFF"/>
            </w:tcBorders>
          </w:tcPr>
          <w:p>
            <w:pPr>
              <w:spacing w:after="0"/>
              <w:rPr>
                <w:sz w:val="23"/>
                <w:szCs w:val="23"/>
                <w:color w:val="auto"/>
              </w:rPr>
            </w:pPr>
          </w:p>
        </w:tc>
        <w:tc>
          <w:tcPr>
            <w:tcW w:w="640" w:type="dxa"/>
            <w:vAlign w:val="bottom"/>
            <w:tcBorders>
              <w:top w:val="single" w:sz="8" w:color="auto"/>
              <w:bottom w:val="single" w:sz="8" w:color="auto"/>
            </w:tcBorders>
          </w:tcPr>
          <w:p>
            <w:pPr>
              <w:jc w:val="right"/>
              <w:ind w:right="153"/>
              <w:spacing w:after="0" w:line="269" w:lineRule="exact"/>
              <w:rPr>
                <w:sz w:val="20"/>
                <w:szCs w:val="20"/>
                <w:color w:val="auto"/>
              </w:rPr>
            </w:pPr>
            <w:r>
              <w:rPr>
                <w:rFonts w:ascii="Arial" w:cs="Arial" w:eastAsia="Arial" w:hAnsi="Arial"/>
                <w:sz w:val="28"/>
                <w:szCs w:val="28"/>
                <w:b w:val="1"/>
                <w:bCs w:val="1"/>
                <w:color w:val="auto"/>
                <w:vertAlign w:val="subscript"/>
              </w:rPr>
              <w:t>%</w:t>
            </w:r>
            <w:r>
              <w:rPr>
                <w:rFonts w:ascii="Arial" w:cs="Arial" w:eastAsia="Arial" w:hAnsi="Arial"/>
                <w:sz w:val="9"/>
                <w:szCs w:val="9"/>
                <w:b w:val="1"/>
                <w:bCs w:val="1"/>
                <w:color w:val="auto"/>
              </w:rPr>
              <w:t xml:space="preserve"> 1</w:t>
            </w:r>
          </w:p>
        </w:tc>
      </w:tr>
      <w:tr>
        <w:trPr>
          <w:trHeight w:val="264"/>
        </w:trPr>
        <w:tc>
          <w:tcPr>
            <w:tcW w:w="350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Interest expense:</w:t>
            </w:r>
          </w:p>
        </w:tc>
        <w:tc>
          <w:tcPr>
            <w:tcW w:w="160" w:type="dxa"/>
            <w:vAlign w:val="bottom"/>
            <w:shd w:val="clear" w:color="auto" w:fill="CCEEFF"/>
          </w:tcPr>
          <w:p>
            <w:pPr>
              <w:spacing w:after="0"/>
              <w:rPr>
                <w:sz w:val="22"/>
                <w:szCs w:val="22"/>
                <w:color w:val="auto"/>
              </w:rPr>
            </w:pPr>
          </w:p>
        </w:tc>
        <w:tc>
          <w:tcPr>
            <w:tcW w:w="5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6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4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640" w:type="dxa"/>
            <w:vAlign w:val="bottom"/>
            <w:shd w:val="clear" w:color="auto" w:fill="CCEEFF"/>
          </w:tcPr>
          <w:p>
            <w:pPr>
              <w:spacing w:after="0"/>
              <w:rPr>
                <w:sz w:val="22"/>
                <w:szCs w:val="22"/>
                <w:color w:val="auto"/>
              </w:rPr>
            </w:pPr>
          </w:p>
        </w:tc>
      </w:tr>
      <w:tr>
        <w:trPr>
          <w:trHeight w:val="157"/>
        </w:trPr>
        <w:tc>
          <w:tcPr>
            <w:tcW w:w="3500" w:type="dxa"/>
            <w:vAlign w:val="bottom"/>
            <w:gridSpan w:val="2"/>
          </w:tcPr>
          <w:p>
            <w:pPr>
              <w:ind w:left="360"/>
              <w:spacing w:after="0" w:line="157" w:lineRule="exact"/>
              <w:rPr>
                <w:sz w:val="20"/>
                <w:szCs w:val="20"/>
                <w:color w:val="auto"/>
              </w:rPr>
            </w:pPr>
            <w:r>
              <w:rPr>
                <w:rFonts w:ascii="Arial" w:cs="Arial" w:eastAsia="Arial" w:hAnsi="Arial"/>
                <w:sz w:val="14"/>
                <w:szCs w:val="14"/>
                <w:color w:val="auto"/>
              </w:rPr>
              <w:t>Repurchase agreement and other debt interest</w:t>
            </w:r>
          </w:p>
        </w:tc>
        <w:tc>
          <w:tcPr>
            <w:tcW w:w="1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r>
      <w:tr>
        <w:trPr>
          <w:trHeight w:val="188"/>
        </w:trPr>
        <w:tc>
          <w:tcPr>
            <w:tcW w:w="3500" w:type="dxa"/>
            <w:vAlign w:val="bottom"/>
            <w:gridSpan w:val="2"/>
          </w:tcPr>
          <w:p>
            <w:pPr>
              <w:ind w:left="680"/>
              <w:spacing w:after="0"/>
              <w:rPr>
                <w:sz w:val="20"/>
                <w:szCs w:val="20"/>
                <w:color w:val="auto"/>
              </w:rPr>
            </w:pPr>
            <w:r>
              <w:rPr>
                <w:rFonts w:ascii="Arial" w:cs="Arial" w:eastAsia="Arial" w:hAnsi="Arial"/>
                <w:sz w:val="14"/>
                <w:szCs w:val="14"/>
                <w:color w:val="auto"/>
              </w:rPr>
              <w:t>expense</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500" w:type="dxa"/>
            <w:vAlign w:val="bottom"/>
          </w:tcPr>
          <w:p>
            <w:pPr>
              <w:jc w:val="right"/>
              <w:spacing w:after="0"/>
              <w:rPr>
                <w:sz w:val="20"/>
                <w:szCs w:val="20"/>
                <w:color w:val="auto"/>
              </w:rPr>
            </w:pPr>
            <w:r>
              <w:rPr>
                <w:rFonts w:ascii="Arial" w:cs="Arial" w:eastAsia="Arial" w:hAnsi="Arial"/>
                <w:sz w:val="14"/>
                <w:szCs w:val="14"/>
                <w:color w:val="auto"/>
              </w:rPr>
              <w:t>216</w:t>
            </w:r>
          </w:p>
        </w:tc>
        <w:tc>
          <w:tcPr>
            <w:tcW w:w="10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0.43%</w:t>
            </w:r>
          </w:p>
        </w:tc>
        <w:tc>
          <w:tcPr>
            <w:tcW w:w="120" w:type="dxa"/>
            <w:vAlign w:val="bottom"/>
          </w:tcPr>
          <w:p>
            <w:pPr>
              <w:spacing w:after="0"/>
              <w:rPr>
                <w:sz w:val="16"/>
                <w:szCs w:val="16"/>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480" w:type="dxa"/>
            <w:vAlign w:val="bottom"/>
          </w:tcPr>
          <w:p>
            <w:pPr>
              <w:jc w:val="right"/>
              <w:spacing w:after="0"/>
              <w:rPr>
                <w:sz w:val="20"/>
                <w:szCs w:val="20"/>
                <w:color w:val="auto"/>
              </w:rPr>
            </w:pPr>
            <w:r>
              <w:rPr>
                <w:rFonts w:ascii="Arial" w:cs="Arial" w:eastAsia="Arial" w:hAnsi="Arial"/>
                <w:sz w:val="14"/>
                <w:szCs w:val="14"/>
                <w:color w:val="auto"/>
              </w:rPr>
              <w:t>347</w:t>
            </w:r>
          </w:p>
        </w:tc>
        <w:tc>
          <w:tcPr>
            <w:tcW w:w="12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0.48%</w:t>
            </w:r>
          </w:p>
        </w:tc>
      </w:tr>
      <w:tr>
        <w:trPr>
          <w:trHeight w:val="163"/>
        </w:trPr>
        <w:tc>
          <w:tcPr>
            <w:tcW w:w="3500" w:type="dxa"/>
            <w:vAlign w:val="bottom"/>
            <w:gridSpan w:val="2"/>
            <w:shd w:val="clear" w:color="auto" w:fill="CCEEFF"/>
          </w:tcPr>
          <w:p>
            <w:pPr>
              <w:ind w:left="360"/>
              <w:spacing w:after="0"/>
              <w:rPr>
                <w:sz w:val="20"/>
                <w:szCs w:val="20"/>
                <w:color w:val="auto"/>
              </w:rPr>
            </w:pPr>
            <w:r>
              <w:rPr>
                <w:rFonts w:ascii="Arial" w:cs="Arial" w:eastAsia="Arial" w:hAnsi="Arial"/>
                <w:sz w:val="14"/>
                <w:szCs w:val="14"/>
                <w:color w:val="auto"/>
              </w:rPr>
              <w:t>Periodic interest costs of interest rate swaps</w:t>
            </w:r>
          </w:p>
        </w:tc>
        <w:tc>
          <w:tcPr>
            <w:tcW w:w="16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r>
      <w:tr>
        <w:trPr>
          <w:trHeight w:val="149"/>
        </w:trPr>
        <w:tc>
          <w:tcPr>
            <w:tcW w:w="3500" w:type="dxa"/>
            <w:vAlign w:val="bottom"/>
            <w:gridSpan w:val="2"/>
            <w:shd w:val="clear" w:color="auto" w:fill="CCEEFF"/>
          </w:tcPr>
          <w:p>
            <w:pPr>
              <w:ind w:left="520"/>
              <w:spacing w:after="0" w:line="149" w:lineRule="exact"/>
              <w:rPr>
                <w:sz w:val="20"/>
                <w:szCs w:val="20"/>
                <w:color w:val="auto"/>
              </w:rPr>
            </w:pPr>
            <w:r>
              <w:rPr>
                <w:rFonts w:ascii="Arial" w:cs="Arial" w:eastAsia="Arial" w:hAnsi="Arial"/>
                <w:sz w:val="14"/>
                <w:szCs w:val="14"/>
                <w:color w:val="auto"/>
              </w:rPr>
              <w:t>previously designated as hedges under GAAP,</w:t>
            </w:r>
          </w:p>
        </w:tc>
        <w:tc>
          <w:tcPr>
            <w:tcW w:w="16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r>
      <w:tr>
        <w:trPr>
          <w:trHeight w:val="194"/>
        </w:trPr>
        <w:tc>
          <w:tcPr>
            <w:tcW w:w="3500" w:type="dxa"/>
            <w:vAlign w:val="bottom"/>
            <w:gridSpan w:val="2"/>
            <w:shd w:val="clear" w:color="auto" w:fill="CCEEFF"/>
          </w:tcPr>
          <w:p>
            <w:pPr>
              <w:ind w:left="520"/>
              <w:spacing w:after="0"/>
              <w:rPr>
                <w:sz w:val="20"/>
                <w:szCs w:val="20"/>
                <w:color w:val="auto"/>
              </w:rPr>
            </w:pPr>
            <w:r>
              <w:rPr>
                <w:rFonts w:ascii="Arial" w:cs="Arial" w:eastAsia="Arial" w:hAnsi="Arial"/>
                <w:sz w:val="14"/>
                <w:szCs w:val="14"/>
                <w:color w:val="auto"/>
              </w:rPr>
              <w:t>net</w:t>
            </w:r>
          </w:p>
        </w:tc>
        <w:tc>
          <w:tcPr>
            <w:tcW w:w="160" w:type="dxa"/>
            <w:vAlign w:val="bottom"/>
            <w:tcBorders>
              <w:bottom w:val="single" w:sz="8" w:color="auto"/>
            </w:tcBorders>
            <w:shd w:val="clear" w:color="auto" w:fill="CCEEFF"/>
          </w:tcPr>
          <w:p>
            <w:pPr>
              <w:spacing w:after="0"/>
              <w:rPr>
                <w:sz w:val="16"/>
                <w:szCs w:val="16"/>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156</w:t>
            </w:r>
          </w:p>
        </w:tc>
        <w:tc>
          <w:tcPr>
            <w:tcW w:w="100" w:type="dxa"/>
            <w:vAlign w:val="bottom"/>
            <w:shd w:val="clear" w:color="auto" w:fill="CCEEFF"/>
          </w:tcPr>
          <w:p>
            <w:pPr>
              <w:spacing w:after="0"/>
              <w:rPr>
                <w:sz w:val="16"/>
                <w:szCs w:val="16"/>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0.31%</w:t>
            </w:r>
          </w:p>
        </w:tc>
        <w:tc>
          <w:tcPr>
            <w:tcW w:w="120" w:type="dxa"/>
            <w:vAlign w:val="bottom"/>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189</w:t>
            </w:r>
          </w:p>
        </w:tc>
        <w:tc>
          <w:tcPr>
            <w:tcW w:w="120" w:type="dxa"/>
            <w:vAlign w:val="bottom"/>
            <w:shd w:val="clear" w:color="auto" w:fill="CCEEFF"/>
          </w:tcPr>
          <w:p>
            <w:pPr>
              <w:spacing w:after="0"/>
              <w:rPr>
                <w:sz w:val="16"/>
                <w:szCs w:val="16"/>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0.26%</w:t>
            </w:r>
          </w:p>
        </w:tc>
      </w:tr>
      <w:tr>
        <w:trPr>
          <w:trHeight w:val="244"/>
        </w:trPr>
        <w:tc>
          <w:tcPr>
            <w:tcW w:w="3500" w:type="dxa"/>
            <w:vAlign w:val="bottom"/>
            <w:gridSpan w:val="2"/>
          </w:tcPr>
          <w:p>
            <w:pPr>
              <w:ind w:left="40"/>
              <w:spacing w:after="0"/>
              <w:rPr>
                <w:sz w:val="20"/>
                <w:szCs w:val="20"/>
                <w:color w:val="auto"/>
              </w:rPr>
            </w:pPr>
            <w:r>
              <w:rPr>
                <w:rFonts w:ascii="Arial" w:cs="Arial" w:eastAsia="Arial" w:hAnsi="Arial"/>
                <w:sz w:val="14"/>
                <w:szCs w:val="14"/>
                <w:b w:val="1"/>
                <w:bCs w:val="1"/>
                <w:color w:val="auto"/>
              </w:rPr>
              <w:t>Total interest expense</w:t>
            </w:r>
          </w:p>
        </w:tc>
        <w:tc>
          <w:tcPr>
            <w:tcW w:w="160" w:type="dxa"/>
            <w:vAlign w:val="bottom"/>
          </w:tcPr>
          <w:p>
            <w:pPr>
              <w:spacing w:after="0"/>
              <w:rPr>
                <w:sz w:val="21"/>
                <w:szCs w:val="21"/>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372</w:t>
            </w:r>
          </w:p>
        </w:tc>
        <w:tc>
          <w:tcPr>
            <w:tcW w:w="100" w:type="dxa"/>
            <w:vAlign w:val="bottom"/>
          </w:tcPr>
          <w:p>
            <w:pPr>
              <w:spacing w:after="0"/>
              <w:rPr>
                <w:sz w:val="21"/>
                <w:szCs w:val="21"/>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0.74%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536</w:t>
            </w:r>
          </w:p>
        </w:tc>
        <w:tc>
          <w:tcPr>
            <w:tcW w:w="120" w:type="dxa"/>
            <w:vAlign w:val="bottom"/>
          </w:tcPr>
          <w:p>
            <w:pPr>
              <w:spacing w:after="0"/>
              <w:rPr>
                <w:sz w:val="21"/>
                <w:szCs w:val="21"/>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0.74%</w:t>
            </w:r>
          </w:p>
        </w:tc>
      </w:tr>
      <w:tr>
        <w:trPr>
          <w:trHeight w:val="270"/>
        </w:trPr>
        <w:tc>
          <w:tcPr>
            <w:tcW w:w="350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w w:val="96"/>
              </w:rPr>
              <w:t>Other periodic interest costs of interest rate swaps, net</w:t>
            </w:r>
          </w:p>
        </w:tc>
        <w:tc>
          <w:tcPr>
            <w:tcW w:w="160" w:type="dxa"/>
            <w:vAlign w:val="bottom"/>
            <w:tcBorders>
              <w:bottom w:val="single" w:sz="8" w:color="auto"/>
            </w:tcBorders>
            <w:shd w:val="clear" w:color="auto" w:fill="CCEEFF"/>
          </w:tcPr>
          <w:p>
            <w:pPr>
              <w:spacing w:after="0"/>
              <w:rPr>
                <w:sz w:val="23"/>
                <w:szCs w:val="23"/>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330</w:t>
            </w:r>
          </w:p>
        </w:tc>
        <w:tc>
          <w:tcPr>
            <w:tcW w:w="100" w:type="dxa"/>
            <w:vAlign w:val="bottom"/>
            <w:shd w:val="clear" w:color="auto" w:fill="CCEEFF"/>
          </w:tcPr>
          <w:p>
            <w:pPr>
              <w:spacing w:after="0"/>
              <w:rPr>
                <w:sz w:val="23"/>
                <w:szCs w:val="23"/>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0.66%</w:t>
            </w: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424</w:t>
            </w:r>
          </w:p>
        </w:tc>
        <w:tc>
          <w:tcPr>
            <w:tcW w:w="120" w:type="dxa"/>
            <w:vAlign w:val="bottom"/>
            <w:shd w:val="clear" w:color="auto" w:fill="CCEEFF"/>
          </w:tcPr>
          <w:p>
            <w:pPr>
              <w:spacing w:after="0"/>
              <w:rPr>
                <w:sz w:val="23"/>
                <w:szCs w:val="23"/>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0.60%</w:t>
            </w:r>
          </w:p>
        </w:tc>
      </w:tr>
      <w:tr>
        <w:trPr>
          <w:trHeight w:val="243"/>
        </w:trPr>
        <w:tc>
          <w:tcPr>
            <w:tcW w:w="3500" w:type="dxa"/>
            <w:vAlign w:val="bottom"/>
            <w:gridSpan w:val="2"/>
          </w:tcPr>
          <w:p>
            <w:pPr>
              <w:ind w:left="40"/>
              <w:spacing w:after="0"/>
              <w:rPr>
                <w:sz w:val="20"/>
                <w:szCs w:val="20"/>
                <w:color w:val="auto"/>
              </w:rPr>
            </w:pPr>
            <w:r>
              <w:rPr>
                <w:rFonts w:ascii="Arial" w:cs="Arial" w:eastAsia="Arial" w:hAnsi="Arial"/>
                <w:sz w:val="14"/>
                <w:szCs w:val="14"/>
                <w:b w:val="1"/>
                <w:bCs w:val="1"/>
                <w:color w:val="auto"/>
                <w:w w:val="96"/>
              </w:rPr>
              <w:t>Total adjusted net interest expense and cost of funds</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702</w:t>
            </w:r>
          </w:p>
        </w:tc>
        <w:tc>
          <w:tcPr>
            <w:tcW w:w="100" w:type="dxa"/>
            <w:vAlign w:val="bottom"/>
          </w:tcPr>
          <w:p>
            <w:pPr>
              <w:spacing w:after="0"/>
              <w:rPr>
                <w:sz w:val="21"/>
                <w:szCs w:val="21"/>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1.40%</w:t>
            </w:r>
          </w:p>
        </w:tc>
        <w:tc>
          <w:tcPr>
            <w:tcW w:w="120" w:type="dxa"/>
            <w:vAlign w:val="bottom"/>
          </w:tcPr>
          <w:p>
            <w:pPr>
              <w:spacing w:after="0"/>
              <w:rPr>
                <w:sz w:val="21"/>
                <w:szCs w:val="21"/>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960</w:t>
            </w:r>
          </w:p>
        </w:tc>
        <w:tc>
          <w:tcPr>
            <w:tcW w:w="120" w:type="dxa"/>
            <w:vAlign w:val="bottom"/>
          </w:tcPr>
          <w:p>
            <w:pPr>
              <w:spacing w:after="0"/>
              <w:rPr>
                <w:sz w:val="21"/>
                <w:szCs w:val="21"/>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1.34%</w:t>
            </w:r>
          </w:p>
        </w:tc>
      </w:tr>
      <w:tr>
        <w:trPr>
          <w:trHeight w:val="20"/>
        </w:trPr>
        <w:tc>
          <w:tcPr>
            <w:tcW w:w="3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r>
    </w:tbl>
    <w:p>
      <w:pPr>
        <w:spacing w:after="0" w:line="22" w:lineRule="exact"/>
        <w:rPr>
          <w:sz w:val="20"/>
          <w:szCs w:val="20"/>
          <w:color w:val="auto"/>
        </w:rPr>
      </w:pPr>
    </w:p>
    <w:p>
      <w:pPr>
        <w:ind w:left="60"/>
        <w:spacing w:after="0"/>
        <w:rPr>
          <w:sz w:val="20"/>
          <w:szCs w:val="20"/>
          <w:color w:val="auto"/>
        </w:rPr>
      </w:pPr>
      <w:r>
        <w:rPr>
          <w:rFonts w:ascii="Arial" w:cs="Arial" w:eastAsia="Arial" w:hAnsi="Arial"/>
          <w:sz w:val="14"/>
          <w:szCs w:val="14"/>
          <w:color w:val="auto"/>
        </w:rPr>
        <w:t>_______________________</w:t>
      </w:r>
    </w:p>
    <w:p>
      <w:pPr>
        <w:spacing w:after="0" w:line="28" w:lineRule="exact"/>
        <w:rPr>
          <w:sz w:val="20"/>
          <w:szCs w:val="20"/>
          <w:color w:val="auto"/>
        </w:rPr>
      </w:pPr>
    </w:p>
    <w:p>
      <w:pPr>
        <w:ind w:left="660" w:hanging="328"/>
        <w:spacing w:after="0"/>
        <w:tabs>
          <w:tab w:leader="none" w:pos="660" w:val="left"/>
        </w:tabs>
        <w:numPr>
          <w:ilvl w:val="0"/>
          <w:numId w:val="38"/>
        </w:numPr>
        <w:rPr>
          <w:rFonts w:ascii="Arial" w:cs="Arial" w:eastAsia="Arial" w:hAnsi="Arial"/>
          <w:sz w:val="14"/>
          <w:szCs w:val="14"/>
          <w:color w:val="auto"/>
        </w:rPr>
      </w:pPr>
      <w:r>
        <w:rPr>
          <w:rFonts w:ascii="Arial" w:cs="Arial" w:eastAsia="Arial" w:hAnsi="Arial"/>
          <w:sz w:val="14"/>
          <w:szCs w:val="14"/>
          <w:color w:val="auto"/>
        </w:rPr>
        <w:t>Percent of our average repurchase agreements and other debt outstanding for the period annualized.</w:t>
      </w:r>
    </w:p>
    <w:p>
      <w:pPr>
        <w:spacing w:after="0" w:line="200" w:lineRule="exact"/>
        <w:rPr>
          <w:sz w:val="20"/>
          <w:szCs w:val="20"/>
          <w:color w:val="auto"/>
        </w:rPr>
      </w:pP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420"/>
          </w:cols>
          <w:pgMar w:left="240" w:top="746" w:right="239" w:bottom="1440" w:gutter="0" w:footer="0" w:header="0"/>
        </w:sectPr>
      </w:pPr>
    </w:p>
    <w:bookmarkStart w:id="59" w:name="page60"/>
    <w:bookmarkEnd w:id="59"/>
    <w:p>
      <w:pPr>
        <w:ind w:firstLine="432"/>
        <w:spacing w:after="0" w:line="277" w:lineRule="auto"/>
        <w:rPr>
          <w:sz w:val="20"/>
          <w:szCs w:val="20"/>
          <w:color w:val="auto"/>
        </w:rPr>
      </w:pPr>
      <w:r>
        <w:rPr>
          <w:rFonts w:ascii="Arial" w:cs="Arial" w:eastAsia="Arial" w:hAnsi="Arial"/>
          <w:sz w:val="18"/>
          <w:szCs w:val="18"/>
          <w:color w:val="auto"/>
        </w:rPr>
        <w:t>The following is a summary of the estimated impact of the principal elements impacting our adjusted net interest expense on changes in our adjusted net interest expense for from fiscal year 2013 to 2014 (in millions):</w:t>
      </w: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Impact of Changes in the Principal Elements of Adjusted Net Interest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176530</wp:posOffset>
            </wp:positionH>
            <wp:positionV relativeFrom="paragraph">
              <wp:posOffset>23495</wp:posOffset>
            </wp:positionV>
            <wp:extent cx="690372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903720" cy="8890"/>
                    </a:xfrm>
                    <a:prstGeom prst="rect">
                      <a:avLst/>
                    </a:prstGeom>
                    <a:noFill/>
                  </pic:spPr>
                </pic:pic>
              </a:graphicData>
            </a:graphic>
          </wp:anchor>
        </w:drawing>
      </w:r>
    </w:p>
    <w:p>
      <w:pPr>
        <w:spacing w:after="0" w:line="3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Fiscal Year 2014 vs. 2013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176530</wp:posOffset>
            </wp:positionH>
            <wp:positionV relativeFrom="paragraph">
              <wp:posOffset>23495</wp:posOffset>
            </wp:positionV>
            <wp:extent cx="690372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903720" cy="8890"/>
                    </a:xfrm>
                    <a:prstGeom prst="rect">
                      <a:avLst/>
                    </a:prstGeom>
                    <a:noFill/>
                  </pic:spPr>
                </pic:pic>
              </a:graphicData>
            </a:graphic>
          </wp:anchor>
        </w:drawing>
      </w:r>
    </w:p>
    <w:p>
      <w:pPr>
        <w:spacing w:after="0" w:line="103" w:lineRule="exact"/>
        <w:rPr>
          <w:sz w:val="20"/>
          <w:szCs w:val="20"/>
          <w:color w:val="auto"/>
        </w:rPr>
      </w:pPr>
    </w:p>
    <w:tbl>
      <w:tblPr>
        <w:tblLayout w:type="fixed"/>
        <w:tblInd w:w="280" w:type="dxa"/>
        <w:tblCellMar>
          <w:top w:w="0" w:type="dxa"/>
          <w:left w:w="0" w:type="dxa"/>
          <w:bottom w:w="0" w:type="dxa"/>
          <w:right w:w="0" w:type="dxa"/>
        </w:tblCellMar>
      </w:tblPr>
      <w:tr>
        <w:trPr>
          <w:trHeight w:val="192"/>
        </w:trPr>
        <w:tc>
          <w:tcPr>
            <w:tcW w:w="654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460" w:type="dxa"/>
            <w:vAlign w:val="bottom"/>
            <w:tcBorders>
              <w:bottom w:val="single" w:sz="8" w:color="auto"/>
            </w:tcBorders>
            <w:gridSpan w:val="4"/>
          </w:tcPr>
          <w:p>
            <w:pPr>
              <w:jc w:val="right"/>
              <w:ind w:right="468"/>
              <w:spacing w:after="0"/>
              <w:rPr>
                <w:sz w:val="20"/>
                <w:szCs w:val="20"/>
                <w:color w:val="auto"/>
              </w:rPr>
            </w:pPr>
            <w:r>
              <w:rPr>
                <w:rFonts w:ascii="Arial" w:cs="Arial" w:eastAsia="Arial" w:hAnsi="Arial"/>
                <w:sz w:val="14"/>
                <w:szCs w:val="14"/>
                <w:b w:val="1"/>
                <w:bCs w:val="1"/>
                <w:color w:val="auto"/>
              </w:rPr>
              <w:t xml:space="preserve">Due to Change in Average </w:t>
            </w:r>
            <w:r>
              <w:rPr>
                <w:rFonts w:ascii="Arial" w:cs="Arial" w:eastAsia="Arial" w:hAnsi="Arial"/>
                <w:sz w:val="8"/>
                <w:szCs w:val="8"/>
                <w:b w:val="1"/>
                <w:bCs w:val="1"/>
                <w:color w:val="auto"/>
              </w:rPr>
              <w:t>1</w:t>
            </w:r>
          </w:p>
        </w:tc>
      </w:tr>
      <w:tr>
        <w:trPr>
          <w:trHeight w:val="264"/>
        </w:trPr>
        <w:tc>
          <w:tcPr>
            <w:tcW w:w="654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4"/>
                <w:szCs w:val="14"/>
                <w:b w:val="1"/>
                <w:bCs w:val="1"/>
                <w:color w:val="auto"/>
              </w:rPr>
              <w:t>Decrease</w:t>
            </w:r>
          </w:p>
        </w:tc>
        <w:tc>
          <w:tcPr>
            <w:tcW w:w="4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520" w:type="dxa"/>
            <w:vAlign w:val="bottom"/>
            <w:gridSpan w:val="3"/>
          </w:tcPr>
          <w:p>
            <w:pPr>
              <w:jc w:val="right"/>
              <w:ind w:right="180"/>
              <w:spacing w:after="0"/>
              <w:rPr>
                <w:sz w:val="20"/>
                <w:szCs w:val="20"/>
                <w:color w:val="auto"/>
              </w:rPr>
            </w:pPr>
            <w:r>
              <w:rPr>
                <w:rFonts w:ascii="Arial" w:cs="Arial" w:eastAsia="Arial" w:hAnsi="Arial"/>
                <w:sz w:val="14"/>
                <w:szCs w:val="14"/>
                <w:b w:val="1"/>
                <w:bCs w:val="1"/>
                <w:color w:val="auto"/>
                <w:w w:val="93"/>
              </w:rPr>
              <w:t>Repo / Swap Balance</w:t>
            </w:r>
          </w:p>
        </w:tc>
        <w:tc>
          <w:tcPr>
            <w:tcW w:w="100" w:type="dxa"/>
            <w:vAlign w:val="bottom"/>
          </w:tcPr>
          <w:p>
            <w:pPr>
              <w:spacing w:after="0"/>
              <w:rPr>
                <w:sz w:val="22"/>
                <w:szCs w:val="22"/>
                <w:color w:val="auto"/>
              </w:rPr>
            </w:pPr>
          </w:p>
        </w:tc>
        <w:tc>
          <w:tcPr>
            <w:tcW w:w="1180" w:type="dxa"/>
            <w:vAlign w:val="bottom"/>
          </w:tcPr>
          <w:p>
            <w:pPr>
              <w:jc w:val="right"/>
              <w:ind w:right="28"/>
              <w:spacing w:after="0"/>
              <w:rPr>
                <w:sz w:val="20"/>
                <w:szCs w:val="20"/>
                <w:color w:val="auto"/>
              </w:rPr>
            </w:pPr>
            <w:r>
              <w:rPr>
                <w:rFonts w:ascii="Arial" w:cs="Arial" w:eastAsia="Arial" w:hAnsi="Arial"/>
                <w:sz w:val="14"/>
                <w:szCs w:val="14"/>
                <w:b w:val="1"/>
                <w:bCs w:val="1"/>
                <w:color w:val="auto"/>
                <w:w w:val="90"/>
              </w:rPr>
              <w:t>Repo / Swap Rate</w:t>
            </w:r>
          </w:p>
        </w:tc>
      </w:tr>
      <w:tr>
        <w:trPr>
          <w:trHeight w:val="256"/>
        </w:trPr>
        <w:tc>
          <w:tcPr>
            <w:tcW w:w="65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Repurchase agreements and other debt expense</w:t>
            </w:r>
          </w:p>
        </w:tc>
        <w:tc>
          <w:tcPr>
            <w:tcW w:w="1000" w:type="dxa"/>
            <w:vAlign w:val="bottom"/>
            <w:tcBorders>
              <w:top w:val="single" w:sz="8" w:color="auto"/>
            </w:tcBorders>
            <w:shd w:val="clear" w:color="auto" w:fill="CCEEFF"/>
          </w:tcPr>
          <w:p>
            <w:pPr>
              <w:jc w:val="right"/>
              <w:ind w:right="828"/>
              <w:spacing w:after="0"/>
              <w:rPr>
                <w:sz w:val="20"/>
                <w:szCs w:val="20"/>
                <w:color w:val="auto"/>
              </w:rPr>
            </w:pPr>
            <w:r>
              <w:rPr>
                <w:rFonts w:ascii="Arial" w:cs="Arial" w:eastAsia="Arial" w:hAnsi="Arial"/>
                <w:sz w:val="14"/>
                <w:szCs w:val="14"/>
                <w:color w:val="auto"/>
              </w:rPr>
              <w:t>$</w:t>
            </w:r>
          </w:p>
        </w:tc>
        <w:tc>
          <w:tcPr>
            <w:tcW w:w="4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(131)</w:t>
            </w:r>
          </w:p>
        </w:tc>
        <w:tc>
          <w:tcPr>
            <w:tcW w:w="100" w:type="dxa"/>
            <w:vAlign w:val="bottom"/>
            <w:tcBorders>
              <w:top w:val="single" w:sz="8" w:color="CCEEFF"/>
            </w:tcBorders>
            <w:shd w:val="clear" w:color="auto" w:fill="CCEEFF"/>
          </w:tcPr>
          <w:p>
            <w:pPr>
              <w:spacing w:after="0"/>
              <w:rPr>
                <w:sz w:val="22"/>
                <w:szCs w:val="22"/>
                <w:color w:val="auto"/>
              </w:rPr>
            </w:pPr>
          </w:p>
        </w:tc>
        <w:tc>
          <w:tcPr>
            <w:tcW w:w="340" w:type="dxa"/>
            <w:vAlign w:val="bottom"/>
            <w:tcBorders>
              <w:top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(105)</w:t>
            </w:r>
          </w:p>
        </w:tc>
        <w:tc>
          <w:tcPr>
            <w:tcW w:w="1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w:t>
            </w:r>
          </w:p>
        </w:tc>
      </w:tr>
      <w:tr>
        <w:trPr>
          <w:trHeight w:val="264"/>
        </w:trPr>
        <w:tc>
          <w:tcPr>
            <w:tcW w:w="654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 xml:space="preserve">Periodic interest rate swap costs </w:t>
            </w:r>
            <w:r>
              <w:rPr>
                <w:rFonts w:ascii="Arial" w:cs="Arial" w:eastAsia="Arial" w:hAnsi="Arial"/>
                <w:sz w:val="8"/>
                <w:szCs w:val="8"/>
                <w:color w:val="auto"/>
              </w:rPr>
              <w:t>2</w:t>
            </w:r>
          </w:p>
        </w:tc>
        <w:tc>
          <w:tcPr>
            <w:tcW w:w="100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(127)</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(170)</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43</w:t>
            </w:r>
          </w:p>
        </w:tc>
      </w:tr>
      <w:tr>
        <w:trPr>
          <w:trHeight w:val="243"/>
        </w:trPr>
        <w:tc>
          <w:tcPr>
            <w:tcW w:w="6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 change in adjusted net interest expense</w:t>
            </w:r>
          </w:p>
        </w:tc>
        <w:tc>
          <w:tcPr>
            <w:tcW w:w="1000" w:type="dxa"/>
            <w:vAlign w:val="bottom"/>
            <w:tcBorders>
              <w:bottom w:val="single" w:sz="8" w:color="auto"/>
            </w:tcBorders>
            <w:shd w:val="clear" w:color="auto" w:fill="CCEEFF"/>
          </w:tcPr>
          <w:p>
            <w:pPr>
              <w:jc w:val="right"/>
              <w:ind w:right="828"/>
              <w:spacing w:after="0"/>
              <w:rPr>
                <w:sz w:val="20"/>
                <w:szCs w:val="20"/>
                <w:color w:val="auto"/>
              </w:rPr>
            </w:pPr>
            <w:r>
              <w:rPr>
                <w:rFonts w:ascii="Arial" w:cs="Arial" w:eastAsia="Arial" w:hAnsi="Arial"/>
                <w:sz w:val="14"/>
                <w:szCs w:val="14"/>
                <w:color w:val="auto"/>
              </w:rPr>
              <w:t>$</w:t>
            </w: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(258)</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(275)</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17</w:t>
            </w:r>
          </w:p>
        </w:tc>
      </w:tr>
      <w:tr>
        <w:trPr>
          <w:trHeight w:val="20"/>
        </w:trPr>
        <w:tc>
          <w:tcPr>
            <w:tcW w:w="654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r>
    </w:tbl>
    <w:p>
      <w:pPr>
        <w:spacing w:after="0"/>
        <w:rPr>
          <w:sz w:val="20"/>
          <w:szCs w:val="20"/>
          <w:color w:val="auto"/>
        </w:rPr>
      </w:pPr>
      <w:r>
        <w:rPr>
          <w:rFonts w:ascii="Arial" w:cs="Arial" w:eastAsia="Arial" w:hAnsi="Arial"/>
          <w:sz w:val="18"/>
          <w:szCs w:val="18"/>
          <w:color w:val="auto"/>
        </w:rPr>
        <w:t>_______________________</w:t>
      </w:r>
    </w:p>
    <w:p>
      <w:pPr>
        <w:spacing w:after="0" w:line="2" w:lineRule="exact"/>
        <w:rPr>
          <w:sz w:val="20"/>
          <w:szCs w:val="20"/>
          <w:color w:val="auto"/>
        </w:rPr>
      </w:pPr>
    </w:p>
    <w:p>
      <w:pPr>
        <w:ind w:left="660" w:hanging="328"/>
        <w:spacing w:after="0" w:line="241" w:lineRule="auto"/>
        <w:tabs>
          <w:tab w:leader="none" w:pos="660" w:val="left"/>
        </w:tabs>
        <w:numPr>
          <w:ilvl w:val="0"/>
          <w:numId w:val="39"/>
        </w:numPr>
        <w:rPr>
          <w:rFonts w:ascii="Arial" w:cs="Arial" w:eastAsia="Arial" w:hAnsi="Arial"/>
          <w:sz w:val="14"/>
          <w:szCs w:val="14"/>
          <w:color w:val="auto"/>
        </w:rPr>
      </w:pPr>
      <w:r>
        <w:rPr>
          <w:rFonts w:ascii="Arial" w:cs="Arial" w:eastAsia="Arial" w:hAnsi="Arial"/>
          <w:sz w:val="14"/>
          <w:szCs w:val="14"/>
          <w:color w:val="auto"/>
        </w:rPr>
        <w:t>Variances that are the combined effect of changes in our repurchase agreement/interest rate swap balance and changes in repurchase agreement/swap interest rates, but cannot be separately identified, are allocated to each variance based on their respective relative amounts.</w:t>
      </w:r>
    </w:p>
    <w:p>
      <w:pPr>
        <w:ind w:left="660" w:hanging="328"/>
        <w:spacing w:after="0" w:line="255" w:lineRule="auto"/>
        <w:tabs>
          <w:tab w:leader="none" w:pos="660" w:val="left"/>
        </w:tabs>
        <w:numPr>
          <w:ilvl w:val="0"/>
          <w:numId w:val="39"/>
        </w:numPr>
        <w:rPr>
          <w:rFonts w:ascii="Arial" w:cs="Arial" w:eastAsia="Arial" w:hAnsi="Arial"/>
          <w:sz w:val="14"/>
          <w:szCs w:val="14"/>
          <w:color w:val="auto"/>
        </w:rPr>
      </w:pPr>
      <w:r>
        <w:rPr>
          <w:rFonts w:ascii="Arial" w:cs="Arial" w:eastAsia="Arial" w:hAnsi="Arial"/>
          <w:sz w:val="14"/>
          <w:szCs w:val="14"/>
          <w:color w:val="auto"/>
        </w:rPr>
        <w:t>Includes amounts recognized in interest expense and in gain (loss) on derivative instruments and other securities, net in our consolidated statements of comprehensive income. The change due to interest rate reflects the net impact of the change in the weighted average fixed pay and variable receive rates.</w:t>
      </w:r>
    </w:p>
    <w:p>
      <w:pPr>
        <w:spacing w:after="0" w:line="190" w:lineRule="exact"/>
        <w:rPr>
          <w:sz w:val="20"/>
          <w:szCs w:val="20"/>
          <w:color w:val="auto"/>
        </w:rPr>
      </w:pPr>
    </w:p>
    <w:p>
      <w:pPr>
        <w:jc w:val="both"/>
        <w:ind w:firstLine="486"/>
        <w:spacing w:after="0" w:line="276" w:lineRule="auto"/>
        <w:rPr>
          <w:sz w:val="20"/>
          <w:szCs w:val="20"/>
          <w:color w:val="auto"/>
        </w:rPr>
      </w:pPr>
      <w:r>
        <w:rPr>
          <w:rFonts w:ascii="Arial" w:cs="Arial" w:eastAsia="Arial" w:hAnsi="Arial"/>
          <w:sz w:val="17"/>
          <w:szCs w:val="17"/>
          <w:color w:val="auto"/>
        </w:rPr>
        <w:t>The decline in our adjusted net interest expense was primarily a function of a smaller average swap portfolio in effect during 2014, due to a larger number of forward starting swaps held during the year, and a function of a decline in our average repo and other debt outstanding, due to a smaller agency MBS portfolio and shift towards TBA dollar roll funded assets during the year. Our cost of funds also benefited from a decline in our average repo rate of 5 bps during the year, which was more than offset by an increase in the average fixed rate we pay on our interest rate swaps. The table below presents a summary of our average repo outstanding and interest rates swaps in effect for fiscal years 2014 and 2013 (dollars in millions):</w:t>
      </w:r>
    </w:p>
    <w:p>
      <w:pPr>
        <w:spacing w:after="0" w:line="340" w:lineRule="exact"/>
        <w:rPr>
          <w:sz w:val="20"/>
          <w:szCs w:val="20"/>
          <w:color w:val="auto"/>
        </w:rPr>
      </w:pPr>
    </w:p>
    <w:tbl>
      <w:tblPr>
        <w:tblLayout w:type="fixed"/>
        <w:tblInd w:w="1000" w:type="dxa"/>
        <w:tblCellMar>
          <w:top w:w="0" w:type="dxa"/>
          <w:left w:w="0" w:type="dxa"/>
          <w:bottom w:w="0" w:type="dxa"/>
          <w:right w:w="0" w:type="dxa"/>
        </w:tblCellMar>
      </w:tblPr>
      <w:tr>
        <w:trPr>
          <w:trHeight w:val="192"/>
        </w:trPr>
        <w:tc>
          <w:tcPr>
            <w:tcW w:w="74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Fiscal Year</w:t>
            </w:r>
          </w:p>
        </w:tc>
        <w:tc>
          <w:tcPr>
            <w:tcW w:w="600" w:type="dxa"/>
            <w:vAlign w:val="bottom"/>
            <w:tcBorders>
              <w:bottom w:val="single" w:sz="8" w:color="auto"/>
            </w:tcBorders>
          </w:tcPr>
          <w:p>
            <w:pPr>
              <w:spacing w:after="0"/>
              <w:rPr>
                <w:sz w:val="16"/>
                <w:szCs w:val="16"/>
                <w:color w:val="auto"/>
              </w:rPr>
            </w:pPr>
          </w:p>
        </w:tc>
      </w:tr>
      <w:tr>
        <w:trPr>
          <w:trHeight w:val="264"/>
        </w:trPr>
        <w:tc>
          <w:tcPr>
            <w:tcW w:w="740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 xml:space="preserve">Average Debt and Current Pay Interest Rate Swaps Outstanding </w:t>
            </w:r>
            <w:r>
              <w:rPr>
                <w:rFonts w:ascii="Arial" w:cs="Arial" w:eastAsia="Arial" w:hAnsi="Arial"/>
                <w:sz w:val="8"/>
                <w:szCs w:val="8"/>
                <w:b w:val="1"/>
                <w:bCs w:val="1"/>
                <w:color w:val="auto"/>
              </w:rPr>
              <w:t>1</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w w:val="83"/>
              </w:rPr>
              <w:t>2013</w:t>
            </w:r>
          </w:p>
        </w:tc>
      </w:tr>
      <w:tr>
        <w:trPr>
          <w:trHeight w:val="256"/>
        </w:trPr>
        <w:tc>
          <w:tcPr>
            <w:tcW w:w="75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Average repurchase agreements and other debt</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50,015</w:t>
            </w:r>
          </w:p>
        </w:tc>
        <w:tc>
          <w:tcPr>
            <w:tcW w:w="100" w:type="dxa"/>
            <w:vAlign w:val="bottom"/>
            <w:shd w:val="clear" w:color="auto" w:fill="CCEEFF"/>
          </w:tcPr>
          <w:p>
            <w:pPr>
              <w:spacing w:after="0"/>
              <w:rPr>
                <w:sz w:val="22"/>
                <w:szCs w:val="22"/>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w w:val="97"/>
              </w:rPr>
              <w:t>71,753</w:t>
            </w:r>
          </w:p>
        </w:tc>
      </w:tr>
      <w:tr>
        <w:trPr>
          <w:trHeight w:val="264"/>
        </w:trPr>
        <w:tc>
          <w:tcPr>
            <w:tcW w:w="752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Average notional amount of current pay interest rate swaps</w:t>
            </w: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33,988</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6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w w:val="97"/>
              </w:rPr>
              <w:t>47,007</w:t>
            </w:r>
          </w:p>
        </w:tc>
      </w:tr>
      <w:tr>
        <w:trPr>
          <w:trHeight w:val="243"/>
        </w:trPr>
        <w:tc>
          <w:tcPr>
            <w:tcW w:w="75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Average ratio of current pay interest rate swaps to repurchase agreements and other debt outstanding</w:t>
            </w:r>
          </w:p>
        </w:tc>
        <w:tc>
          <w:tcPr>
            <w:tcW w:w="200" w:type="dxa"/>
            <w:vAlign w:val="bottom"/>
            <w:tcBorders>
              <w:bottom w:val="single" w:sz="8" w:color="auto"/>
            </w:tcBorders>
            <w:shd w:val="clear" w:color="auto" w:fill="CCEEFF"/>
          </w:tcPr>
          <w:p>
            <w:pPr>
              <w:spacing w:after="0"/>
              <w:rPr>
                <w:sz w:val="21"/>
                <w:szCs w:val="21"/>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68%</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66%</w:t>
            </w:r>
          </w:p>
        </w:tc>
      </w:tr>
      <w:tr>
        <w:trPr>
          <w:trHeight w:val="20"/>
        </w:trPr>
        <w:tc>
          <w:tcPr>
            <w:tcW w:w="7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r>
      <w:tr>
        <w:trPr>
          <w:trHeight w:val="278"/>
        </w:trPr>
        <w:tc>
          <w:tcPr>
            <w:tcW w:w="7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0" w:type="dxa"/>
            <w:vAlign w:val="bottom"/>
          </w:tcPr>
          <w:p>
            <w:pPr>
              <w:spacing w:after="0"/>
              <w:rPr>
                <w:sz w:val="24"/>
                <w:szCs w:val="24"/>
                <w:color w:val="auto"/>
              </w:rPr>
            </w:pPr>
          </w:p>
        </w:tc>
      </w:tr>
      <w:tr>
        <w:trPr>
          <w:trHeight w:val="270"/>
        </w:trPr>
        <w:tc>
          <w:tcPr>
            <w:tcW w:w="75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Weighted average pay rate on current pay interest rate swaps</w:t>
            </w:r>
          </w:p>
        </w:tc>
        <w:tc>
          <w:tcPr>
            <w:tcW w:w="200" w:type="dxa"/>
            <w:vAlign w:val="bottom"/>
            <w:shd w:val="clear" w:color="auto" w:fill="CCEEFF"/>
          </w:tcPr>
          <w:p>
            <w:pPr>
              <w:spacing w:after="0"/>
              <w:rPr>
                <w:sz w:val="23"/>
                <w:szCs w:val="23"/>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1.64%</w:t>
            </w:r>
          </w:p>
        </w:tc>
        <w:tc>
          <w:tcPr>
            <w:tcW w:w="10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1.55%</w:t>
            </w:r>
          </w:p>
        </w:tc>
      </w:tr>
      <w:tr>
        <w:trPr>
          <w:trHeight w:val="264"/>
        </w:trPr>
        <w:tc>
          <w:tcPr>
            <w:tcW w:w="752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Weighted average receive rate on current pay interest rate swaps</w:t>
            </w: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0.21%</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0.25%</w:t>
            </w:r>
          </w:p>
        </w:tc>
      </w:tr>
      <w:tr>
        <w:trPr>
          <w:trHeight w:val="243"/>
        </w:trPr>
        <w:tc>
          <w:tcPr>
            <w:tcW w:w="75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Weighted average net pay rate on current pay interest rate swaps</w:t>
            </w:r>
          </w:p>
        </w:tc>
        <w:tc>
          <w:tcPr>
            <w:tcW w:w="200" w:type="dxa"/>
            <w:vAlign w:val="bottom"/>
            <w:tcBorders>
              <w:bottom w:val="single" w:sz="8" w:color="auto"/>
            </w:tcBorders>
            <w:shd w:val="clear" w:color="auto" w:fill="CCEEFF"/>
          </w:tcPr>
          <w:p>
            <w:pPr>
              <w:spacing w:after="0"/>
              <w:rPr>
                <w:sz w:val="21"/>
                <w:szCs w:val="21"/>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1.43%</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1.30%</w:t>
            </w:r>
          </w:p>
        </w:tc>
      </w:tr>
      <w:tr>
        <w:trPr>
          <w:trHeight w:val="20"/>
        </w:trPr>
        <w:tc>
          <w:tcPr>
            <w:tcW w:w="7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r>
    </w:tbl>
    <w:p>
      <w:pPr>
        <w:ind w:left="60"/>
        <w:spacing w:after="0"/>
        <w:rPr>
          <w:sz w:val="20"/>
          <w:szCs w:val="20"/>
          <w:color w:val="auto"/>
        </w:rPr>
      </w:pPr>
      <w:r>
        <w:rPr>
          <w:rFonts w:ascii="Arial" w:cs="Arial" w:eastAsia="Arial" w:hAnsi="Arial"/>
          <w:sz w:val="18"/>
          <w:szCs w:val="18"/>
          <w:color w:val="auto"/>
        </w:rPr>
        <w:t>_______________________</w:t>
      </w:r>
    </w:p>
    <w:p>
      <w:pPr>
        <w:spacing w:after="0" w:line="2" w:lineRule="exact"/>
        <w:rPr>
          <w:sz w:val="20"/>
          <w:szCs w:val="20"/>
          <w:color w:val="auto"/>
        </w:rPr>
      </w:pPr>
    </w:p>
    <w:p>
      <w:pPr>
        <w:ind w:left="660" w:hanging="328"/>
        <w:spacing w:after="0"/>
        <w:tabs>
          <w:tab w:leader="none" w:pos="660" w:val="left"/>
        </w:tabs>
        <w:numPr>
          <w:ilvl w:val="0"/>
          <w:numId w:val="40"/>
        </w:numPr>
        <w:rPr>
          <w:rFonts w:ascii="Arial" w:cs="Arial" w:eastAsia="Arial" w:hAnsi="Arial"/>
          <w:sz w:val="14"/>
          <w:szCs w:val="14"/>
          <w:color w:val="auto"/>
        </w:rPr>
      </w:pPr>
      <w:r>
        <w:rPr>
          <w:rFonts w:ascii="Arial" w:cs="Arial" w:eastAsia="Arial" w:hAnsi="Arial"/>
          <w:sz w:val="14"/>
          <w:szCs w:val="14"/>
          <w:color w:val="auto"/>
        </w:rPr>
        <w:t>Excludes forward starting swaps not in effect during the periods presented.</w:t>
      </w:r>
    </w:p>
    <w:p>
      <w:pPr>
        <w:spacing w:after="0" w:line="156" w:lineRule="exact"/>
        <w:rPr>
          <w:sz w:val="20"/>
          <w:szCs w:val="20"/>
          <w:color w:val="auto"/>
        </w:rPr>
      </w:pPr>
    </w:p>
    <w:p>
      <w:pPr>
        <w:jc w:val="both"/>
        <w:ind w:left="60" w:firstLine="486"/>
        <w:spacing w:after="0" w:line="279" w:lineRule="auto"/>
        <w:rPr>
          <w:sz w:val="20"/>
          <w:szCs w:val="20"/>
          <w:color w:val="auto"/>
        </w:rPr>
      </w:pPr>
      <w:r>
        <w:rPr>
          <w:rFonts w:ascii="Arial" w:cs="Arial" w:eastAsia="Arial" w:hAnsi="Arial"/>
          <w:sz w:val="17"/>
          <w:szCs w:val="17"/>
          <w:color w:val="auto"/>
        </w:rPr>
        <w:t>Our average interest rate swaps outstanding in the table above exclude our forward starting swaps not in effect during the periods presented. As of December 31, 2014, we had $12.4 billion of forward starting interest rate swaps outstanding with a weighted average forward start date of 1.1 years through April 2019 and a weighted average fixed pay rate of 3.01%. As of December 31, 2013, we had $4.0 billion of forward starting interest rate swaps outstanding with a weighted average forward start date of 1.9 years through November 2016 and a weighted average fixed pay rate of 2.94%.</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ectPr>
          <w:pgSz w:w="11900" w:h="16838" w:orient="portrait"/>
          <w:cols w:equalWidth="0" w:num="1">
            <w:col w:w="11420"/>
          </w:cols>
          <w:pgMar w:left="240" w:top="584" w:right="239" w:bottom="1440" w:gutter="0" w:footer="0" w:header="0"/>
        </w:sectPr>
      </w:pPr>
    </w:p>
    <w:bookmarkStart w:id="60" w:name="page61"/>
    <w:bookmarkEnd w:id="60"/>
    <w:p>
      <w:pPr>
        <w:spacing w:after="0"/>
        <w:rPr>
          <w:sz w:val="20"/>
          <w:szCs w:val="20"/>
          <w:color w:val="auto"/>
        </w:rPr>
      </w:pPr>
      <w:r>
        <w:rPr>
          <w:rFonts w:ascii="Arial" w:cs="Arial" w:eastAsia="Arial" w:hAnsi="Arial"/>
          <w:sz w:val="18"/>
          <w:szCs w:val="18"/>
          <w:b w:val="1"/>
          <w:bCs w:val="1"/>
          <w:i w:val="1"/>
          <w:iCs w:val="1"/>
          <w:color w:val="auto"/>
        </w:rPr>
        <w:t>Net Spread and Dollar Roll Income</w:t>
      </w:r>
    </w:p>
    <w:p>
      <w:pPr>
        <w:spacing w:after="0" w:line="171"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The table below presents a reconciliation of our net interest income (the most comparable GAAP financial measure) to our net spread and dollar roll income and to our net spread and dollar roll income, excluding estimated "catch-up" premium amortization(non-GAAP financial measures) for the fiscal years 2014 and 2013 (dollars in millions):</w:t>
      </w:r>
    </w:p>
    <w:p>
      <w:pPr>
        <w:spacing w:after="0" w:line="348" w:lineRule="exact"/>
        <w:rPr>
          <w:sz w:val="20"/>
          <w:szCs w:val="20"/>
          <w:color w:val="auto"/>
        </w:rPr>
      </w:pPr>
    </w:p>
    <w:tbl>
      <w:tblPr>
        <w:tblLayout w:type="fixed"/>
        <w:tblInd w:w="1880" w:type="dxa"/>
        <w:tblCellMar>
          <w:top w:w="0" w:type="dxa"/>
          <w:left w:w="0" w:type="dxa"/>
          <w:bottom w:w="0" w:type="dxa"/>
          <w:right w:w="0" w:type="dxa"/>
        </w:tblCellMar>
      </w:tblPr>
      <w:tr>
        <w:trPr>
          <w:trHeight w:val="192"/>
        </w:trPr>
        <w:tc>
          <w:tcPr>
            <w:tcW w:w="60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500" w:type="dxa"/>
            <w:vAlign w:val="bottom"/>
            <w:tcBorders>
              <w:bottom w:val="single" w:sz="8" w:color="auto"/>
            </w:tcBorders>
            <w:gridSpan w:val="4"/>
          </w:tcPr>
          <w:p>
            <w:pPr>
              <w:jc w:val="right"/>
              <w:ind w:right="408"/>
              <w:spacing w:after="0"/>
              <w:rPr>
                <w:sz w:val="20"/>
                <w:szCs w:val="20"/>
                <w:color w:val="auto"/>
              </w:rPr>
            </w:pPr>
            <w:r>
              <w:rPr>
                <w:rFonts w:ascii="Arial" w:cs="Arial" w:eastAsia="Arial" w:hAnsi="Arial"/>
                <w:sz w:val="14"/>
                <w:szCs w:val="14"/>
                <w:b w:val="1"/>
                <w:bCs w:val="1"/>
                <w:color w:val="auto"/>
              </w:rPr>
              <w:t>Fiscal Year</w:t>
            </w:r>
          </w:p>
        </w:tc>
        <w:tc>
          <w:tcPr>
            <w:tcW w:w="0" w:type="dxa"/>
            <w:vAlign w:val="bottom"/>
          </w:tcPr>
          <w:p>
            <w:pPr>
              <w:spacing w:after="0"/>
              <w:rPr>
                <w:sz w:val="1"/>
                <w:szCs w:val="1"/>
                <w:color w:val="auto"/>
              </w:rPr>
            </w:pPr>
          </w:p>
        </w:tc>
      </w:tr>
      <w:tr>
        <w:trPr>
          <w:trHeight w:val="264"/>
        </w:trPr>
        <w:tc>
          <w:tcPr>
            <w:tcW w:w="60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2014</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2013</w:t>
            </w:r>
          </w:p>
        </w:tc>
        <w:tc>
          <w:tcPr>
            <w:tcW w:w="0" w:type="dxa"/>
            <w:vAlign w:val="bottom"/>
          </w:tcPr>
          <w:p>
            <w:pPr>
              <w:spacing w:after="0"/>
              <w:rPr>
                <w:sz w:val="1"/>
                <w:szCs w:val="1"/>
                <w:color w:val="auto"/>
              </w:rPr>
            </w:pPr>
          </w:p>
        </w:tc>
      </w:tr>
      <w:tr>
        <w:trPr>
          <w:trHeight w:val="256"/>
        </w:trPr>
        <w:tc>
          <w:tcPr>
            <w:tcW w:w="600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interest income</w:t>
            </w: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1,100</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1,657</w:t>
            </w:r>
          </w:p>
        </w:tc>
        <w:tc>
          <w:tcPr>
            <w:tcW w:w="0" w:type="dxa"/>
            <w:vAlign w:val="bottom"/>
          </w:tcPr>
          <w:p>
            <w:pPr>
              <w:spacing w:after="0"/>
              <w:rPr>
                <w:sz w:val="1"/>
                <w:szCs w:val="1"/>
                <w:color w:val="auto"/>
              </w:rPr>
            </w:pPr>
          </w:p>
        </w:tc>
      </w:tr>
      <w:tr>
        <w:trPr>
          <w:trHeight w:val="264"/>
        </w:trPr>
        <w:tc>
          <w:tcPr>
            <w:tcW w:w="6000" w:type="dxa"/>
            <w:vAlign w:val="bottom"/>
          </w:tcPr>
          <w:p>
            <w:pPr>
              <w:ind w:left="160"/>
              <w:spacing w:after="0"/>
              <w:rPr>
                <w:sz w:val="20"/>
                <w:szCs w:val="20"/>
                <w:color w:val="auto"/>
              </w:rPr>
            </w:pPr>
            <w:r>
              <w:rPr>
                <w:rFonts w:ascii="Arial" w:cs="Arial" w:eastAsia="Arial" w:hAnsi="Arial"/>
                <w:sz w:val="14"/>
                <w:szCs w:val="14"/>
                <w:color w:val="auto"/>
              </w:rPr>
              <w:t xml:space="preserve">Other periodic interest costs of interest rate swaps, net </w:t>
            </w:r>
            <w:r>
              <w:rPr>
                <w:rFonts w:ascii="Arial" w:cs="Arial" w:eastAsia="Arial" w:hAnsi="Arial"/>
                <w:sz w:val="8"/>
                <w:szCs w:val="8"/>
                <w:color w:val="auto"/>
              </w:rPr>
              <w:t>1</w:t>
            </w:r>
          </w:p>
        </w:tc>
        <w:tc>
          <w:tcPr>
            <w:tcW w:w="18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(330)</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(424)</w:t>
            </w:r>
          </w:p>
        </w:tc>
        <w:tc>
          <w:tcPr>
            <w:tcW w:w="0" w:type="dxa"/>
            <w:vAlign w:val="bottom"/>
          </w:tcPr>
          <w:p>
            <w:pPr>
              <w:spacing w:after="0"/>
              <w:rPr>
                <w:sz w:val="1"/>
                <w:szCs w:val="1"/>
                <w:color w:val="auto"/>
              </w:rPr>
            </w:pPr>
          </w:p>
        </w:tc>
      </w:tr>
      <w:tr>
        <w:trPr>
          <w:trHeight w:val="276"/>
        </w:trPr>
        <w:tc>
          <w:tcPr>
            <w:tcW w:w="6000" w:type="dxa"/>
            <w:vAlign w:val="bottom"/>
            <w:shd w:val="clear" w:color="auto" w:fill="CCEEFF"/>
          </w:tcPr>
          <w:p>
            <w:pPr>
              <w:ind w:left="160"/>
              <w:spacing w:after="0"/>
              <w:rPr>
                <w:sz w:val="20"/>
                <w:szCs w:val="20"/>
                <w:color w:val="auto"/>
              </w:rPr>
            </w:pPr>
            <w:r>
              <w:rPr>
                <w:rFonts w:ascii="Arial" w:cs="Arial" w:eastAsia="Arial" w:hAnsi="Arial"/>
                <w:sz w:val="14"/>
                <w:szCs w:val="14"/>
                <w:color w:val="auto"/>
              </w:rPr>
              <w:t>Dividend from REIT equity securities</w:t>
            </w:r>
          </w:p>
        </w:tc>
        <w:tc>
          <w:tcPr>
            <w:tcW w:w="18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20</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264"/>
        </w:trPr>
        <w:tc>
          <w:tcPr>
            <w:tcW w:w="600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 xml:space="preserve">TBA dollar roll income </w:t>
            </w:r>
            <w:r>
              <w:rPr>
                <w:rFonts w:ascii="Arial" w:cs="Arial" w:eastAsia="Arial" w:hAnsi="Arial"/>
                <w:sz w:val="8"/>
                <w:szCs w:val="8"/>
                <w:color w:val="auto"/>
              </w:rPr>
              <w:t>1</w:t>
            </w:r>
          </w:p>
        </w:tc>
        <w:tc>
          <w:tcPr>
            <w:tcW w:w="18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505</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320</w:t>
            </w:r>
          </w:p>
        </w:tc>
        <w:tc>
          <w:tcPr>
            <w:tcW w:w="0" w:type="dxa"/>
            <w:vAlign w:val="bottom"/>
          </w:tcPr>
          <w:p>
            <w:pPr>
              <w:spacing w:after="0"/>
              <w:rPr>
                <w:sz w:val="1"/>
                <w:szCs w:val="1"/>
                <w:color w:val="auto"/>
              </w:rPr>
            </w:pPr>
          </w:p>
        </w:tc>
      </w:tr>
      <w:tr>
        <w:trPr>
          <w:trHeight w:val="256"/>
        </w:trPr>
        <w:tc>
          <w:tcPr>
            <w:tcW w:w="6000" w:type="dxa"/>
            <w:vAlign w:val="bottom"/>
            <w:shd w:val="clear" w:color="auto" w:fill="CCEEFF"/>
          </w:tcPr>
          <w:p>
            <w:pPr>
              <w:ind w:left="20"/>
              <w:spacing w:after="0"/>
              <w:rPr>
                <w:sz w:val="20"/>
                <w:szCs w:val="20"/>
                <w:color w:val="auto"/>
              </w:rPr>
            </w:pPr>
            <w:r>
              <w:rPr>
                <w:rFonts w:ascii="Arial" w:cs="Arial" w:eastAsia="Arial" w:hAnsi="Arial"/>
                <w:sz w:val="14"/>
                <w:szCs w:val="14"/>
                <w:color w:val="auto"/>
              </w:rPr>
              <w:t>Adjusted net interest income</w:t>
            </w:r>
          </w:p>
        </w:tc>
        <w:tc>
          <w:tcPr>
            <w:tcW w:w="180" w:type="dxa"/>
            <w:vAlign w:val="bottom"/>
            <w:shd w:val="clear" w:color="auto" w:fill="CCEEFF"/>
          </w:tcPr>
          <w:p>
            <w:pPr>
              <w:spacing w:after="0"/>
              <w:rPr>
                <w:sz w:val="22"/>
                <w:szCs w:val="22"/>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1,295</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1,558</w:t>
            </w:r>
          </w:p>
        </w:tc>
        <w:tc>
          <w:tcPr>
            <w:tcW w:w="0" w:type="dxa"/>
            <w:vAlign w:val="bottom"/>
          </w:tcPr>
          <w:p>
            <w:pPr>
              <w:spacing w:after="0"/>
              <w:rPr>
                <w:sz w:val="1"/>
                <w:szCs w:val="1"/>
                <w:color w:val="auto"/>
              </w:rPr>
            </w:pPr>
          </w:p>
        </w:tc>
      </w:tr>
      <w:tr>
        <w:trPr>
          <w:trHeight w:val="264"/>
        </w:trPr>
        <w:tc>
          <w:tcPr>
            <w:tcW w:w="6000" w:type="dxa"/>
            <w:vAlign w:val="bottom"/>
            <w:tcBorders>
              <w:bottom w:val="single" w:sz="8" w:color="CCEEFF"/>
            </w:tcBorders>
          </w:tcPr>
          <w:p>
            <w:pPr>
              <w:ind w:left="300"/>
              <w:spacing w:after="0"/>
              <w:rPr>
                <w:sz w:val="20"/>
                <w:szCs w:val="20"/>
                <w:color w:val="auto"/>
              </w:rPr>
            </w:pPr>
            <w:r>
              <w:rPr>
                <w:rFonts w:ascii="Arial" w:cs="Arial" w:eastAsia="Arial" w:hAnsi="Arial"/>
                <w:sz w:val="14"/>
                <w:szCs w:val="14"/>
                <w:color w:val="auto"/>
              </w:rPr>
              <w:t>Operating expenses</w:t>
            </w:r>
          </w:p>
        </w:tc>
        <w:tc>
          <w:tcPr>
            <w:tcW w:w="18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141</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168</w:t>
            </w:r>
          </w:p>
        </w:tc>
        <w:tc>
          <w:tcPr>
            <w:tcW w:w="0" w:type="dxa"/>
            <w:vAlign w:val="bottom"/>
          </w:tcPr>
          <w:p>
            <w:pPr>
              <w:spacing w:after="0"/>
              <w:rPr>
                <w:sz w:val="1"/>
                <w:szCs w:val="1"/>
                <w:color w:val="auto"/>
              </w:rPr>
            </w:pPr>
          </w:p>
        </w:tc>
      </w:tr>
      <w:tr>
        <w:trPr>
          <w:trHeight w:val="256"/>
        </w:trPr>
        <w:tc>
          <w:tcPr>
            <w:tcW w:w="600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w:t>
            </w:r>
          </w:p>
        </w:tc>
        <w:tc>
          <w:tcPr>
            <w:tcW w:w="180" w:type="dxa"/>
            <w:vAlign w:val="bottom"/>
            <w:shd w:val="clear" w:color="auto" w:fill="CCEEFF"/>
          </w:tcPr>
          <w:p>
            <w:pPr>
              <w:spacing w:after="0"/>
              <w:rPr>
                <w:sz w:val="22"/>
                <w:szCs w:val="22"/>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1,154</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1,390</w:t>
            </w:r>
          </w:p>
        </w:tc>
        <w:tc>
          <w:tcPr>
            <w:tcW w:w="0" w:type="dxa"/>
            <w:vAlign w:val="bottom"/>
          </w:tcPr>
          <w:p>
            <w:pPr>
              <w:spacing w:after="0"/>
              <w:rPr>
                <w:sz w:val="1"/>
                <w:szCs w:val="1"/>
                <w:color w:val="auto"/>
              </w:rPr>
            </w:pPr>
          </w:p>
        </w:tc>
      </w:tr>
      <w:tr>
        <w:trPr>
          <w:trHeight w:val="264"/>
        </w:trPr>
        <w:tc>
          <w:tcPr>
            <w:tcW w:w="600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Dividend on preferred stock</w:t>
            </w:r>
          </w:p>
        </w:tc>
        <w:tc>
          <w:tcPr>
            <w:tcW w:w="18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23</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14</w:t>
            </w:r>
          </w:p>
        </w:tc>
        <w:tc>
          <w:tcPr>
            <w:tcW w:w="0" w:type="dxa"/>
            <w:vAlign w:val="bottom"/>
          </w:tcPr>
          <w:p>
            <w:pPr>
              <w:spacing w:after="0"/>
              <w:rPr>
                <w:sz w:val="1"/>
                <w:szCs w:val="1"/>
                <w:color w:val="auto"/>
              </w:rPr>
            </w:pPr>
          </w:p>
        </w:tc>
      </w:tr>
      <w:tr>
        <w:trPr>
          <w:trHeight w:val="256"/>
        </w:trPr>
        <w:tc>
          <w:tcPr>
            <w:tcW w:w="600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 available to common shareholders</w:t>
            </w:r>
          </w:p>
        </w:tc>
        <w:tc>
          <w:tcPr>
            <w:tcW w:w="180" w:type="dxa"/>
            <w:vAlign w:val="bottom"/>
            <w:shd w:val="clear" w:color="auto" w:fill="CCEEFF"/>
          </w:tcPr>
          <w:p>
            <w:pPr>
              <w:spacing w:after="0"/>
              <w:rPr>
                <w:sz w:val="22"/>
                <w:szCs w:val="22"/>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1,131</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1,376</w:t>
            </w:r>
          </w:p>
        </w:tc>
        <w:tc>
          <w:tcPr>
            <w:tcW w:w="0" w:type="dxa"/>
            <w:vAlign w:val="bottom"/>
          </w:tcPr>
          <w:p>
            <w:pPr>
              <w:spacing w:after="0"/>
              <w:rPr>
                <w:sz w:val="1"/>
                <w:szCs w:val="1"/>
                <w:color w:val="auto"/>
              </w:rPr>
            </w:pPr>
          </w:p>
        </w:tc>
      </w:tr>
      <w:tr>
        <w:trPr>
          <w:trHeight w:val="264"/>
        </w:trPr>
        <w:tc>
          <w:tcPr>
            <w:tcW w:w="600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Estimated "catch-up" premium amortization cost (benefit) due to change in CPR forecast</w:t>
            </w:r>
          </w:p>
        </w:tc>
        <w:tc>
          <w:tcPr>
            <w:tcW w:w="18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53</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(103)</w:t>
            </w:r>
          </w:p>
        </w:tc>
        <w:tc>
          <w:tcPr>
            <w:tcW w:w="0" w:type="dxa"/>
            <w:vAlign w:val="bottom"/>
          </w:tcPr>
          <w:p>
            <w:pPr>
              <w:spacing w:after="0"/>
              <w:rPr>
                <w:sz w:val="1"/>
                <w:szCs w:val="1"/>
                <w:color w:val="auto"/>
              </w:rPr>
            </w:pPr>
          </w:p>
        </w:tc>
      </w:tr>
      <w:tr>
        <w:trPr>
          <w:trHeight w:val="143"/>
        </w:trPr>
        <w:tc>
          <w:tcPr>
            <w:tcW w:w="6000" w:type="dxa"/>
            <w:vAlign w:val="bottom"/>
            <w:shd w:val="clear" w:color="auto" w:fill="CCEEFF"/>
          </w:tcPr>
          <w:p>
            <w:pPr>
              <w:ind w:left="20"/>
              <w:spacing w:after="0" w:line="143" w:lineRule="exact"/>
              <w:rPr>
                <w:sz w:val="20"/>
                <w:szCs w:val="20"/>
                <w:color w:val="auto"/>
              </w:rPr>
            </w:pPr>
            <w:r>
              <w:rPr>
                <w:rFonts w:ascii="Arial" w:cs="Arial" w:eastAsia="Arial" w:hAnsi="Arial"/>
                <w:sz w:val="14"/>
                <w:szCs w:val="14"/>
                <w:color w:val="auto"/>
                <w:w w:val="96"/>
              </w:rPr>
              <w:t>Net spread and dollar roll income, excluding "catch-up" premium amortization, available to common</w:t>
            </w:r>
          </w:p>
        </w:tc>
        <w:tc>
          <w:tcPr>
            <w:tcW w:w="1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0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1,184</w:t>
            </w:r>
          </w:p>
        </w:tc>
        <w:tc>
          <w:tcPr>
            <w:tcW w:w="120" w:type="dxa"/>
            <w:vAlign w:val="bottom"/>
            <w:shd w:val="clear" w:color="auto" w:fill="CCEEFF"/>
          </w:tcPr>
          <w:p>
            <w:pPr>
              <w:spacing w:after="0"/>
              <w:rPr>
                <w:sz w:val="12"/>
                <w:szCs w:val="12"/>
                <w:color w:val="auto"/>
              </w:rPr>
            </w:pP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1,273</w:t>
            </w:r>
          </w:p>
        </w:tc>
        <w:tc>
          <w:tcPr>
            <w:tcW w:w="0" w:type="dxa"/>
            <w:vAlign w:val="bottom"/>
          </w:tcPr>
          <w:p>
            <w:pPr>
              <w:spacing w:after="0"/>
              <w:rPr>
                <w:sz w:val="1"/>
                <w:szCs w:val="1"/>
                <w:color w:val="auto"/>
              </w:rPr>
            </w:pPr>
          </w:p>
        </w:tc>
      </w:tr>
      <w:tr>
        <w:trPr>
          <w:trHeight w:val="181"/>
        </w:trPr>
        <w:tc>
          <w:tcPr>
            <w:tcW w:w="60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shareholders</w:t>
            </w:r>
          </w:p>
        </w:tc>
        <w:tc>
          <w:tcPr>
            <w:tcW w:w="180" w:type="dxa"/>
            <w:vAlign w:val="bottom"/>
            <w:tcBorders>
              <w:bottom w:val="single" w:sz="8" w:color="auto"/>
            </w:tcBorders>
            <w:vMerge w:val="continue"/>
            <w:shd w:val="clear" w:color="auto" w:fill="CCEEFF"/>
          </w:tcPr>
          <w:p>
            <w:pPr>
              <w:spacing w:after="0"/>
              <w:rPr>
                <w:sz w:val="15"/>
                <w:szCs w:val="15"/>
                <w:color w:val="auto"/>
              </w:rPr>
            </w:pPr>
          </w:p>
        </w:tc>
        <w:tc>
          <w:tcPr>
            <w:tcW w:w="60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60" w:type="dxa"/>
            <w:vAlign w:val="bottom"/>
            <w:tcBorders>
              <w:bottom w:val="single" w:sz="8" w:color="auto"/>
            </w:tcBorders>
            <w:vMerge w:val="continue"/>
            <w:shd w:val="clear" w:color="auto" w:fill="CCEEFF"/>
          </w:tcPr>
          <w:p>
            <w:pPr>
              <w:spacing w:after="0"/>
              <w:rPr>
                <w:sz w:val="15"/>
                <w:szCs w:val="15"/>
                <w:color w:val="auto"/>
              </w:rPr>
            </w:pPr>
          </w:p>
        </w:tc>
        <w:tc>
          <w:tcPr>
            <w:tcW w:w="62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60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60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60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basic and diluted</w:t>
            </w:r>
          </w:p>
        </w:tc>
        <w:tc>
          <w:tcPr>
            <w:tcW w:w="180" w:type="dxa"/>
            <w:vAlign w:val="bottom"/>
            <w:tcBorders>
              <w:bottom w:val="single" w:sz="8" w:color="auto"/>
            </w:tcBorders>
            <w:shd w:val="clear" w:color="auto" w:fill="CCEEFF"/>
          </w:tcPr>
          <w:p>
            <w:pPr>
              <w:spacing w:after="0"/>
              <w:rPr>
                <w:sz w:val="22"/>
                <w:szCs w:val="22"/>
                <w:color w:val="auto"/>
              </w:rPr>
            </w:pPr>
          </w:p>
        </w:tc>
        <w:tc>
          <w:tcPr>
            <w:tcW w:w="6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353.3</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spacing w:after="0"/>
              <w:rPr>
                <w:sz w:val="22"/>
                <w:szCs w:val="22"/>
                <w:color w:val="auto"/>
              </w:rPr>
            </w:pP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379.1</w:t>
            </w:r>
          </w:p>
        </w:tc>
        <w:tc>
          <w:tcPr>
            <w:tcW w:w="0" w:type="dxa"/>
            <w:vAlign w:val="bottom"/>
          </w:tcPr>
          <w:p>
            <w:pPr>
              <w:spacing w:after="0"/>
              <w:rPr>
                <w:sz w:val="1"/>
                <w:szCs w:val="1"/>
                <w:color w:val="auto"/>
              </w:rPr>
            </w:pPr>
          </w:p>
        </w:tc>
      </w:tr>
      <w:tr>
        <w:trPr>
          <w:trHeight w:val="20"/>
        </w:trPr>
        <w:tc>
          <w:tcPr>
            <w:tcW w:w="60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600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Net spread and dollar roll income per common share - basic and diluted</w:t>
            </w: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6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3.20</w:t>
            </w:r>
          </w:p>
        </w:tc>
        <w:tc>
          <w:tcPr>
            <w:tcW w:w="120" w:type="dxa"/>
            <w:vAlign w:val="bottom"/>
            <w:tcBorders>
              <w:bottom w:val="single" w:sz="8" w:color="CCEEFF"/>
            </w:tcBorders>
          </w:tcPr>
          <w:p>
            <w:pPr>
              <w:spacing w:after="0"/>
              <w:rPr>
                <w:sz w:val="21"/>
                <w:szCs w:val="21"/>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3.63</w:t>
            </w:r>
          </w:p>
        </w:tc>
        <w:tc>
          <w:tcPr>
            <w:tcW w:w="0" w:type="dxa"/>
            <w:vAlign w:val="bottom"/>
          </w:tcPr>
          <w:p>
            <w:pPr>
              <w:spacing w:after="0"/>
              <w:rPr>
                <w:sz w:val="1"/>
                <w:szCs w:val="1"/>
                <w:color w:val="auto"/>
              </w:rPr>
            </w:pPr>
          </w:p>
        </w:tc>
      </w:tr>
      <w:tr>
        <w:trPr>
          <w:trHeight w:val="110"/>
        </w:trPr>
        <w:tc>
          <w:tcPr>
            <w:tcW w:w="6000" w:type="dxa"/>
            <w:vAlign w:val="bottom"/>
            <w:shd w:val="clear" w:color="auto" w:fill="CCEEFF"/>
          </w:tcPr>
          <w:p>
            <w:pPr>
              <w:ind w:left="20"/>
              <w:spacing w:after="0" w:line="110" w:lineRule="exact"/>
              <w:rPr>
                <w:sz w:val="20"/>
                <w:szCs w:val="20"/>
                <w:color w:val="auto"/>
              </w:rPr>
            </w:pPr>
            <w:r>
              <w:rPr>
                <w:rFonts w:ascii="Arial" w:cs="Arial" w:eastAsia="Arial" w:hAnsi="Arial"/>
                <w:sz w:val="12"/>
                <w:szCs w:val="12"/>
                <w:color w:val="auto"/>
              </w:rPr>
              <w:t>Net spread and dollar roll income, excluding "catch-up" premium amortization, per common share -</w:t>
            </w:r>
          </w:p>
        </w:tc>
        <w:tc>
          <w:tcPr>
            <w:tcW w:w="1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0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3.35</w:t>
            </w:r>
          </w:p>
        </w:tc>
        <w:tc>
          <w:tcPr>
            <w:tcW w:w="120" w:type="dxa"/>
            <w:vAlign w:val="bottom"/>
            <w:shd w:val="clear" w:color="auto" w:fill="CCEEFF"/>
          </w:tcPr>
          <w:p>
            <w:pPr>
              <w:spacing w:after="0"/>
              <w:rPr>
                <w:sz w:val="9"/>
                <w:szCs w:val="9"/>
                <w:color w:val="auto"/>
              </w:rPr>
            </w:pP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3.36</w:t>
            </w:r>
          </w:p>
        </w:tc>
        <w:tc>
          <w:tcPr>
            <w:tcW w:w="0" w:type="dxa"/>
            <w:vAlign w:val="bottom"/>
          </w:tcPr>
          <w:p>
            <w:pPr>
              <w:spacing w:after="0"/>
              <w:rPr>
                <w:sz w:val="1"/>
                <w:szCs w:val="1"/>
                <w:color w:val="auto"/>
              </w:rPr>
            </w:pPr>
          </w:p>
        </w:tc>
      </w:tr>
      <w:tr>
        <w:trPr>
          <w:trHeight w:val="181"/>
        </w:trPr>
        <w:tc>
          <w:tcPr>
            <w:tcW w:w="60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basic and diluted</w:t>
            </w:r>
          </w:p>
        </w:tc>
        <w:tc>
          <w:tcPr>
            <w:tcW w:w="180" w:type="dxa"/>
            <w:vAlign w:val="bottom"/>
            <w:tcBorders>
              <w:bottom w:val="single" w:sz="8" w:color="auto"/>
            </w:tcBorders>
            <w:vMerge w:val="continue"/>
            <w:shd w:val="clear" w:color="auto" w:fill="CCEEFF"/>
          </w:tcPr>
          <w:p>
            <w:pPr>
              <w:spacing w:after="0"/>
              <w:rPr>
                <w:sz w:val="15"/>
                <w:szCs w:val="15"/>
                <w:color w:val="auto"/>
              </w:rPr>
            </w:pPr>
          </w:p>
        </w:tc>
        <w:tc>
          <w:tcPr>
            <w:tcW w:w="60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60" w:type="dxa"/>
            <w:vAlign w:val="bottom"/>
            <w:tcBorders>
              <w:bottom w:val="single" w:sz="8" w:color="auto"/>
            </w:tcBorders>
            <w:vMerge w:val="continue"/>
            <w:shd w:val="clear" w:color="auto" w:fill="CCEEFF"/>
          </w:tcPr>
          <w:p>
            <w:pPr>
              <w:spacing w:after="0"/>
              <w:rPr>
                <w:sz w:val="15"/>
                <w:szCs w:val="15"/>
                <w:color w:val="auto"/>
              </w:rPr>
            </w:pPr>
          </w:p>
        </w:tc>
        <w:tc>
          <w:tcPr>
            <w:tcW w:w="62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60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rPr>
          <w:sz w:val="20"/>
          <w:szCs w:val="20"/>
          <w:color w:val="auto"/>
        </w:rPr>
      </w:pPr>
      <w:r>
        <w:rPr>
          <w:rFonts w:ascii="Arial" w:cs="Arial" w:eastAsia="Arial" w:hAnsi="Arial"/>
          <w:sz w:val="18"/>
          <w:szCs w:val="18"/>
          <w:color w:val="auto"/>
        </w:rPr>
        <w:t>_______________________</w:t>
      </w:r>
    </w:p>
    <w:p>
      <w:pPr>
        <w:spacing w:after="0" w:line="2" w:lineRule="exact"/>
        <w:rPr>
          <w:sz w:val="20"/>
          <w:szCs w:val="20"/>
          <w:color w:val="auto"/>
        </w:rPr>
      </w:pPr>
    </w:p>
    <w:p>
      <w:pPr>
        <w:ind w:left="660" w:hanging="328"/>
        <w:spacing w:after="0"/>
        <w:tabs>
          <w:tab w:leader="none" w:pos="660" w:val="left"/>
        </w:tabs>
        <w:numPr>
          <w:ilvl w:val="0"/>
          <w:numId w:val="41"/>
        </w:numPr>
        <w:rPr>
          <w:rFonts w:ascii="Arial" w:cs="Arial" w:eastAsia="Arial" w:hAnsi="Arial"/>
          <w:sz w:val="14"/>
          <w:szCs w:val="14"/>
          <w:color w:val="auto"/>
        </w:rPr>
      </w:pPr>
      <w:r>
        <w:rPr>
          <w:rFonts w:ascii="Arial" w:cs="Arial" w:eastAsia="Arial" w:hAnsi="Arial"/>
          <w:sz w:val="14"/>
          <w:szCs w:val="14"/>
          <w:color w:val="auto"/>
        </w:rPr>
        <w:t>Reported in gain (loss) on derivative instruments and other securities, net in our consolidated statements of comprehensive income</w:t>
      </w:r>
    </w:p>
    <w:p>
      <w:pPr>
        <w:spacing w:after="0" w:line="318" w:lineRule="exact"/>
        <w:rPr>
          <w:sz w:val="20"/>
          <w:szCs w:val="20"/>
          <w:color w:val="auto"/>
        </w:rPr>
      </w:pPr>
    </w:p>
    <w:p>
      <w:pPr>
        <w:jc w:val="both"/>
        <w:ind w:firstLine="405"/>
        <w:spacing w:after="0" w:line="293" w:lineRule="auto"/>
        <w:rPr>
          <w:sz w:val="20"/>
          <w:szCs w:val="20"/>
          <w:color w:val="auto"/>
        </w:rPr>
      </w:pPr>
      <w:r>
        <w:rPr>
          <w:rFonts w:ascii="Arial" w:cs="Arial" w:eastAsia="Arial" w:hAnsi="Arial"/>
          <w:sz w:val="16"/>
          <w:szCs w:val="16"/>
          <w:color w:val="auto"/>
        </w:rPr>
        <w:t>Net spread and dollar roll income, excluding "catch-up" premium amortization cost (benefit), for fiscal year 2014 was largely unchanged at $3.35 per common share, compared to $3.36 per common share for fiscal year 2013, despite a 12.5% decline in our average "at risk" leverage. Our smaller investment portfolio was largely offset by improved financing in the TBA dollar roll market, our relative shift from repo funded assets towards dollar roll funded assets and lower swap costs. Our average net interest rate spread and dollar roll income (the difference between the average yield on our assets and our average cost of funds), excluding catch-up amortization, was approximately 1.83% for fiscal year 2014, compared to 1.51% for fiscal year 2013. Including catch-up amortization, our net interest rate spread and dollar roll income was 1.75% for fiscal year 2014, compared to 1.63% for fiscal year 2013.</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(Loss) on Sale of Agency Securities, Net</w:t>
      </w:r>
    </w:p>
    <w:p>
      <w:pPr>
        <w:spacing w:after="0" w:line="185"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 is a summary of our net gain (loss) on sale of agency MBS for fiscal years 2014 and 2013 (in millions):</w:t>
      </w:r>
    </w:p>
    <w:p>
      <w:pPr>
        <w:spacing w:after="0" w:line="392" w:lineRule="exact"/>
        <w:rPr>
          <w:sz w:val="20"/>
          <w:szCs w:val="20"/>
          <w:color w:val="auto"/>
        </w:rPr>
      </w:pPr>
    </w:p>
    <w:tbl>
      <w:tblPr>
        <w:tblLayout w:type="fixed"/>
        <w:tblInd w:w="2740" w:type="dxa"/>
        <w:tblCellMar>
          <w:top w:w="0" w:type="dxa"/>
          <w:left w:w="0" w:type="dxa"/>
          <w:bottom w:w="0" w:type="dxa"/>
          <w:right w:w="0" w:type="dxa"/>
        </w:tblCellMar>
      </w:tblPr>
      <w:tr>
        <w:trPr>
          <w:trHeight w:val="192"/>
        </w:trPr>
        <w:tc>
          <w:tcPr>
            <w:tcW w:w="396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Fiscal Year</w:t>
            </w:r>
          </w:p>
        </w:tc>
        <w:tc>
          <w:tcPr>
            <w:tcW w:w="640" w:type="dxa"/>
            <w:vAlign w:val="bottom"/>
            <w:tcBorders>
              <w:bottom w:val="single" w:sz="8" w:color="auto"/>
            </w:tcBorders>
          </w:tcPr>
          <w:p>
            <w:pPr>
              <w:spacing w:after="0"/>
              <w:rPr>
                <w:sz w:val="16"/>
                <w:szCs w:val="16"/>
                <w:color w:val="auto"/>
              </w:rPr>
            </w:pPr>
          </w:p>
        </w:tc>
      </w:tr>
      <w:tr>
        <w:trPr>
          <w:trHeight w:val="264"/>
        </w:trPr>
        <w:tc>
          <w:tcPr>
            <w:tcW w:w="396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w w:val="89"/>
              </w:rPr>
              <w:t>2013</w:t>
            </w:r>
          </w:p>
        </w:tc>
      </w:tr>
      <w:tr>
        <w:trPr>
          <w:trHeight w:val="256"/>
        </w:trPr>
        <w:tc>
          <w:tcPr>
            <w:tcW w:w="3960" w:type="dxa"/>
            <w:vAlign w:val="bottom"/>
            <w:shd w:val="clear" w:color="auto" w:fill="CCEEFF"/>
          </w:tcPr>
          <w:p>
            <w:pPr>
              <w:ind w:left="20"/>
              <w:spacing w:after="0"/>
              <w:rPr>
                <w:sz w:val="20"/>
                <w:szCs w:val="20"/>
                <w:color w:val="auto"/>
              </w:rPr>
            </w:pPr>
            <w:r>
              <w:rPr>
                <w:rFonts w:ascii="Arial" w:cs="Arial" w:eastAsia="Arial" w:hAnsi="Arial"/>
                <w:sz w:val="14"/>
                <w:szCs w:val="14"/>
                <w:color w:val="auto"/>
              </w:rPr>
              <w:t>Agency MBS sold, at cost</w:t>
            </w: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(30,123)</w:t>
            </w:r>
          </w:p>
        </w:tc>
        <w:tc>
          <w:tcPr>
            <w:tcW w:w="100" w:type="dxa"/>
            <w:vAlign w:val="bottom"/>
            <w:shd w:val="clear" w:color="auto" w:fill="CCEEFF"/>
          </w:tcPr>
          <w:p>
            <w:pPr>
              <w:spacing w:after="0"/>
              <w:rPr>
                <w:sz w:val="22"/>
                <w:szCs w:val="22"/>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(81,516)</w:t>
            </w:r>
          </w:p>
        </w:tc>
      </w:tr>
      <w:tr>
        <w:trPr>
          <w:trHeight w:val="264"/>
        </w:trPr>
        <w:tc>
          <w:tcPr>
            <w:tcW w:w="39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 xml:space="preserve">Proceeds from agency MBS sold </w:t>
            </w:r>
            <w:r>
              <w:rPr>
                <w:rFonts w:ascii="Arial" w:cs="Arial" w:eastAsia="Arial" w:hAnsi="Arial"/>
                <w:sz w:val="8"/>
                <w:szCs w:val="8"/>
                <w:color w:val="auto"/>
              </w:rPr>
              <w:t>1</w:t>
            </w:r>
          </w:p>
        </w:tc>
        <w:tc>
          <w:tcPr>
            <w:tcW w:w="20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30,174</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80,108</w:t>
            </w:r>
          </w:p>
        </w:tc>
      </w:tr>
      <w:tr>
        <w:trPr>
          <w:trHeight w:val="243"/>
        </w:trPr>
        <w:tc>
          <w:tcPr>
            <w:tcW w:w="3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gain (loss) on sale of agency MBS</w:t>
            </w: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4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51</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(1,408)</w:t>
            </w:r>
          </w:p>
        </w:tc>
      </w:tr>
      <w:tr>
        <w:trPr>
          <w:trHeight w:val="20"/>
        </w:trPr>
        <w:tc>
          <w:tcPr>
            <w:tcW w:w="39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r>
      <w:tr>
        <w:trPr>
          <w:trHeight w:val="264"/>
        </w:trPr>
        <w:tc>
          <w:tcPr>
            <w:tcW w:w="39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40" w:type="dxa"/>
            <w:vAlign w:val="bottom"/>
          </w:tcPr>
          <w:p>
            <w:pPr>
              <w:spacing w:after="0"/>
              <w:rPr>
                <w:sz w:val="22"/>
                <w:szCs w:val="22"/>
                <w:color w:val="auto"/>
              </w:rPr>
            </w:pPr>
          </w:p>
        </w:tc>
      </w:tr>
      <w:tr>
        <w:trPr>
          <w:trHeight w:val="270"/>
        </w:trPr>
        <w:tc>
          <w:tcPr>
            <w:tcW w:w="3960" w:type="dxa"/>
            <w:vAlign w:val="bottom"/>
            <w:shd w:val="clear" w:color="auto" w:fill="CCEEFF"/>
          </w:tcPr>
          <w:p>
            <w:pPr>
              <w:ind w:left="20"/>
              <w:spacing w:after="0"/>
              <w:rPr>
                <w:sz w:val="20"/>
                <w:szCs w:val="20"/>
                <w:color w:val="auto"/>
              </w:rPr>
            </w:pPr>
            <w:r>
              <w:rPr>
                <w:rFonts w:ascii="Arial" w:cs="Arial" w:eastAsia="Arial" w:hAnsi="Arial"/>
                <w:sz w:val="14"/>
                <w:szCs w:val="14"/>
                <w:color w:val="auto"/>
              </w:rPr>
              <w:t>Gross gain on sale of agency MBS</w:t>
            </w: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172</w:t>
            </w:r>
          </w:p>
        </w:tc>
        <w:tc>
          <w:tcPr>
            <w:tcW w:w="100" w:type="dxa"/>
            <w:vAlign w:val="bottom"/>
            <w:shd w:val="clear" w:color="auto" w:fill="CCEEFF"/>
          </w:tcPr>
          <w:p>
            <w:pPr>
              <w:spacing w:after="0"/>
              <w:rPr>
                <w:sz w:val="23"/>
                <w:szCs w:val="23"/>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217</w:t>
            </w:r>
          </w:p>
        </w:tc>
      </w:tr>
      <w:tr>
        <w:trPr>
          <w:trHeight w:val="264"/>
        </w:trPr>
        <w:tc>
          <w:tcPr>
            <w:tcW w:w="39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Gross loss on sale of agency MBS</w:t>
            </w:r>
          </w:p>
        </w:tc>
        <w:tc>
          <w:tcPr>
            <w:tcW w:w="20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(121)</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(1,625)</w:t>
            </w:r>
          </w:p>
        </w:tc>
      </w:tr>
      <w:tr>
        <w:trPr>
          <w:trHeight w:val="243"/>
        </w:trPr>
        <w:tc>
          <w:tcPr>
            <w:tcW w:w="3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gain (loss) on sale of agency MBS</w:t>
            </w: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4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51</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(1,408)</w:t>
            </w:r>
          </w:p>
        </w:tc>
      </w:tr>
    </w:tbl>
    <w:p>
      <w:pPr>
        <w:spacing w:after="0" w:line="8" w:lineRule="exact"/>
        <w:rPr>
          <w:sz w:val="20"/>
          <w:szCs w:val="20"/>
          <w:color w:val="auto"/>
        </w:rPr>
      </w:pPr>
    </w:p>
    <w:p>
      <w:pPr>
        <w:ind w:left="40"/>
        <w:spacing w:after="0"/>
        <w:rPr>
          <w:sz w:val="20"/>
          <w:szCs w:val="20"/>
          <w:color w:val="auto"/>
        </w:rPr>
      </w:pPr>
      <w:r>
        <w:rPr>
          <w:rFonts w:ascii="Arial" w:cs="Arial" w:eastAsia="Arial" w:hAnsi="Arial"/>
          <w:sz w:val="14"/>
          <w:szCs w:val="14"/>
          <w:color w:val="auto"/>
        </w:rPr>
        <w:t>_______________________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4250055</wp:posOffset>
            </wp:positionH>
            <wp:positionV relativeFrom="paragraph">
              <wp:posOffset>-98425</wp:posOffset>
            </wp:positionV>
            <wp:extent cx="1269365"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269365" cy="8890"/>
                    </a:xfrm>
                    <a:prstGeom prst="rect">
                      <a:avLst/>
                    </a:prstGeom>
                    <a:noFill/>
                  </pic:spPr>
                </pic:pic>
              </a:graphicData>
            </a:graphic>
          </wp:anchor>
        </w:drawing>
      </w:r>
    </w:p>
    <w:p>
      <w:pPr>
        <w:ind w:left="660" w:hanging="328"/>
        <w:spacing w:after="0"/>
        <w:tabs>
          <w:tab w:leader="none" w:pos="660" w:val="left"/>
        </w:tabs>
        <w:numPr>
          <w:ilvl w:val="0"/>
          <w:numId w:val="42"/>
        </w:numPr>
        <w:rPr>
          <w:rFonts w:ascii="Arial" w:cs="Arial" w:eastAsia="Arial" w:hAnsi="Arial"/>
          <w:sz w:val="14"/>
          <w:szCs w:val="14"/>
          <w:color w:val="auto"/>
        </w:rPr>
      </w:pPr>
      <w:r>
        <w:rPr>
          <w:rFonts w:ascii="Arial" w:cs="Arial" w:eastAsia="Arial" w:hAnsi="Arial"/>
          <w:sz w:val="14"/>
          <w:szCs w:val="14"/>
          <w:color w:val="auto"/>
        </w:rPr>
        <w:t>Proceeds include cash received during the period, plus receivable for agency MBS sold during the period as of period end.</w:t>
      </w:r>
    </w:p>
    <w:p>
      <w:pPr>
        <w:spacing w:after="0" w:line="210" w:lineRule="exact"/>
        <w:rPr>
          <w:sz w:val="20"/>
          <w:szCs w:val="20"/>
          <w:color w:val="auto"/>
        </w:rPr>
      </w:pPr>
    </w:p>
    <w:p>
      <w:pPr>
        <w:jc w:val="both"/>
        <w:ind w:right="20" w:firstLine="432"/>
        <w:spacing w:after="0" w:line="342" w:lineRule="auto"/>
        <w:rPr>
          <w:sz w:val="20"/>
          <w:szCs w:val="20"/>
          <w:color w:val="auto"/>
        </w:rPr>
      </w:pPr>
      <w:r>
        <w:rPr>
          <w:rFonts w:ascii="Arial" w:cs="Arial" w:eastAsia="Arial" w:hAnsi="Arial"/>
          <w:sz w:val="16"/>
          <w:szCs w:val="16"/>
          <w:color w:val="auto"/>
        </w:rPr>
        <w:t>Asset sales were primarily a function of shifting our portfolio to TBA dollar roll funded assets, reducing leverage and repositioning our investment portfolio. The decline in gross loss on sale of agency MBS was a function of higher asset prices in 2014, compared to price declines experienced during 2013.</w:t>
      </w:r>
    </w:p>
    <w:p>
      <w:pPr>
        <w:sectPr>
          <w:pgSz w:w="11900" w:h="16838" w:orient="portrait"/>
          <w:cols w:equalWidth="0" w:num="1">
            <w:col w:w="11420"/>
          </w:cols>
          <w:pgMar w:left="240" w:top="584" w:right="239" w:bottom="1440" w:gutter="0" w:footer="0" w:header="0"/>
        </w:sectPr>
      </w:pPr>
    </w:p>
    <w:p>
      <w:pPr>
        <w:spacing w:after="0" w:line="15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60</w:t>
      </w:r>
    </w:p>
    <w:p>
      <w:pPr>
        <w:sectPr>
          <w:pgSz w:w="11900" w:h="16838" w:orient="portrait"/>
          <w:cols w:equalWidth="0" w:num="1">
            <w:col w:w="11420"/>
          </w:cols>
          <w:pgMar w:left="240" w:top="584" w:right="239" w:bottom="1440" w:gutter="0" w:footer="0" w:header="0"/>
          <w:type w:val="continuous"/>
        </w:sectPr>
      </w:pPr>
    </w:p>
    <w:bookmarkStart w:id="61" w:name="page62"/>
    <w:bookmarkEnd w:id="61"/>
    <w:p>
      <w:pPr>
        <w:spacing w:after="0"/>
        <w:rPr>
          <w:sz w:val="20"/>
          <w:szCs w:val="20"/>
          <w:color w:val="auto"/>
        </w:rPr>
      </w:pPr>
      <w:r>
        <w:rPr>
          <w:rFonts w:ascii="Arial" w:cs="Arial" w:eastAsia="Arial" w:hAnsi="Arial"/>
          <w:sz w:val="18"/>
          <w:szCs w:val="18"/>
          <w:b w:val="1"/>
          <w:bCs w:val="1"/>
          <w:i w:val="1"/>
          <w:iCs w:val="1"/>
          <w:color w:val="auto"/>
        </w:rPr>
        <w:t>Gain (Loss) on Derivative Instruments and Other Securities, Net</w:t>
      </w:r>
    </w:p>
    <w:p>
      <w:pPr>
        <w:spacing w:after="0" w:line="185"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following table is a summary of our gain (loss) on derivative instruments and other securities, net for fiscal years 2014 and 2013 (in millions):</w:t>
      </w:r>
    </w:p>
    <w:p>
      <w:pPr>
        <w:spacing w:after="0" w:line="200" w:lineRule="exact"/>
        <w:rPr>
          <w:sz w:val="20"/>
          <w:szCs w:val="20"/>
          <w:color w:val="auto"/>
        </w:rPr>
      </w:pPr>
    </w:p>
    <w:p>
      <w:pPr>
        <w:spacing w:after="0" w:line="204" w:lineRule="exact"/>
        <w:rPr>
          <w:sz w:val="20"/>
          <w:szCs w:val="20"/>
          <w:color w:val="auto"/>
        </w:rPr>
      </w:pPr>
    </w:p>
    <w:tbl>
      <w:tblPr>
        <w:tblLayout w:type="fixed"/>
        <w:tblInd w:w="1660" w:type="dxa"/>
        <w:tblCellMar>
          <w:top w:w="0" w:type="dxa"/>
          <w:left w:w="0" w:type="dxa"/>
          <w:bottom w:w="0" w:type="dxa"/>
          <w:right w:w="0" w:type="dxa"/>
        </w:tblCellMar>
      </w:tblPr>
      <w:tr>
        <w:trPr>
          <w:trHeight w:val="192"/>
        </w:trPr>
        <w:tc>
          <w:tcPr>
            <w:tcW w:w="618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Fiscal Year</w:t>
            </w:r>
          </w:p>
        </w:tc>
        <w:tc>
          <w:tcPr>
            <w:tcW w:w="600" w:type="dxa"/>
            <w:vAlign w:val="bottom"/>
            <w:tcBorders>
              <w:bottom w:val="single" w:sz="8" w:color="auto"/>
            </w:tcBorders>
          </w:tcPr>
          <w:p>
            <w:pPr>
              <w:spacing w:after="0"/>
              <w:rPr>
                <w:sz w:val="16"/>
                <w:szCs w:val="16"/>
                <w:color w:val="auto"/>
              </w:rPr>
            </w:pPr>
          </w:p>
        </w:tc>
      </w:tr>
      <w:tr>
        <w:trPr>
          <w:trHeight w:val="264"/>
        </w:trPr>
        <w:tc>
          <w:tcPr>
            <w:tcW w:w="618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2014</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w w:val="89"/>
              </w:rPr>
              <w:t>2013</w:t>
            </w:r>
          </w:p>
        </w:tc>
      </w:tr>
      <w:tr>
        <w:trPr>
          <w:trHeight w:val="256"/>
        </w:trPr>
        <w:tc>
          <w:tcPr>
            <w:tcW w:w="6180" w:type="dxa"/>
            <w:vAlign w:val="bottom"/>
            <w:shd w:val="clear" w:color="auto" w:fill="CCEEFF"/>
          </w:tcPr>
          <w:p>
            <w:pPr>
              <w:ind w:left="40"/>
              <w:spacing w:after="0"/>
              <w:rPr>
                <w:sz w:val="20"/>
                <w:szCs w:val="20"/>
                <w:color w:val="auto"/>
              </w:rPr>
            </w:pPr>
            <w:r>
              <w:rPr>
                <w:rFonts w:ascii="Arial" w:cs="Arial" w:eastAsia="Arial" w:hAnsi="Arial"/>
                <w:sz w:val="14"/>
                <w:szCs w:val="14"/>
                <w:color w:val="auto"/>
              </w:rPr>
              <w:t xml:space="preserve">Periodic interest costs of interest rate swaps, net </w:t>
            </w:r>
            <w:r>
              <w:rPr>
                <w:rFonts w:ascii="Arial" w:cs="Arial" w:eastAsia="Arial" w:hAnsi="Arial"/>
                <w:sz w:val="8"/>
                <w:szCs w:val="8"/>
                <w:color w:val="auto"/>
              </w:rPr>
              <w:t>1</w:t>
            </w: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(330)</w:t>
            </w:r>
          </w:p>
        </w:tc>
        <w:tc>
          <w:tcPr>
            <w:tcW w:w="120" w:type="dxa"/>
            <w:vAlign w:val="bottom"/>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(424)</w:t>
            </w:r>
          </w:p>
        </w:tc>
      </w:tr>
      <w:tr>
        <w:trPr>
          <w:trHeight w:val="258"/>
        </w:trPr>
        <w:tc>
          <w:tcPr>
            <w:tcW w:w="6180" w:type="dxa"/>
            <w:vAlign w:val="bottom"/>
          </w:tcPr>
          <w:p>
            <w:pPr>
              <w:ind w:left="40"/>
              <w:spacing w:after="0"/>
              <w:rPr>
                <w:sz w:val="20"/>
                <w:szCs w:val="20"/>
                <w:color w:val="auto"/>
              </w:rPr>
            </w:pPr>
            <w:r>
              <w:rPr>
                <w:rFonts w:ascii="Arial" w:cs="Arial" w:eastAsia="Arial" w:hAnsi="Arial"/>
                <w:sz w:val="14"/>
                <w:szCs w:val="14"/>
                <w:color w:val="auto"/>
              </w:rPr>
              <w:t>Realized gain on derivative instruments and other securities, net:</w:t>
            </w:r>
          </w:p>
        </w:tc>
        <w:tc>
          <w:tcPr>
            <w:tcW w:w="2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spacing w:after="0"/>
              <w:rPr>
                <w:sz w:val="22"/>
                <w:szCs w:val="22"/>
                <w:color w:val="auto"/>
              </w:rPr>
            </w:pPr>
          </w:p>
        </w:tc>
      </w:tr>
      <w:tr>
        <w:trPr>
          <w:trHeight w:val="276"/>
        </w:trPr>
        <w:tc>
          <w:tcPr>
            <w:tcW w:w="6180" w:type="dxa"/>
            <w:vAlign w:val="bottom"/>
            <w:shd w:val="clear" w:color="auto" w:fill="CCEEFF"/>
          </w:tcPr>
          <w:p>
            <w:pPr>
              <w:ind w:left="1120"/>
              <w:spacing w:after="0"/>
              <w:rPr>
                <w:sz w:val="20"/>
                <w:szCs w:val="20"/>
                <w:color w:val="auto"/>
              </w:rPr>
            </w:pPr>
            <w:r>
              <w:rPr>
                <w:rFonts w:ascii="Arial" w:cs="Arial" w:eastAsia="Arial" w:hAnsi="Arial"/>
                <w:sz w:val="14"/>
                <w:szCs w:val="14"/>
                <w:color w:val="auto"/>
              </w:rPr>
              <w:t>TBA securities - dollar roll income, net</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505</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320</w:t>
            </w:r>
          </w:p>
        </w:tc>
      </w:tr>
      <w:tr>
        <w:trPr>
          <w:trHeight w:val="264"/>
        </w:trPr>
        <w:tc>
          <w:tcPr>
            <w:tcW w:w="6180" w:type="dxa"/>
            <w:vAlign w:val="bottom"/>
          </w:tcPr>
          <w:p>
            <w:pPr>
              <w:ind w:left="1120"/>
              <w:spacing w:after="0"/>
              <w:rPr>
                <w:sz w:val="20"/>
                <w:szCs w:val="20"/>
                <w:color w:val="auto"/>
              </w:rPr>
            </w:pPr>
            <w:r>
              <w:rPr>
                <w:rFonts w:ascii="Arial" w:cs="Arial" w:eastAsia="Arial" w:hAnsi="Arial"/>
                <w:sz w:val="14"/>
                <w:szCs w:val="14"/>
                <w:color w:val="auto"/>
              </w:rPr>
              <w:t>TBA securities - mark-to-market net gain/(loss)</w:t>
            </w:r>
          </w:p>
        </w:tc>
        <w:tc>
          <w:tcPr>
            <w:tcW w:w="200" w:type="dxa"/>
            <w:vAlign w:val="bottom"/>
          </w:tcPr>
          <w:p>
            <w:pPr>
              <w:spacing w:after="0"/>
              <w:rPr>
                <w:sz w:val="22"/>
                <w:szCs w:val="22"/>
                <w:color w:val="auto"/>
              </w:rPr>
            </w:pPr>
          </w:p>
        </w:tc>
        <w:tc>
          <w:tcPr>
            <w:tcW w:w="700" w:type="dxa"/>
            <w:vAlign w:val="bottom"/>
          </w:tcPr>
          <w:p>
            <w:pPr>
              <w:jc w:val="right"/>
              <w:ind w:right="8"/>
              <w:spacing w:after="0"/>
              <w:rPr>
                <w:sz w:val="20"/>
                <w:szCs w:val="20"/>
                <w:color w:val="auto"/>
              </w:rPr>
            </w:pPr>
            <w:r>
              <w:rPr>
                <w:rFonts w:ascii="Arial" w:cs="Arial" w:eastAsia="Arial" w:hAnsi="Arial"/>
                <w:sz w:val="14"/>
                <w:szCs w:val="14"/>
                <w:color w:val="auto"/>
              </w:rPr>
              <w:t>416</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(946)</w:t>
            </w:r>
          </w:p>
        </w:tc>
      </w:tr>
      <w:tr>
        <w:trPr>
          <w:trHeight w:val="276"/>
        </w:trPr>
        <w:tc>
          <w:tcPr>
            <w:tcW w:w="6180" w:type="dxa"/>
            <w:vAlign w:val="bottom"/>
            <w:shd w:val="clear" w:color="auto" w:fill="CCEEFF"/>
          </w:tcPr>
          <w:p>
            <w:pPr>
              <w:ind w:left="1120"/>
              <w:spacing w:after="0"/>
              <w:rPr>
                <w:sz w:val="20"/>
                <w:szCs w:val="20"/>
                <w:color w:val="auto"/>
              </w:rPr>
            </w:pPr>
            <w:r>
              <w:rPr>
                <w:rFonts w:ascii="Arial" w:cs="Arial" w:eastAsia="Arial" w:hAnsi="Arial"/>
                <w:sz w:val="14"/>
                <w:szCs w:val="14"/>
                <w:color w:val="auto"/>
              </w:rPr>
              <w:t>Payer swaptions</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(171)</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233</w:t>
            </w:r>
          </w:p>
        </w:tc>
      </w:tr>
      <w:tr>
        <w:trPr>
          <w:trHeight w:val="264"/>
        </w:trPr>
        <w:tc>
          <w:tcPr>
            <w:tcW w:w="6180" w:type="dxa"/>
            <w:vAlign w:val="bottom"/>
          </w:tcPr>
          <w:p>
            <w:pPr>
              <w:ind w:left="1120"/>
              <w:spacing w:after="0"/>
              <w:rPr>
                <w:sz w:val="20"/>
                <w:szCs w:val="20"/>
                <w:color w:val="auto"/>
              </w:rPr>
            </w:pPr>
            <w:r>
              <w:rPr>
                <w:rFonts w:ascii="Arial" w:cs="Arial" w:eastAsia="Arial" w:hAnsi="Arial"/>
                <w:sz w:val="14"/>
                <w:szCs w:val="14"/>
                <w:color w:val="auto"/>
              </w:rPr>
              <w:t>Receiver swaptions</w:t>
            </w: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jc w:val="right"/>
              <w:ind w:right="8"/>
              <w:spacing w:after="0"/>
              <w:rPr>
                <w:sz w:val="20"/>
                <w:szCs w:val="20"/>
                <w:color w:val="auto"/>
              </w:rPr>
            </w:pPr>
            <w:r>
              <w:rPr>
                <w:rFonts w:ascii="Arial" w:cs="Arial" w:eastAsia="Arial" w:hAnsi="Arial"/>
                <w:sz w:val="14"/>
                <w:szCs w:val="14"/>
                <w:color w:val="auto"/>
              </w:rPr>
              <w:t>—</w:t>
            </w:r>
          </w:p>
        </w:tc>
      </w:tr>
      <w:tr>
        <w:trPr>
          <w:trHeight w:val="276"/>
        </w:trPr>
        <w:tc>
          <w:tcPr>
            <w:tcW w:w="6180" w:type="dxa"/>
            <w:vAlign w:val="bottom"/>
            <w:shd w:val="clear" w:color="auto" w:fill="CCEEFF"/>
          </w:tcPr>
          <w:p>
            <w:pPr>
              <w:ind w:left="1120"/>
              <w:spacing w:after="0"/>
              <w:rPr>
                <w:sz w:val="20"/>
                <w:szCs w:val="20"/>
                <w:color w:val="auto"/>
              </w:rPr>
            </w:pPr>
            <w:r>
              <w:rPr>
                <w:rFonts w:ascii="Arial" w:cs="Arial" w:eastAsia="Arial" w:hAnsi="Arial"/>
                <w:sz w:val="14"/>
                <w:szCs w:val="14"/>
                <w:color w:val="auto"/>
              </w:rPr>
              <w:t>U.S. Treasury securities - long position</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13</w:t>
            </w:r>
          </w:p>
        </w:tc>
      </w:tr>
      <w:tr>
        <w:trPr>
          <w:trHeight w:val="264"/>
        </w:trPr>
        <w:tc>
          <w:tcPr>
            <w:tcW w:w="6180" w:type="dxa"/>
            <w:vAlign w:val="bottom"/>
          </w:tcPr>
          <w:p>
            <w:pPr>
              <w:ind w:left="1120"/>
              <w:spacing w:after="0"/>
              <w:rPr>
                <w:sz w:val="20"/>
                <w:szCs w:val="20"/>
                <w:color w:val="auto"/>
              </w:rPr>
            </w:pPr>
            <w:r>
              <w:rPr>
                <w:rFonts w:ascii="Arial" w:cs="Arial" w:eastAsia="Arial" w:hAnsi="Arial"/>
                <w:sz w:val="14"/>
                <w:szCs w:val="14"/>
                <w:color w:val="auto"/>
              </w:rPr>
              <w:t>U.S. Treasury securities - short position</w:t>
            </w: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(378)</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jc w:val="right"/>
              <w:ind w:right="8"/>
              <w:spacing w:after="0"/>
              <w:rPr>
                <w:sz w:val="20"/>
                <w:szCs w:val="20"/>
                <w:color w:val="auto"/>
              </w:rPr>
            </w:pPr>
            <w:r>
              <w:rPr>
                <w:rFonts w:ascii="Arial" w:cs="Arial" w:eastAsia="Arial" w:hAnsi="Arial"/>
                <w:sz w:val="14"/>
                <w:szCs w:val="14"/>
                <w:color w:val="auto"/>
              </w:rPr>
              <w:t>412</w:t>
            </w:r>
          </w:p>
        </w:tc>
      </w:tr>
      <w:tr>
        <w:trPr>
          <w:trHeight w:val="276"/>
        </w:trPr>
        <w:tc>
          <w:tcPr>
            <w:tcW w:w="6180" w:type="dxa"/>
            <w:vAlign w:val="bottom"/>
            <w:shd w:val="clear" w:color="auto" w:fill="CCEEFF"/>
          </w:tcPr>
          <w:p>
            <w:pPr>
              <w:ind w:left="1120"/>
              <w:spacing w:after="0"/>
              <w:rPr>
                <w:sz w:val="20"/>
                <w:szCs w:val="20"/>
                <w:color w:val="auto"/>
              </w:rPr>
            </w:pPr>
            <w:r>
              <w:rPr>
                <w:rFonts w:ascii="Arial" w:cs="Arial" w:eastAsia="Arial" w:hAnsi="Arial"/>
                <w:sz w:val="14"/>
                <w:szCs w:val="14"/>
                <w:color w:val="auto"/>
              </w:rPr>
              <w:t>U.S. Treasury futures - short position</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9</w:t>
            </w:r>
          </w:p>
        </w:tc>
      </w:tr>
      <w:tr>
        <w:trPr>
          <w:trHeight w:val="264"/>
        </w:trPr>
        <w:tc>
          <w:tcPr>
            <w:tcW w:w="6180" w:type="dxa"/>
            <w:vAlign w:val="bottom"/>
          </w:tcPr>
          <w:p>
            <w:pPr>
              <w:ind w:left="1120"/>
              <w:spacing w:after="0"/>
              <w:rPr>
                <w:sz w:val="20"/>
                <w:szCs w:val="20"/>
                <w:color w:val="auto"/>
              </w:rPr>
            </w:pPr>
            <w:r>
              <w:rPr>
                <w:rFonts w:ascii="Arial" w:cs="Arial" w:eastAsia="Arial" w:hAnsi="Arial"/>
                <w:sz w:val="14"/>
                <w:szCs w:val="14"/>
                <w:color w:val="auto"/>
              </w:rPr>
              <w:t>Interest rate swap termination fees</w:t>
            </w: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(127)</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jc w:val="right"/>
              <w:ind w:right="8"/>
              <w:spacing w:after="0"/>
              <w:rPr>
                <w:sz w:val="20"/>
                <w:szCs w:val="20"/>
                <w:color w:val="auto"/>
              </w:rPr>
            </w:pPr>
            <w:r>
              <w:rPr>
                <w:rFonts w:ascii="Arial" w:cs="Arial" w:eastAsia="Arial" w:hAnsi="Arial"/>
                <w:sz w:val="14"/>
                <w:szCs w:val="14"/>
                <w:color w:val="auto"/>
              </w:rPr>
              <w:t>29</w:t>
            </w:r>
          </w:p>
        </w:tc>
      </w:tr>
      <w:tr>
        <w:trPr>
          <w:trHeight w:val="276"/>
        </w:trPr>
        <w:tc>
          <w:tcPr>
            <w:tcW w:w="61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REIT equity securities</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71</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w:t>
            </w:r>
          </w:p>
        </w:tc>
      </w:tr>
      <w:tr>
        <w:trPr>
          <w:trHeight w:val="264"/>
        </w:trPr>
        <w:tc>
          <w:tcPr>
            <w:tcW w:w="6180" w:type="dxa"/>
            <w:vAlign w:val="bottom"/>
            <w:tcBorders>
              <w:bottom w:val="single" w:sz="8" w:color="CCEEFF"/>
            </w:tcBorders>
          </w:tcPr>
          <w:p>
            <w:pPr>
              <w:ind w:left="280"/>
              <w:spacing w:after="0"/>
              <w:rPr>
                <w:sz w:val="20"/>
                <w:szCs w:val="20"/>
                <w:color w:val="auto"/>
              </w:rPr>
            </w:pPr>
            <w:r>
              <w:rPr>
                <w:rFonts w:ascii="Arial" w:cs="Arial" w:eastAsia="Arial" w:hAnsi="Arial"/>
                <w:sz w:val="14"/>
                <w:szCs w:val="14"/>
                <w:color w:val="auto"/>
              </w:rPr>
              <w:t>Other</w:t>
            </w: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w:t>
            </w:r>
          </w:p>
        </w:tc>
      </w:tr>
      <w:tr>
        <w:trPr>
          <w:trHeight w:val="256"/>
        </w:trPr>
        <w:tc>
          <w:tcPr>
            <w:tcW w:w="6180" w:type="dxa"/>
            <w:vAlign w:val="bottom"/>
            <w:shd w:val="clear" w:color="auto" w:fill="CCEEFF"/>
          </w:tcPr>
          <w:p>
            <w:pPr>
              <w:ind w:left="40"/>
              <w:spacing w:after="0"/>
              <w:rPr>
                <w:sz w:val="20"/>
                <w:szCs w:val="20"/>
                <w:color w:val="auto"/>
              </w:rPr>
            </w:pPr>
            <w:r>
              <w:rPr>
                <w:rFonts w:ascii="Arial" w:cs="Arial" w:eastAsia="Arial" w:hAnsi="Arial"/>
                <w:sz w:val="14"/>
                <w:szCs w:val="14"/>
                <w:color w:val="auto"/>
              </w:rPr>
              <w:t>Total realized gain on derivative instruments and other securities, net</w:t>
            </w:r>
          </w:p>
        </w:tc>
        <w:tc>
          <w:tcPr>
            <w:tcW w:w="200" w:type="dxa"/>
            <w:vAlign w:val="bottom"/>
            <w:tcBorders>
              <w:bottom w:val="single" w:sz="8" w:color="auto"/>
            </w:tcBorders>
            <w:shd w:val="clear" w:color="auto" w:fill="CCEEFF"/>
          </w:tcPr>
          <w:p>
            <w:pPr>
              <w:spacing w:after="0"/>
              <w:rPr>
                <w:sz w:val="22"/>
                <w:szCs w:val="22"/>
                <w:color w:val="auto"/>
              </w:rPr>
            </w:pPr>
          </w:p>
        </w:tc>
        <w:tc>
          <w:tcPr>
            <w:tcW w:w="7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278</w:t>
            </w:r>
          </w:p>
        </w:tc>
        <w:tc>
          <w:tcPr>
            <w:tcW w:w="120" w:type="dxa"/>
            <w:vAlign w:val="bottom"/>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spacing w:after="0"/>
              <w:rPr>
                <w:sz w:val="22"/>
                <w:szCs w:val="22"/>
                <w:color w:val="auto"/>
              </w:rPr>
            </w:pPr>
          </w:p>
        </w:tc>
        <w:tc>
          <w:tcPr>
            <w:tcW w:w="6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69</w:t>
            </w:r>
          </w:p>
        </w:tc>
      </w:tr>
      <w:tr>
        <w:trPr>
          <w:trHeight w:val="258"/>
        </w:trPr>
        <w:tc>
          <w:tcPr>
            <w:tcW w:w="6180" w:type="dxa"/>
            <w:vAlign w:val="bottom"/>
          </w:tcPr>
          <w:p>
            <w:pPr>
              <w:ind w:left="40"/>
              <w:spacing w:after="0"/>
              <w:rPr>
                <w:sz w:val="20"/>
                <w:szCs w:val="20"/>
                <w:color w:val="auto"/>
              </w:rPr>
            </w:pPr>
            <w:r>
              <w:rPr>
                <w:rFonts w:ascii="Arial" w:cs="Arial" w:eastAsia="Arial" w:hAnsi="Arial"/>
                <w:sz w:val="14"/>
                <w:szCs w:val="14"/>
                <w:color w:val="auto"/>
              </w:rPr>
              <w:t xml:space="preserve">Unrealized (loss) gain on derivative instruments and other securities, net: </w:t>
            </w:r>
            <w:r>
              <w:rPr>
                <w:rFonts w:ascii="Arial" w:cs="Arial" w:eastAsia="Arial" w:hAnsi="Arial"/>
                <w:sz w:val="8"/>
                <w:szCs w:val="8"/>
                <w:color w:val="auto"/>
              </w:rPr>
              <w:t>2</w:t>
            </w:r>
          </w:p>
        </w:tc>
        <w:tc>
          <w:tcPr>
            <w:tcW w:w="2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spacing w:after="0"/>
              <w:rPr>
                <w:sz w:val="22"/>
                <w:szCs w:val="22"/>
                <w:color w:val="auto"/>
              </w:rPr>
            </w:pPr>
          </w:p>
        </w:tc>
      </w:tr>
      <w:tr>
        <w:trPr>
          <w:trHeight w:val="276"/>
        </w:trPr>
        <w:tc>
          <w:tcPr>
            <w:tcW w:w="6180" w:type="dxa"/>
            <w:vAlign w:val="bottom"/>
            <w:shd w:val="clear" w:color="auto" w:fill="CCEEFF"/>
          </w:tcPr>
          <w:p>
            <w:pPr>
              <w:ind w:left="1120"/>
              <w:spacing w:after="0"/>
              <w:rPr>
                <w:sz w:val="20"/>
                <w:szCs w:val="20"/>
                <w:color w:val="auto"/>
              </w:rPr>
            </w:pPr>
            <w:r>
              <w:rPr>
                <w:rFonts w:ascii="Arial" w:cs="Arial" w:eastAsia="Arial" w:hAnsi="Arial"/>
                <w:sz w:val="14"/>
                <w:szCs w:val="14"/>
                <w:color w:val="auto"/>
              </w:rPr>
              <w:t>TBA securities - mark-to-market net gain/(loss)</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196</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w:t>
            </w:r>
          </w:p>
        </w:tc>
      </w:tr>
      <w:tr>
        <w:trPr>
          <w:trHeight w:val="264"/>
        </w:trPr>
        <w:tc>
          <w:tcPr>
            <w:tcW w:w="6180" w:type="dxa"/>
            <w:vAlign w:val="bottom"/>
          </w:tcPr>
          <w:p>
            <w:pPr>
              <w:ind w:left="1120"/>
              <w:spacing w:after="0"/>
              <w:rPr>
                <w:sz w:val="20"/>
                <w:szCs w:val="20"/>
                <w:color w:val="auto"/>
              </w:rPr>
            </w:pPr>
            <w:r>
              <w:rPr>
                <w:rFonts w:ascii="Arial" w:cs="Arial" w:eastAsia="Arial" w:hAnsi="Arial"/>
                <w:sz w:val="14"/>
                <w:szCs w:val="14"/>
                <w:color w:val="auto"/>
              </w:rPr>
              <w:t>Interest rate swaps</w:t>
            </w: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(1,381)</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jc w:val="right"/>
              <w:ind w:right="8"/>
              <w:spacing w:after="0"/>
              <w:rPr>
                <w:sz w:val="20"/>
                <w:szCs w:val="20"/>
                <w:color w:val="auto"/>
              </w:rPr>
            </w:pPr>
            <w:r>
              <w:rPr>
                <w:rFonts w:ascii="Arial" w:cs="Arial" w:eastAsia="Arial" w:hAnsi="Arial"/>
                <w:sz w:val="14"/>
                <w:szCs w:val="14"/>
                <w:color w:val="auto"/>
              </w:rPr>
              <w:t>1,540</w:t>
            </w:r>
          </w:p>
        </w:tc>
      </w:tr>
      <w:tr>
        <w:trPr>
          <w:trHeight w:val="276"/>
        </w:trPr>
        <w:tc>
          <w:tcPr>
            <w:tcW w:w="6180" w:type="dxa"/>
            <w:vAlign w:val="bottom"/>
            <w:shd w:val="clear" w:color="auto" w:fill="CCEEFF"/>
          </w:tcPr>
          <w:p>
            <w:pPr>
              <w:ind w:left="1120"/>
              <w:spacing w:after="0"/>
              <w:rPr>
                <w:sz w:val="20"/>
                <w:szCs w:val="20"/>
                <w:color w:val="auto"/>
              </w:rPr>
            </w:pPr>
            <w:r>
              <w:rPr>
                <w:rFonts w:ascii="Arial" w:cs="Arial" w:eastAsia="Arial" w:hAnsi="Arial"/>
                <w:sz w:val="14"/>
                <w:szCs w:val="14"/>
                <w:color w:val="auto"/>
              </w:rPr>
              <w:t>Payer swaptions</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25</w:t>
            </w:r>
          </w:p>
        </w:tc>
      </w:tr>
      <w:tr>
        <w:trPr>
          <w:trHeight w:val="264"/>
        </w:trPr>
        <w:tc>
          <w:tcPr>
            <w:tcW w:w="6180" w:type="dxa"/>
            <w:vAlign w:val="bottom"/>
          </w:tcPr>
          <w:p>
            <w:pPr>
              <w:ind w:left="1120"/>
              <w:spacing w:after="0"/>
              <w:rPr>
                <w:sz w:val="20"/>
                <w:szCs w:val="20"/>
                <w:color w:val="auto"/>
              </w:rPr>
            </w:pPr>
            <w:r>
              <w:rPr>
                <w:rFonts w:ascii="Arial" w:cs="Arial" w:eastAsia="Arial" w:hAnsi="Arial"/>
                <w:sz w:val="14"/>
                <w:szCs w:val="14"/>
                <w:color w:val="auto"/>
              </w:rPr>
              <w:t>Receiver swaptions</w:t>
            </w:r>
          </w:p>
        </w:tc>
        <w:tc>
          <w:tcPr>
            <w:tcW w:w="200" w:type="dxa"/>
            <w:vAlign w:val="bottom"/>
          </w:tcPr>
          <w:p>
            <w:pPr>
              <w:spacing w:after="0"/>
              <w:rPr>
                <w:sz w:val="22"/>
                <w:szCs w:val="22"/>
                <w:color w:val="auto"/>
              </w:rPr>
            </w:pPr>
          </w:p>
        </w:tc>
        <w:tc>
          <w:tcPr>
            <w:tcW w:w="700" w:type="dxa"/>
            <w:vAlign w:val="bottom"/>
          </w:tcPr>
          <w:p>
            <w:pPr>
              <w:jc w:val="right"/>
              <w:ind w:right="8"/>
              <w:spacing w:after="0"/>
              <w:rPr>
                <w:sz w:val="20"/>
                <w:szCs w:val="20"/>
                <w:color w:val="auto"/>
              </w:rPr>
            </w:pPr>
            <w:r>
              <w:rPr>
                <w:rFonts w:ascii="Arial" w:cs="Arial" w:eastAsia="Arial" w:hAnsi="Arial"/>
                <w:sz w:val="14"/>
                <w:szCs w:val="14"/>
                <w:color w:val="auto"/>
              </w:rPr>
              <w:t>12</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jc w:val="right"/>
              <w:ind w:right="8"/>
              <w:spacing w:after="0"/>
              <w:rPr>
                <w:sz w:val="20"/>
                <w:szCs w:val="20"/>
                <w:color w:val="auto"/>
              </w:rPr>
            </w:pPr>
            <w:r>
              <w:rPr>
                <w:rFonts w:ascii="Arial" w:cs="Arial" w:eastAsia="Arial" w:hAnsi="Arial"/>
                <w:sz w:val="14"/>
                <w:szCs w:val="14"/>
                <w:color w:val="auto"/>
              </w:rPr>
              <w:t>—</w:t>
            </w:r>
          </w:p>
        </w:tc>
      </w:tr>
      <w:tr>
        <w:trPr>
          <w:trHeight w:val="276"/>
        </w:trPr>
        <w:tc>
          <w:tcPr>
            <w:tcW w:w="6180" w:type="dxa"/>
            <w:vAlign w:val="bottom"/>
            <w:shd w:val="clear" w:color="auto" w:fill="CCEEFF"/>
          </w:tcPr>
          <w:p>
            <w:pPr>
              <w:ind w:left="1120"/>
              <w:spacing w:after="0"/>
              <w:rPr>
                <w:sz w:val="20"/>
                <w:szCs w:val="20"/>
                <w:color w:val="auto"/>
              </w:rPr>
            </w:pPr>
            <w:r>
              <w:rPr>
                <w:rFonts w:ascii="Arial" w:cs="Arial" w:eastAsia="Arial" w:hAnsi="Arial"/>
                <w:sz w:val="14"/>
                <w:szCs w:val="14"/>
                <w:color w:val="auto"/>
              </w:rPr>
              <w:t>Interest and principal-only strips</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32</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r>
      <w:tr>
        <w:trPr>
          <w:trHeight w:val="264"/>
        </w:trPr>
        <w:tc>
          <w:tcPr>
            <w:tcW w:w="6180" w:type="dxa"/>
            <w:vAlign w:val="bottom"/>
          </w:tcPr>
          <w:p>
            <w:pPr>
              <w:ind w:left="1120"/>
              <w:spacing w:after="0"/>
              <w:rPr>
                <w:sz w:val="20"/>
                <w:szCs w:val="20"/>
                <w:color w:val="auto"/>
              </w:rPr>
            </w:pPr>
            <w:r>
              <w:rPr>
                <w:rFonts w:ascii="Arial" w:cs="Arial" w:eastAsia="Arial" w:hAnsi="Arial"/>
                <w:sz w:val="14"/>
                <w:szCs w:val="14"/>
                <w:color w:val="auto"/>
              </w:rPr>
              <w:t>U.S. Treasury securities - long position</w:t>
            </w:r>
          </w:p>
        </w:tc>
        <w:tc>
          <w:tcPr>
            <w:tcW w:w="200" w:type="dxa"/>
            <w:vAlign w:val="bottom"/>
          </w:tcPr>
          <w:p>
            <w:pPr>
              <w:spacing w:after="0"/>
              <w:rPr>
                <w:sz w:val="22"/>
                <w:szCs w:val="22"/>
                <w:color w:val="auto"/>
              </w:rPr>
            </w:pPr>
          </w:p>
        </w:tc>
        <w:tc>
          <w:tcPr>
            <w:tcW w:w="700" w:type="dxa"/>
            <w:vAlign w:val="bottom"/>
          </w:tcPr>
          <w:p>
            <w:pPr>
              <w:jc w:val="right"/>
              <w:ind w:right="8"/>
              <w:spacing w:after="0"/>
              <w:rPr>
                <w:sz w:val="20"/>
                <w:szCs w:val="20"/>
                <w:color w:val="auto"/>
              </w:rPr>
            </w:pPr>
            <w:r>
              <w:rPr>
                <w:rFonts w:ascii="Arial" w:cs="Arial" w:eastAsia="Arial" w:hAnsi="Arial"/>
                <w:sz w:val="14"/>
                <w:szCs w:val="14"/>
                <w:color w:val="auto"/>
              </w:rPr>
              <w:t>59</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(55)</w:t>
            </w:r>
          </w:p>
        </w:tc>
      </w:tr>
      <w:tr>
        <w:trPr>
          <w:trHeight w:val="276"/>
        </w:trPr>
        <w:tc>
          <w:tcPr>
            <w:tcW w:w="6180" w:type="dxa"/>
            <w:vAlign w:val="bottom"/>
            <w:shd w:val="clear" w:color="auto" w:fill="CCEEFF"/>
          </w:tcPr>
          <w:p>
            <w:pPr>
              <w:ind w:left="1120"/>
              <w:spacing w:after="0"/>
              <w:rPr>
                <w:sz w:val="20"/>
                <w:szCs w:val="20"/>
                <w:color w:val="auto"/>
              </w:rPr>
            </w:pPr>
            <w:r>
              <w:rPr>
                <w:rFonts w:ascii="Arial" w:cs="Arial" w:eastAsia="Arial" w:hAnsi="Arial"/>
                <w:sz w:val="14"/>
                <w:szCs w:val="14"/>
                <w:color w:val="auto"/>
              </w:rPr>
              <w:t>U.S. Treasury securities - short position</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60</w:t>
            </w:r>
          </w:p>
        </w:tc>
      </w:tr>
      <w:tr>
        <w:trPr>
          <w:trHeight w:val="264"/>
        </w:trPr>
        <w:tc>
          <w:tcPr>
            <w:tcW w:w="6180" w:type="dxa"/>
            <w:vAlign w:val="bottom"/>
          </w:tcPr>
          <w:p>
            <w:pPr>
              <w:ind w:left="1120"/>
              <w:spacing w:after="0"/>
              <w:rPr>
                <w:sz w:val="20"/>
                <w:szCs w:val="20"/>
                <w:color w:val="auto"/>
              </w:rPr>
            </w:pPr>
            <w:r>
              <w:rPr>
                <w:rFonts w:ascii="Arial" w:cs="Arial" w:eastAsia="Arial" w:hAnsi="Arial"/>
                <w:sz w:val="14"/>
                <w:szCs w:val="14"/>
                <w:color w:val="auto"/>
              </w:rPr>
              <w:t>U.S. Treasury futures - short position</w:t>
            </w: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(42)</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jc w:val="right"/>
              <w:ind w:right="8"/>
              <w:spacing w:after="0"/>
              <w:rPr>
                <w:sz w:val="20"/>
                <w:szCs w:val="20"/>
                <w:color w:val="auto"/>
              </w:rPr>
            </w:pPr>
            <w:r>
              <w:rPr>
                <w:rFonts w:ascii="Arial" w:cs="Arial" w:eastAsia="Arial" w:hAnsi="Arial"/>
                <w:sz w:val="14"/>
                <w:szCs w:val="14"/>
                <w:color w:val="auto"/>
              </w:rPr>
              <w:t>40</w:t>
            </w:r>
          </w:p>
        </w:tc>
      </w:tr>
      <w:tr>
        <w:trPr>
          <w:trHeight w:val="276"/>
        </w:trPr>
        <w:tc>
          <w:tcPr>
            <w:tcW w:w="6180" w:type="dxa"/>
            <w:vAlign w:val="bottom"/>
            <w:shd w:val="clear" w:color="auto" w:fill="CCEEFF"/>
          </w:tcPr>
          <w:p>
            <w:pPr>
              <w:ind w:left="1120"/>
              <w:spacing w:after="0"/>
              <w:rPr>
                <w:sz w:val="20"/>
                <w:szCs w:val="20"/>
                <w:color w:val="auto"/>
              </w:rPr>
            </w:pPr>
            <w:r>
              <w:rPr>
                <w:rFonts w:ascii="Arial" w:cs="Arial" w:eastAsia="Arial" w:hAnsi="Arial"/>
                <w:sz w:val="14"/>
                <w:szCs w:val="14"/>
                <w:color w:val="auto"/>
              </w:rPr>
              <w:t>Debt of consolidated VIEs</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39</w:t>
            </w:r>
          </w:p>
        </w:tc>
      </w:tr>
      <w:tr>
        <w:trPr>
          <w:trHeight w:val="264"/>
        </w:trPr>
        <w:tc>
          <w:tcPr>
            <w:tcW w:w="6180" w:type="dxa"/>
            <w:vAlign w:val="bottom"/>
          </w:tcPr>
          <w:p>
            <w:pPr>
              <w:ind w:left="1120"/>
              <w:spacing w:after="0"/>
              <w:rPr>
                <w:sz w:val="20"/>
                <w:szCs w:val="20"/>
                <w:color w:val="auto"/>
              </w:rPr>
            </w:pPr>
            <w:r>
              <w:rPr>
                <w:rFonts w:ascii="Arial" w:cs="Arial" w:eastAsia="Arial" w:hAnsi="Arial"/>
                <w:sz w:val="14"/>
                <w:szCs w:val="14"/>
                <w:color w:val="auto"/>
              </w:rPr>
              <w:t>REIT equity securities</w:t>
            </w:r>
          </w:p>
        </w:tc>
        <w:tc>
          <w:tcPr>
            <w:tcW w:w="200" w:type="dxa"/>
            <w:vAlign w:val="bottom"/>
          </w:tcPr>
          <w:p>
            <w:pPr>
              <w:spacing w:after="0"/>
              <w:rPr>
                <w:sz w:val="22"/>
                <w:szCs w:val="22"/>
                <w:color w:val="auto"/>
              </w:rPr>
            </w:pPr>
          </w:p>
        </w:tc>
        <w:tc>
          <w:tcPr>
            <w:tcW w:w="700" w:type="dxa"/>
            <w:vAlign w:val="bottom"/>
          </w:tcPr>
          <w:p>
            <w:pPr>
              <w:jc w:val="right"/>
              <w:ind w:right="8"/>
              <w:spacing w:after="0"/>
              <w:rPr>
                <w:sz w:val="20"/>
                <w:szCs w:val="20"/>
                <w:color w:val="auto"/>
              </w:rPr>
            </w:pPr>
            <w:r>
              <w:rPr>
                <w:rFonts w:ascii="Arial" w:cs="Arial" w:eastAsia="Arial" w:hAnsi="Arial"/>
                <w:sz w:val="14"/>
                <w:szCs w:val="14"/>
                <w:color w:val="auto"/>
              </w:rPr>
              <w:t>4</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(3)</w:t>
            </w:r>
          </w:p>
        </w:tc>
      </w:tr>
      <w:tr>
        <w:trPr>
          <w:trHeight w:val="270"/>
        </w:trPr>
        <w:tc>
          <w:tcPr>
            <w:tcW w:w="6180" w:type="dxa"/>
            <w:vAlign w:val="bottom"/>
            <w:shd w:val="clear" w:color="auto" w:fill="CCEEFF"/>
          </w:tcPr>
          <w:p>
            <w:pPr>
              <w:ind w:left="1120"/>
              <w:spacing w:after="0"/>
              <w:rPr>
                <w:sz w:val="20"/>
                <w:szCs w:val="20"/>
                <w:color w:val="auto"/>
              </w:rPr>
            </w:pPr>
            <w:r>
              <w:rPr>
                <w:rFonts w:ascii="Arial" w:cs="Arial" w:eastAsia="Arial" w:hAnsi="Arial"/>
                <w:sz w:val="14"/>
                <w:szCs w:val="14"/>
                <w:color w:val="auto"/>
              </w:rPr>
              <w:t>Other</w:t>
            </w:r>
          </w:p>
        </w:tc>
        <w:tc>
          <w:tcPr>
            <w:tcW w:w="20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r>
      <w:tr>
        <w:trPr>
          <w:trHeight w:val="250"/>
        </w:trPr>
        <w:tc>
          <w:tcPr>
            <w:tcW w:w="618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Total unrealized (loss) gain on derivative instruments and other securities, net</w:t>
            </w:r>
          </w:p>
        </w:tc>
        <w:tc>
          <w:tcPr>
            <w:tcW w:w="20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(1,191)</w:t>
            </w:r>
          </w:p>
        </w:tc>
        <w:tc>
          <w:tcPr>
            <w:tcW w:w="120" w:type="dxa"/>
            <w:vAlign w:val="bottom"/>
            <w:tcBorders>
              <w:bottom w:val="single" w:sz="8" w:color="CCEEFF"/>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6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1,546</w:t>
            </w:r>
          </w:p>
        </w:tc>
      </w:tr>
      <w:tr>
        <w:trPr>
          <w:trHeight w:val="243"/>
        </w:trPr>
        <w:tc>
          <w:tcPr>
            <w:tcW w:w="6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Total (loss) gain on derivative instruments and other securities, net</w:t>
            </w: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(1,243)</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6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1,191</w:t>
            </w:r>
          </w:p>
        </w:tc>
      </w:tr>
    </w:tbl>
    <w:p>
      <w:pPr>
        <w:spacing w:after="0" w:line="10" w:lineRule="exact"/>
        <w:rPr>
          <w:sz w:val="20"/>
          <w:szCs w:val="20"/>
          <w:color w:val="auto"/>
        </w:rPr>
      </w:pPr>
    </w:p>
    <w:p>
      <w:pPr>
        <w:spacing w:after="0"/>
        <w:rPr>
          <w:sz w:val="20"/>
          <w:szCs w:val="20"/>
          <w:color w:val="auto"/>
        </w:rPr>
      </w:pPr>
      <w:r>
        <w:rPr>
          <w:rFonts w:ascii="Arial" w:cs="Arial" w:eastAsia="Arial" w:hAnsi="Arial"/>
          <w:sz w:val="14"/>
          <w:szCs w:val="14"/>
          <w:color w:val="auto"/>
        </w:rPr>
        <w:t>_______________________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4979035</wp:posOffset>
            </wp:positionH>
            <wp:positionV relativeFrom="paragraph">
              <wp:posOffset>-99695</wp:posOffset>
            </wp:positionV>
            <wp:extent cx="121793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217930" cy="8890"/>
                    </a:xfrm>
                    <a:prstGeom prst="rect">
                      <a:avLst/>
                    </a:prstGeom>
                    <a:noFill/>
                  </pic:spPr>
                </pic:pic>
              </a:graphicData>
            </a:graphic>
          </wp:anchor>
        </w:drawing>
      </w:r>
    </w:p>
    <w:p>
      <w:pPr>
        <w:ind w:left="660" w:hanging="328"/>
        <w:spacing w:after="0"/>
        <w:tabs>
          <w:tab w:leader="none" w:pos="660" w:val="left"/>
        </w:tabs>
        <w:numPr>
          <w:ilvl w:val="0"/>
          <w:numId w:val="43"/>
        </w:numPr>
        <w:rPr>
          <w:rFonts w:ascii="Arial" w:cs="Arial" w:eastAsia="Arial" w:hAnsi="Arial"/>
          <w:sz w:val="14"/>
          <w:szCs w:val="14"/>
          <w:color w:val="auto"/>
        </w:rPr>
      </w:pPr>
      <w:r>
        <w:rPr>
          <w:rFonts w:ascii="Arial" w:cs="Arial" w:eastAsia="Arial" w:hAnsi="Arial"/>
          <w:sz w:val="14"/>
          <w:szCs w:val="14"/>
          <w:color w:val="auto"/>
        </w:rPr>
        <w:t xml:space="preserve">Please refer to </w:t>
      </w:r>
      <w:r>
        <w:rPr>
          <w:rFonts w:ascii="Arial" w:cs="Arial" w:eastAsia="Arial" w:hAnsi="Arial"/>
          <w:sz w:val="14"/>
          <w:szCs w:val="14"/>
          <w:i w:val="1"/>
          <w:iCs w:val="1"/>
          <w:color w:val="auto"/>
        </w:rPr>
        <w:t>Interest Expense and Cost of Funds</w:t>
      </w:r>
      <w:r>
        <w:rPr>
          <w:rFonts w:ascii="Arial" w:cs="Arial" w:eastAsia="Arial" w:hAnsi="Arial"/>
          <w:sz w:val="14"/>
          <w:szCs w:val="14"/>
          <w:color w:val="auto"/>
        </w:rPr>
        <w:t xml:space="preserve"> discussion above for additional information regarding other periodic interest costs of interest rate swaps, net.</w:t>
      </w:r>
    </w:p>
    <w:p>
      <w:pPr>
        <w:spacing w:after="0" w:line="1" w:lineRule="exact"/>
        <w:rPr>
          <w:rFonts w:ascii="Arial" w:cs="Arial" w:eastAsia="Arial" w:hAnsi="Arial"/>
          <w:sz w:val="14"/>
          <w:szCs w:val="14"/>
          <w:color w:val="auto"/>
        </w:rPr>
      </w:pPr>
    </w:p>
    <w:p>
      <w:pPr>
        <w:ind w:left="980" w:right="20" w:hanging="648"/>
        <w:spacing w:after="0" w:line="255" w:lineRule="auto"/>
        <w:tabs>
          <w:tab w:leader="none" w:pos="656" w:val="left"/>
        </w:tabs>
        <w:numPr>
          <w:ilvl w:val="0"/>
          <w:numId w:val="43"/>
        </w:numPr>
        <w:rPr>
          <w:rFonts w:ascii="Arial" w:cs="Arial" w:eastAsia="Arial" w:hAnsi="Arial"/>
          <w:sz w:val="14"/>
          <w:szCs w:val="14"/>
          <w:color w:val="auto"/>
        </w:rPr>
      </w:pPr>
      <w:r>
        <w:rPr>
          <w:rFonts w:ascii="Arial" w:cs="Arial" w:eastAsia="Arial" w:hAnsi="Arial"/>
          <w:sz w:val="14"/>
          <w:szCs w:val="14"/>
          <w:color w:val="auto"/>
        </w:rPr>
        <w:t>Unrealized gain (loss) from derivative instruments and other securities, net includes reversals of prior period amounts for settled, terminated or expired derivative instruments and other securities.</w:t>
      </w:r>
    </w:p>
    <w:p>
      <w:pPr>
        <w:spacing w:after="0" w:line="136"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For further details regarding our use of derivative instruments and related activity refer to Notes 2 and 5 of our Consolidated Financial Statements in this Annual Report on Form 10-K.</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Management Fees and General and Administrative Expenses</w:t>
      </w:r>
    </w:p>
    <w:p>
      <w:pPr>
        <w:spacing w:after="0" w:line="17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We incurred management fees of $119 million and $136 million for fiscal years 2014 and 2013, respectively. The decline in our management fees was a function of our smaller capital base due to the combination of share repurchases and net realized losses on our portfolio during the second half of fiscal year 2013.</w:t>
      </w:r>
    </w:p>
    <w:p>
      <w:pPr>
        <w:spacing w:after="0" w:line="127"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General and administrative expenses were $22 million and $32 million for fiscal years 2014 and 2013, respectively. Our general and administrative expenses for such periods primarily consisted of prime broker fees, information technology costs, accounting fees, legal fees, Board of Director fees, insurance expense and general overhead expense. The decline in our general and administrative expenses was largely due to a smaller average portfolio size.</w:t>
      </w:r>
    </w:p>
    <w:p>
      <w:pPr>
        <w:spacing w:after="0" w:line="93" w:lineRule="exact"/>
        <w:rPr>
          <w:sz w:val="20"/>
          <w:szCs w:val="20"/>
          <w:color w:val="auto"/>
        </w:rPr>
      </w:pPr>
    </w:p>
    <w:p>
      <w:pPr>
        <w:ind w:left="440"/>
        <w:spacing w:after="0"/>
        <w:rPr>
          <w:sz w:val="20"/>
          <w:szCs w:val="20"/>
          <w:color w:val="auto"/>
        </w:rPr>
      </w:pPr>
      <w:r>
        <w:rPr>
          <w:rFonts w:ascii="Arial" w:cs="Arial" w:eastAsia="Arial" w:hAnsi="Arial"/>
          <w:sz w:val="16"/>
          <w:szCs w:val="16"/>
          <w:color w:val="auto"/>
        </w:rPr>
        <w:t>Our total operating expense as a percentage of our average stockholders' equity was 1.52% and 1.61% as of December 31, 2014 and 2013, respectively.</w:t>
      </w:r>
    </w:p>
    <w:p>
      <w:pPr>
        <w:sectPr>
          <w:pgSz w:w="11900" w:h="16838" w:orient="portrait"/>
          <w:cols w:equalWidth="0" w:num="1">
            <w:col w:w="11420"/>
          </w:cols>
          <w:pgMar w:left="240" w:top="801" w:right="239" w:bottom="1440" w:gutter="0" w:footer="0" w:header="0"/>
        </w:sectPr>
      </w:pPr>
    </w:p>
    <w:p>
      <w:pPr>
        <w:spacing w:after="0" w:line="27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61</w:t>
      </w:r>
    </w:p>
    <w:p>
      <w:pPr>
        <w:sectPr>
          <w:pgSz w:w="11900" w:h="16838" w:orient="portrait"/>
          <w:cols w:equalWidth="0" w:num="1">
            <w:col w:w="11420"/>
          </w:cols>
          <w:pgMar w:left="240" w:top="801" w:right="239" w:bottom="1440" w:gutter="0" w:footer="0" w:header="0"/>
          <w:type w:val="continuous"/>
        </w:sectPr>
      </w:pPr>
    </w:p>
    <w:bookmarkStart w:id="62" w:name="page63"/>
    <w:bookmarkEnd w:id="62"/>
    <w:p>
      <w:pPr>
        <w:spacing w:after="0"/>
        <w:rPr>
          <w:sz w:val="20"/>
          <w:szCs w:val="20"/>
          <w:color w:val="auto"/>
        </w:rPr>
      </w:pPr>
      <w:r>
        <w:rPr>
          <w:rFonts w:ascii="Arial" w:cs="Arial" w:eastAsia="Arial" w:hAnsi="Arial"/>
          <w:sz w:val="18"/>
          <w:szCs w:val="18"/>
          <w:b w:val="1"/>
          <w:bCs w:val="1"/>
          <w:i w:val="1"/>
          <w:iCs w:val="1"/>
          <w:color w:val="auto"/>
        </w:rPr>
        <w:t>Dividends and Income Taxes</w:t>
      </w:r>
    </w:p>
    <w:p>
      <w:pPr>
        <w:spacing w:after="0" w:line="185"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For fiscal years 2014 and 2013, we had estimated taxable income available to common shareholders of $439 million and $940 million (or $1.24 and $2.48 per common share), respectively.</w:t>
      </w:r>
    </w:p>
    <w:p>
      <w:pPr>
        <w:spacing w:after="0" w:line="116"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following is a reconciliation of our GAAP net income to our estimated taxable income for fiscal years 2014 and 2013 (dollars in millions):</w:t>
      </w:r>
    </w:p>
    <w:p>
      <w:pPr>
        <w:spacing w:after="0" w:line="200" w:lineRule="exact"/>
        <w:rPr>
          <w:sz w:val="20"/>
          <w:szCs w:val="20"/>
          <w:color w:val="auto"/>
        </w:rPr>
      </w:pPr>
    </w:p>
    <w:p>
      <w:pPr>
        <w:spacing w:after="0" w:line="204" w:lineRule="exact"/>
        <w:rPr>
          <w:sz w:val="20"/>
          <w:szCs w:val="20"/>
          <w:color w:val="auto"/>
        </w:rPr>
      </w:pPr>
    </w:p>
    <w:tbl>
      <w:tblPr>
        <w:tblLayout w:type="fixed"/>
        <w:tblInd w:w="1040" w:type="dxa"/>
        <w:tblCellMar>
          <w:top w:w="0" w:type="dxa"/>
          <w:left w:w="0" w:type="dxa"/>
          <w:bottom w:w="0" w:type="dxa"/>
          <w:right w:w="0" w:type="dxa"/>
        </w:tblCellMar>
      </w:tblPr>
      <w:tr>
        <w:trPr>
          <w:trHeight w:val="192"/>
        </w:trPr>
        <w:tc>
          <w:tcPr>
            <w:tcW w:w="738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Fiscal Year</w:t>
            </w:r>
          </w:p>
        </w:tc>
        <w:tc>
          <w:tcPr>
            <w:tcW w:w="620" w:type="dxa"/>
            <w:vAlign w:val="bottom"/>
            <w:tcBorders>
              <w:bottom w:val="single" w:sz="8" w:color="auto"/>
            </w:tcBorders>
          </w:tcPr>
          <w:p>
            <w:pPr>
              <w:spacing w:after="0"/>
              <w:rPr>
                <w:sz w:val="16"/>
                <w:szCs w:val="16"/>
                <w:color w:val="auto"/>
              </w:rPr>
            </w:pPr>
          </w:p>
        </w:tc>
      </w:tr>
      <w:tr>
        <w:trPr>
          <w:trHeight w:val="264"/>
        </w:trPr>
        <w:tc>
          <w:tcPr>
            <w:tcW w:w="738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w w:val="89"/>
              </w:rPr>
              <w:t>2013</w:t>
            </w:r>
          </w:p>
        </w:tc>
      </w:tr>
      <w:tr>
        <w:trPr>
          <w:trHeight w:val="256"/>
        </w:trPr>
        <w:tc>
          <w:tcPr>
            <w:tcW w:w="738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(loss) income</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(233)</w:t>
            </w:r>
          </w:p>
        </w:tc>
        <w:tc>
          <w:tcPr>
            <w:tcW w:w="100" w:type="dxa"/>
            <w:vAlign w:val="bottom"/>
            <w:shd w:val="clear" w:color="auto" w:fill="CCEEFF"/>
          </w:tcPr>
          <w:p>
            <w:pPr>
              <w:spacing w:after="0"/>
              <w:rPr>
                <w:sz w:val="22"/>
                <w:szCs w:val="22"/>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1,259</w:t>
            </w:r>
          </w:p>
        </w:tc>
      </w:tr>
      <w:tr>
        <w:trPr>
          <w:trHeight w:val="264"/>
        </w:trPr>
        <w:tc>
          <w:tcPr>
            <w:tcW w:w="7380" w:type="dxa"/>
            <w:vAlign w:val="bottom"/>
          </w:tcPr>
          <w:p>
            <w:pPr>
              <w:ind w:left="20"/>
              <w:spacing w:after="0"/>
              <w:rPr>
                <w:sz w:val="20"/>
                <w:szCs w:val="20"/>
                <w:color w:val="auto"/>
              </w:rPr>
            </w:pPr>
            <w:r>
              <w:rPr>
                <w:rFonts w:ascii="Arial" w:cs="Arial" w:eastAsia="Arial" w:hAnsi="Arial"/>
                <w:sz w:val="14"/>
                <w:szCs w:val="14"/>
                <w:color w:val="auto"/>
              </w:rPr>
              <w:t>Estimated book to tax differences:</w:t>
            </w:r>
          </w:p>
        </w:tc>
        <w:tc>
          <w:tcPr>
            <w:tcW w:w="2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20" w:type="dxa"/>
            <w:vAlign w:val="bottom"/>
          </w:tcPr>
          <w:p>
            <w:pPr>
              <w:spacing w:after="0"/>
              <w:rPr>
                <w:sz w:val="22"/>
                <w:szCs w:val="22"/>
                <w:color w:val="auto"/>
              </w:rPr>
            </w:pPr>
          </w:p>
        </w:tc>
      </w:tr>
      <w:tr>
        <w:trPr>
          <w:trHeight w:val="276"/>
        </w:trPr>
        <w:tc>
          <w:tcPr>
            <w:tcW w:w="73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Premium amortization, net</w:t>
            </w: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34</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(137)</w:t>
            </w:r>
          </w:p>
        </w:tc>
      </w:tr>
      <w:tr>
        <w:trPr>
          <w:trHeight w:val="264"/>
        </w:trPr>
        <w:tc>
          <w:tcPr>
            <w:tcW w:w="7380" w:type="dxa"/>
            <w:vAlign w:val="bottom"/>
          </w:tcPr>
          <w:p>
            <w:pPr>
              <w:ind w:left="160"/>
              <w:spacing w:after="0"/>
              <w:rPr>
                <w:sz w:val="20"/>
                <w:szCs w:val="20"/>
                <w:color w:val="auto"/>
              </w:rPr>
            </w:pPr>
            <w:r>
              <w:rPr>
                <w:rFonts w:ascii="Arial" w:cs="Arial" w:eastAsia="Arial" w:hAnsi="Arial"/>
                <w:sz w:val="14"/>
                <w:szCs w:val="14"/>
                <w:color w:val="auto"/>
              </w:rPr>
              <w:t>Realized losses (gains), net</w:t>
            </w:r>
          </w:p>
        </w:tc>
        <w:tc>
          <w:tcPr>
            <w:tcW w:w="220" w:type="dxa"/>
            <w:vAlign w:val="bottom"/>
          </w:tcPr>
          <w:p>
            <w:pPr>
              <w:spacing w:after="0"/>
              <w:rPr>
                <w:sz w:val="22"/>
                <w:szCs w:val="22"/>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495</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(414)</w:t>
            </w:r>
          </w:p>
        </w:tc>
      </w:tr>
      <w:tr>
        <w:trPr>
          <w:trHeight w:val="276"/>
        </w:trPr>
        <w:tc>
          <w:tcPr>
            <w:tcW w:w="73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Capital loss (carryforward) / in excess of capital gain</w:t>
            </w: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(1,024)</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1,785</w:t>
            </w:r>
          </w:p>
        </w:tc>
      </w:tr>
      <w:tr>
        <w:trPr>
          <w:trHeight w:val="264"/>
        </w:trPr>
        <w:tc>
          <w:tcPr>
            <w:tcW w:w="7380" w:type="dxa"/>
            <w:vAlign w:val="bottom"/>
          </w:tcPr>
          <w:p>
            <w:pPr>
              <w:ind w:left="160"/>
              <w:spacing w:after="0"/>
              <w:rPr>
                <w:sz w:val="20"/>
                <w:szCs w:val="20"/>
                <w:color w:val="auto"/>
              </w:rPr>
            </w:pPr>
            <w:r>
              <w:rPr>
                <w:rFonts w:ascii="Arial" w:cs="Arial" w:eastAsia="Arial" w:hAnsi="Arial"/>
                <w:sz w:val="14"/>
                <w:szCs w:val="14"/>
                <w:color w:val="auto"/>
              </w:rPr>
              <w:t>Unrealized losses (gains), net</w:t>
            </w:r>
          </w:p>
        </w:tc>
        <w:tc>
          <w:tcPr>
            <w:tcW w:w="220" w:type="dxa"/>
            <w:vAlign w:val="bottom"/>
          </w:tcPr>
          <w:p>
            <w:pPr>
              <w:spacing w:after="0"/>
              <w:rPr>
                <w:sz w:val="22"/>
                <w:szCs w:val="22"/>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1,191</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(1,546)</w:t>
            </w:r>
          </w:p>
        </w:tc>
      </w:tr>
      <w:tr>
        <w:trPr>
          <w:trHeight w:val="270"/>
        </w:trPr>
        <w:tc>
          <w:tcPr>
            <w:tcW w:w="73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Other</w:t>
            </w:r>
          </w:p>
        </w:tc>
        <w:tc>
          <w:tcPr>
            <w:tcW w:w="22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23"/>
                <w:szCs w:val="23"/>
                <w:color w:val="auto"/>
              </w:rPr>
            </w:pPr>
          </w:p>
        </w:tc>
        <w:tc>
          <w:tcPr>
            <w:tcW w:w="320" w:type="dxa"/>
            <w:vAlign w:val="bottom"/>
            <w:tcBorders>
              <w:bottom w:val="single" w:sz="8" w:color="auto"/>
            </w:tcBorders>
            <w:shd w:val="clear" w:color="auto" w:fill="CCEEFF"/>
          </w:tcPr>
          <w:p>
            <w:pPr>
              <w:spacing w:after="0"/>
              <w:rPr>
                <w:sz w:val="23"/>
                <w:szCs w:val="23"/>
                <w:color w:val="auto"/>
              </w:rPr>
            </w:pP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7</w:t>
            </w:r>
          </w:p>
        </w:tc>
      </w:tr>
      <w:tr>
        <w:trPr>
          <w:trHeight w:val="250"/>
        </w:trPr>
        <w:tc>
          <w:tcPr>
            <w:tcW w:w="7380" w:type="dxa"/>
            <w:vAlign w:val="bottom"/>
            <w:tcBorders>
              <w:bottom w:val="single" w:sz="8" w:color="CCEEFF"/>
            </w:tcBorders>
          </w:tcPr>
          <w:p>
            <w:pPr>
              <w:ind w:left="840"/>
              <w:spacing w:after="0"/>
              <w:rPr>
                <w:sz w:val="20"/>
                <w:szCs w:val="20"/>
                <w:color w:val="auto"/>
              </w:rPr>
            </w:pPr>
            <w:r>
              <w:rPr>
                <w:rFonts w:ascii="Arial" w:cs="Arial" w:eastAsia="Arial" w:hAnsi="Arial"/>
                <w:sz w:val="14"/>
                <w:szCs w:val="14"/>
                <w:color w:val="auto"/>
              </w:rPr>
              <w:t>Total book to tax differences</w:t>
            </w:r>
          </w:p>
        </w:tc>
        <w:tc>
          <w:tcPr>
            <w:tcW w:w="22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695</w:t>
            </w:r>
          </w:p>
        </w:tc>
        <w:tc>
          <w:tcPr>
            <w:tcW w:w="100" w:type="dxa"/>
            <w:vAlign w:val="bottom"/>
            <w:tcBorders>
              <w:bottom w:val="single" w:sz="8" w:color="CCEEFF"/>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(305)</w:t>
            </w:r>
          </w:p>
        </w:tc>
      </w:tr>
      <w:tr>
        <w:trPr>
          <w:trHeight w:val="256"/>
        </w:trPr>
        <w:tc>
          <w:tcPr>
            <w:tcW w:w="7380" w:type="dxa"/>
            <w:vAlign w:val="bottom"/>
            <w:shd w:val="clear" w:color="auto" w:fill="CCEEFF"/>
          </w:tcPr>
          <w:p>
            <w:pPr>
              <w:ind w:left="20"/>
              <w:spacing w:after="0"/>
              <w:rPr>
                <w:sz w:val="20"/>
                <w:szCs w:val="20"/>
                <w:color w:val="auto"/>
              </w:rPr>
            </w:pPr>
            <w:r>
              <w:rPr>
                <w:rFonts w:ascii="Arial" w:cs="Arial" w:eastAsia="Arial" w:hAnsi="Arial"/>
                <w:sz w:val="14"/>
                <w:szCs w:val="14"/>
                <w:color w:val="auto"/>
              </w:rPr>
              <w:t>Estimated REIT taxable income</w:t>
            </w:r>
          </w:p>
        </w:tc>
        <w:tc>
          <w:tcPr>
            <w:tcW w:w="22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462</w:t>
            </w:r>
          </w:p>
        </w:tc>
        <w:tc>
          <w:tcPr>
            <w:tcW w:w="100" w:type="dxa"/>
            <w:vAlign w:val="bottom"/>
            <w:shd w:val="clear" w:color="auto" w:fill="CCEEFF"/>
          </w:tcPr>
          <w:p>
            <w:pPr>
              <w:spacing w:after="0"/>
              <w:rPr>
                <w:sz w:val="22"/>
                <w:szCs w:val="22"/>
                <w:color w:val="auto"/>
              </w:rPr>
            </w:pPr>
          </w:p>
        </w:tc>
        <w:tc>
          <w:tcPr>
            <w:tcW w:w="320" w:type="dxa"/>
            <w:vAlign w:val="bottom"/>
            <w:shd w:val="clear" w:color="auto" w:fill="CCEEFF"/>
          </w:tcPr>
          <w:p>
            <w:pPr>
              <w:spacing w:after="0"/>
              <w:rPr>
                <w:sz w:val="22"/>
                <w:szCs w:val="22"/>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954</w:t>
            </w:r>
          </w:p>
        </w:tc>
      </w:tr>
      <w:tr>
        <w:trPr>
          <w:trHeight w:val="264"/>
        </w:trPr>
        <w:tc>
          <w:tcPr>
            <w:tcW w:w="738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Dividend on preferred stock</w:t>
            </w: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23</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14</w:t>
            </w:r>
          </w:p>
        </w:tc>
      </w:tr>
      <w:tr>
        <w:trPr>
          <w:trHeight w:val="243"/>
        </w:trPr>
        <w:tc>
          <w:tcPr>
            <w:tcW w:w="7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Estimated REIT taxable income available to common shareholders</w:t>
            </w: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439</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940</w:t>
            </w:r>
          </w:p>
        </w:tc>
      </w:tr>
      <w:tr>
        <w:trPr>
          <w:trHeight w:val="20"/>
        </w:trPr>
        <w:tc>
          <w:tcPr>
            <w:tcW w:w="73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r>
      <w:tr>
        <w:trPr>
          <w:trHeight w:val="250"/>
        </w:trPr>
        <w:tc>
          <w:tcPr>
            <w:tcW w:w="738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Weighted average number of common shares outstanding - basic and diluted</w:t>
            </w:r>
          </w:p>
        </w:tc>
        <w:tc>
          <w:tcPr>
            <w:tcW w:w="22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353.3</w:t>
            </w:r>
          </w:p>
        </w:tc>
        <w:tc>
          <w:tcPr>
            <w:tcW w:w="100" w:type="dxa"/>
            <w:vAlign w:val="bottom"/>
            <w:tcBorders>
              <w:bottom w:val="single" w:sz="8" w:color="CCEEFF"/>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379.1</w:t>
            </w:r>
          </w:p>
        </w:tc>
      </w:tr>
      <w:tr>
        <w:trPr>
          <w:trHeight w:val="210"/>
        </w:trPr>
        <w:tc>
          <w:tcPr>
            <w:tcW w:w="7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Estimated REIT taxable income per common share - basic and diluted</w:t>
            </w: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1.24</w:t>
            </w:r>
          </w:p>
        </w:tc>
        <w:tc>
          <w:tcPr>
            <w:tcW w:w="100" w:type="dxa"/>
            <w:vAlign w:val="bottom"/>
            <w:tcBorders>
              <w:bottom w:val="single" w:sz="8" w:color="CCEEFF"/>
            </w:tcBorders>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2.48</w:t>
            </w:r>
          </w:p>
        </w:tc>
      </w:tr>
      <w:tr>
        <w:trPr>
          <w:trHeight w:val="20"/>
        </w:trPr>
        <w:tc>
          <w:tcPr>
            <w:tcW w:w="73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r>
      <w:tr>
        <w:trPr>
          <w:trHeight w:val="264"/>
        </w:trPr>
        <w:tc>
          <w:tcPr>
            <w:tcW w:w="73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20" w:type="dxa"/>
            <w:vAlign w:val="bottom"/>
          </w:tcPr>
          <w:p>
            <w:pPr>
              <w:spacing w:after="0"/>
              <w:rPr>
                <w:sz w:val="22"/>
                <w:szCs w:val="22"/>
                <w:color w:val="auto"/>
              </w:rPr>
            </w:pPr>
          </w:p>
        </w:tc>
      </w:tr>
      <w:tr>
        <w:trPr>
          <w:trHeight w:val="270"/>
        </w:trPr>
        <w:tc>
          <w:tcPr>
            <w:tcW w:w="7380" w:type="dxa"/>
            <w:vAlign w:val="bottom"/>
            <w:shd w:val="clear" w:color="auto" w:fill="CCEEFF"/>
          </w:tcPr>
          <w:p>
            <w:pPr>
              <w:ind w:left="20"/>
              <w:spacing w:after="0"/>
              <w:rPr>
                <w:sz w:val="20"/>
                <w:szCs w:val="20"/>
                <w:color w:val="auto"/>
              </w:rPr>
            </w:pPr>
            <w:r>
              <w:rPr>
                <w:rFonts w:ascii="Arial" w:cs="Arial" w:eastAsia="Arial" w:hAnsi="Arial"/>
                <w:sz w:val="14"/>
                <w:szCs w:val="14"/>
                <w:color w:val="auto"/>
              </w:rPr>
              <w:t>Beginning cumulative non-deductible capital losses</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1,785</w:t>
            </w:r>
          </w:p>
        </w:tc>
        <w:tc>
          <w:tcPr>
            <w:tcW w:w="100" w:type="dxa"/>
            <w:vAlign w:val="bottom"/>
            <w:shd w:val="clear" w:color="auto" w:fill="CCEEFF"/>
          </w:tcPr>
          <w:p>
            <w:pPr>
              <w:spacing w:after="0"/>
              <w:rPr>
                <w:sz w:val="23"/>
                <w:szCs w:val="23"/>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r>
      <w:tr>
        <w:trPr>
          <w:trHeight w:val="264"/>
        </w:trPr>
        <w:tc>
          <w:tcPr>
            <w:tcW w:w="7380" w:type="dxa"/>
            <w:vAlign w:val="bottom"/>
          </w:tcPr>
          <w:p>
            <w:pPr>
              <w:ind w:left="20"/>
              <w:spacing w:after="0"/>
              <w:rPr>
                <w:sz w:val="20"/>
                <w:szCs w:val="20"/>
                <w:color w:val="auto"/>
              </w:rPr>
            </w:pPr>
            <w:r>
              <w:rPr>
                <w:rFonts w:ascii="Arial" w:cs="Arial" w:eastAsia="Arial" w:hAnsi="Arial"/>
                <w:sz w:val="14"/>
                <w:szCs w:val="14"/>
                <w:color w:val="auto"/>
              </w:rPr>
              <w:t>Non-deductible capital losses in excess of capital gains</w:t>
            </w:r>
          </w:p>
        </w:tc>
        <w:tc>
          <w:tcPr>
            <w:tcW w:w="220" w:type="dxa"/>
            <w:vAlign w:val="bottom"/>
          </w:tcPr>
          <w:p>
            <w:pPr>
              <w:spacing w:after="0"/>
              <w:rPr>
                <w:sz w:val="22"/>
                <w:szCs w:val="22"/>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22"/>
                <w:szCs w:val="22"/>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1,785</w:t>
            </w:r>
          </w:p>
        </w:tc>
      </w:tr>
      <w:tr>
        <w:trPr>
          <w:trHeight w:val="270"/>
        </w:trPr>
        <w:tc>
          <w:tcPr>
            <w:tcW w:w="7380" w:type="dxa"/>
            <w:vAlign w:val="bottom"/>
            <w:shd w:val="clear" w:color="auto" w:fill="CCEEFF"/>
          </w:tcPr>
          <w:p>
            <w:pPr>
              <w:ind w:left="20"/>
              <w:spacing w:after="0"/>
              <w:rPr>
                <w:sz w:val="20"/>
                <w:szCs w:val="20"/>
                <w:color w:val="auto"/>
              </w:rPr>
            </w:pPr>
            <w:r>
              <w:rPr>
                <w:rFonts w:ascii="Arial" w:cs="Arial" w:eastAsia="Arial" w:hAnsi="Arial"/>
                <w:sz w:val="14"/>
                <w:szCs w:val="14"/>
                <w:color w:val="auto"/>
              </w:rPr>
              <w:t>Utilization of capital loss carryforward</w:t>
            </w:r>
          </w:p>
        </w:tc>
        <w:tc>
          <w:tcPr>
            <w:tcW w:w="22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(1,024)</w:t>
            </w:r>
          </w:p>
        </w:tc>
        <w:tc>
          <w:tcPr>
            <w:tcW w:w="100" w:type="dxa"/>
            <w:vAlign w:val="bottom"/>
            <w:shd w:val="clear" w:color="auto" w:fill="CCEEFF"/>
          </w:tcPr>
          <w:p>
            <w:pPr>
              <w:spacing w:after="0"/>
              <w:rPr>
                <w:sz w:val="23"/>
                <w:szCs w:val="23"/>
                <w:color w:val="auto"/>
              </w:rPr>
            </w:pPr>
          </w:p>
        </w:tc>
        <w:tc>
          <w:tcPr>
            <w:tcW w:w="320" w:type="dxa"/>
            <w:vAlign w:val="bottom"/>
            <w:tcBorders>
              <w:bottom w:val="single" w:sz="8" w:color="auto"/>
            </w:tcBorders>
            <w:shd w:val="clear" w:color="auto" w:fill="CCEEFF"/>
          </w:tcPr>
          <w:p>
            <w:pPr>
              <w:spacing w:after="0"/>
              <w:rPr>
                <w:sz w:val="23"/>
                <w:szCs w:val="23"/>
                <w:color w:val="auto"/>
              </w:rPr>
            </w:pP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r>
      <w:tr>
        <w:trPr>
          <w:trHeight w:val="250"/>
        </w:trPr>
        <w:tc>
          <w:tcPr>
            <w:tcW w:w="738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Ending cumulative non-deductible capital losses</w:t>
            </w: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761</w:t>
            </w:r>
          </w:p>
        </w:tc>
        <w:tc>
          <w:tcPr>
            <w:tcW w:w="100" w:type="dxa"/>
            <w:vAlign w:val="bottom"/>
            <w:tcBorders>
              <w:bottom w:val="single" w:sz="8" w:color="CCEEFF"/>
            </w:tcBorders>
          </w:tcPr>
          <w:p>
            <w:pPr>
              <w:spacing w:after="0"/>
              <w:rPr>
                <w:sz w:val="21"/>
                <w:szCs w:val="21"/>
                <w:color w:val="auto"/>
              </w:rPr>
            </w:pPr>
          </w:p>
        </w:tc>
        <w:tc>
          <w:tcPr>
            <w:tcW w:w="3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1,785</w:t>
            </w:r>
          </w:p>
        </w:tc>
      </w:tr>
      <w:tr>
        <w:trPr>
          <w:trHeight w:val="243"/>
        </w:trPr>
        <w:tc>
          <w:tcPr>
            <w:tcW w:w="7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Ending cumulative non-deductible capital losses per common share</w:t>
            </w: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2.16</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5.01</w:t>
            </w:r>
          </w:p>
        </w:tc>
      </w:tr>
      <w:tr>
        <w:trPr>
          <w:trHeight w:val="20"/>
        </w:trPr>
        <w:tc>
          <w:tcPr>
            <w:tcW w:w="73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r>
    </w:tbl>
    <w:p>
      <w:pPr>
        <w:spacing w:after="0" w:line="256"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Taxable income for fiscal year 2014 excludes $1.0 billion of estimated net capital gains, which were applied against our prior year net capital loss carryforward. Taxable income for fiscal year 2013 excludes $1.8 billion of non-deductible net capital losses. Net capital losses can be carried forward and applied against future net capital gains for up to five years.</w:t>
      </w:r>
    </w:p>
    <w:p>
      <w:pPr>
        <w:spacing w:after="0" w:line="127"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For fiscal years 2014 and 2013, we distributed all of our taxable income within the limits prescribed by the Internal Revenue Code. Accordingly, we did not incur an income tax liability on our 2014 and 2013 taxable income. However, we did not distribute the required minimum amount of taxable income during fiscal year 2013 pursuant to federal excise tax requirements and we recognized an excise tax provision of $3 million for fiscal year 2013. Additionally, for fiscal year 2013, we recorded an income tax provision of $10 million attributable to our TRS.</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62</w:t>
      </w:r>
    </w:p>
    <w:p>
      <w:pPr>
        <w:sectPr>
          <w:pgSz w:w="11900" w:h="16838" w:orient="portrait"/>
          <w:cols w:equalWidth="0" w:num="1">
            <w:col w:w="11420"/>
          </w:cols>
          <w:pgMar w:left="240" w:top="584" w:right="239" w:bottom="1440" w:gutter="0" w:footer="0" w:header="0"/>
        </w:sectPr>
      </w:pPr>
    </w:p>
    <w:bookmarkStart w:id="63" w:name="page64"/>
    <w:bookmarkEnd w:id="63"/>
    <w:p>
      <w:pPr>
        <w:ind w:right="20" w:firstLine="432"/>
        <w:spacing w:after="0" w:line="277" w:lineRule="auto"/>
        <w:rPr>
          <w:sz w:val="20"/>
          <w:szCs w:val="20"/>
          <w:color w:val="auto"/>
        </w:rPr>
      </w:pPr>
      <w:r>
        <w:rPr>
          <w:rFonts w:ascii="Arial" w:cs="Arial" w:eastAsia="Arial" w:hAnsi="Arial"/>
          <w:sz w:val="18"/>
          <w:szCs w:val="18"/>
          <w:color w:val="auto"/>
        </w:rPr>
        <w:t>The following table summarizes dividends declared on our Series A Preferred Stock, depositary shares underlying our Series B Preferred Stock and common stock during fiscal years 2014 and 2013:</w:t>
      </w:r>
    </w:p>
    <w:p>
      <w:pPr>
        <w:spacing w:after="0" w:line="293" w:lineRule="exact"/>
        <w:rPr>
          <w:sz w:val="20"/>
          <w:szCs w:val="20"/>
          <w:color w:val="auto"/>
        </w:rPr>
      </w:pPr>
    </w:p>
    <w:tbl>
      <w:tblPr>
        <w:tblLayout w:type="fixed"/>
        <w:tblInd w:w="1200" w:type="dxa"/>
        <w:tblCellMar>
          <w:top w:w="0" w:type="dxa"/>
          <w:left w:w="0" w:type="dxa"/>
          <w:bottom w:w="0" w:type="dxa"/>
          <w:right w:w="0" w:type="dxa"/>
        </w:tblCellMar>
      </w:tblPr>
      <w:tr>
        <w:trPr>
          <w:trHeight w:val="210"/>
        </w:trPr>
        <w:tc>
          <w:tcPr>
            <w:tcW w:w="4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420" w:type="dxa"/>
            <w:vAlign w:val="bottom"/>
            <w:gridSpan w:val="6"/>
          </w:tcPr>
          <w:p>
            <w:pPr>
              <w:jc w:val="right"/>
              <w:spacing w:after="0"/>
              <w:rPr>
                <w:sz w:val="20"/>
                <w:szCs w:val="20"/>
                <w:color w:val="auto"/>
              </w:rPr>
            </w:pPr>
            <w:r>
              <w:rPr>
                <w:rFonts w:ascii="Arial" w:cs="Arial" w:eastAsia="Arial" w:hAnsi="Arial"/>
                <w:sz w:val="16"/>
                <w:szCs w:val="16"/>
                <w:b w:val="1"/>
                <w:bCs w:val="1"/>
                <w:color w:val="auto"/>
              </w:rPr>
              <w:t>Dividends Declared per Share</w:t>
            </w:r>
          </w:p>
        </w:tc>
        <w:tc>
          <w:tcPr>
            <w:tcW w:w="1360" w:type="dxa"/>
            <w:vAlign w:val="bottom"/>
          </w:tcPr>
          <w:p>
            <w:pPr>
              <w:spacing w:after="0"/>
              <w:rPr>
                <w:sz w:val="18"/>
                <w:szCs w:val="18"/>
                <w:color w:val="auto"/>
              </w:rPr>
            </w:pPr>
          </w:p>
        </w:tc>
      </w:tr>
      <w:tr>
        <w:trPr>
          <w:trHeight w:val="33"/>
        </w:trPr>
        <w:tc>
          <w:tcPr>
            <w:tcW w:w="4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09"/>
        </w:trPr>
        <w:tc>
          <w:tcPr>
            <w:tcW w:w="4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1"/>
              </w:rPr>
              <w:t>Series B Preferred</w:t>
            </w:r>
          </w:p>
        </w:tc>
        <w:tc>
          <w:tcPr>
            <w:tcW w:w="180" w:type="dxa"/>
            <w:vAlign w:val="bottom"/>
          </w:tcPr>
          <w:p>
            <w:pPr>
              <w:spacing w:after="0"/>
              <w:rPr>
                <w:sz w:val="18"/>
                <w:szCs w:val="18"/>
                <w:color w:val="auto"/>
              </w:rPr>
            </w:pPr>
          </w:p>
        </w:tc>
        <w:tc>
          <w:tcPr>
            <w:tcW w:w="1360" w:type="dxa"/>
            <w:vAlign w:val="bottom"/>
          </w:tcPr>
          <w:p>
            <w:pPr>
              <w:spacing w:after="0"/>
              <w:rPr>
                <w:sz w:val="18"/>
                <w:szCs w:val="18"/>
                <w:color w:val="auto"/>
              </w:rPr>
            </w:pPr>
          </w:p>
        </w:tc>
      </w:tr>
      <w:tr>
        <w:trPr>
          <w:trHeight w:val="203"/>
        </w:trPr>
        <w:tc>
          <w:tcPr>
            <w:tcW w:w="4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0" w:type="dxa"/>
            <w:vAlign w:val="bottom"/>
            <w:gridSpan w:val="2"/>
          </w:tcPr>
          <w:p>
            <w:pPr>
              <w:jc w:val="center"/>
              <w:ind w:right="280"/>
              <w:spacing w:after="0"/>
              <w:rPr>
                <w:sz w:val="20"/>
                <w:szCs w:val="20"/>
                <w:color w:val="auto"/>
              </w:rPr>
            </w:pPr>
            <w:r>
              <w:rPr>
                <w:rFonts w:ascii="Arial" w:cs="Arial" w:eastAsia="Arial" w:hAnsi="Arial"/>
                <w:sz w:val="16"/>
                <w:szCs w:val="16"/>
                <w:b w:val="1"/>
                <w:bCs w:val="1"/>
                <w:color w:val="auto"/>
                <w:w w:val="91"/>
              </w:rPr>
              <w:t>Series A Preferred</w:t>
            </w:r>
          </w:p>
        </w:tc>
        <w:tc>
          <w:tcPr>
            <w:tcW w:w="120" w:type="dxa"/>
            <w:vAlign w:val="bottom"/>
          </w:tcPr>
          <w:p>
            <w:pPr>
              <w:spacing w:after="0"/>
              <w:rPr>
                <w:sz w:val="17"/>
                <w:szCs w:val="17"/>
                <w:color w:val="auto"/>
              </w:rPr>
            </w:pPr>
          </w:p>
        </w:tc>
        <w:tc>
          <w:tcPr>
            <w:tcW w:w="152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0"/>
              </w:rPr>
              <w:t>Stock (Per</w:t>
            </w:r>
          </w:p>
        </w:tc>
        <w:tc>
          <w:tcPr>
            <w:tcW w:w="180" w:type="dxa"/>
            <w:vAlign w:val="bottom"/>
          </w:tcPr>
          <w:p>
            <w:pPr>
              <w:spacing w:after="0"/>
              <w:rPr>
                <w:sz w:val="17"/>
                <w:szCs w:val="17"/>
                <w:color w:val="auto"/>
              </w:rPr>
            </w:pPr>
          </w:p>
        </w:tc>
        <w:tc>
          <w:tcPr>
            <w:tcW w:w="1360" w:type="dxa"/>
            <w:vAlign w:val="bottom"/>
          </w:tcPr>
          <w:p>
            <w:pPr>
              <w:spacing w:after="0"/>
              <w:rPr>
                <w:sz w:val="17"/>
                <w:szCs w:val="17"/>
                <w:color w:val="auto"/>
              </w:rPr>
            </w:pPr>
          </w:p>
        </w:tc>
      </w:tr>
      <w:tr>
        <w:trPr>
          <w:trHeight w:val="210"/>
        </w:trPr>
        <w:tc>
          <w:tcPr>
            <w:tcW w:w="4120" w:type="dxa"/>
            <w:vAlign w:val="bottom"/>
            <w:gridSpan w:val="2"/>
          </w:tcPr>
          <w:p>
            <w:pPr>
              <w:ind w:left="20"/>
              <w:spacing w:after="0"/>
              <w:rPr>
                <w:sz w:val="20"/>
                <w:szCs w:val="20"/>
                <w:color w:val="auto"/>
              </w:rPr>
            </w:pPr>
            <w:r>
              <w:rPr>
                <w:rFonts w:ascii="Arial" w:cs="Arial" w:eastAsia="Arial" w:hAnsi="Arial"/>
                <w:sz w:val="16"/>
                <w:szCs w:val="16"/>
                <w:b w:val="1"/>
                <w:bCs w:val="1"/>
                <w:color w:val="auto"/>
              </w:rPr>
              <w:t>Quarter Ended</w:t>
            </w:r>
          </w:p>
        </w:tc>
        <w:tc>
          <w:tcPr>
            <w:tcW w:w="140" w:type="dxa"/>
            <w:vAlign w:val="bottom"/>
          </w:tcPr>
          <w:p>
            <w:pPr>
              <w:spacing w:after="0"/>
              <w:rPr>
                <w:sz w:val="18"/>
                <w:szCs w:val="18"/>
                <w:color w:val="auto"/>
              </w:rPr>
            </w:pPr>
          </w:p>
        </w:tc>
        <w:tc>
          <w:tcPr>
            <w:tcW w:w="160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87"/>
              </w:rPr>
              <w:t>Stock</w:t>
            </w:r>
          </w:p>
        </w:tc>
        <w:tc>
          <w:tcPr>
            <w:tcW w:w="120" w:type="dxa"/>
            <w:vAlign w:val="bottom"/>
          </w:tcPr>
          <w:p>
            <w:pPr>
              <w:spacing w:after="0"/>
              <w:rPr>
                <w:sz w:val="18"/>
                <w:szCs w:val="18"/>
                <w:color w:val="auto"/>
              </w:rPr>
            </w:pPr>
          </w:p>
        </w:tc>
        <w:tc>
          <w:tcPr>
            <w:tcW w:w="152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0"/>
              </w:rPr>
              <w:t>Depositary Share)</w:t>
            </w:r>
          </w:p>
        </w:tc>
        <w:tc>
          <w:tcPr>
            <w:tcW w:w="180" w:type="dxa"/>
            <w:vAlign w:val="bottom"/>
          </w:tcPr>
          <w:p>
            <w:pPr>
              <w:spacing w:after="0"/>
              <w:rPr>
                <w:sz w:val="18"/>
                <w:szCs w:val="18"/>
                <w:color w:val="auto"/>
              </w:rPr>
            </w:pPr>
          </w:p>
        </w:tc>
        <w:tc>
          <w:tcPr>
            <w:tcW w:w="1360" w:type="dxa"/>
            <w:vAlign w:val="bottom"/>
          </w:tcPr>
          <w:p>
            <w:pPr>
              <w:jc w:val="right"/>
              <w:ind w:right="159"/>
              <w:spacing w:after="0"/>
              <w:rPr>
                <w:sz w:val="20"/>
                <w:szCs w:val="20"/>
                <w:color w:val="auto"/>
              </w:rPr>
            </w:pPr>
            <w:r>
              <w:rPr>
                <w:rFonts w:ascii="Arial" w:cs="Arial" w:eastAsia="Arial" w:hAnsi="Arial"/>
                <w:sz w:val="16"/>
                <w:szCs w:val="16"/>
                <w:b w:val="1"/>
                <w:bCs w:val="1"/>
                <w:color w:val="auto"/>
                <w:w w:val="93"/>
              </w:rPr>
              <w:t>Common Stock</w:t>
            </w:r>
          </w:p>
        </w:tc>
      </w:tr>
      <w:tr>
        <w:trPr>
          <w:trHeight w:val="33"/>
        </w:trPr>
        <w:tc>
          <w:tcPr>
            <w:tcW w:w="4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50"/>
        </w:trPr>
        <w:tc>
          <w:tcPr>
            <w:tcW w:w="41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 xml:space="preserve">December 31, 2014 </w:t>
            </w:r>
            <w:r>
              <w:rPr>
                <w:rFonts w:ascii="Arial" w:cs="Arial" w:eastAsia="Arial" w:hAnsi="Arial"/>
                <w:sz w:val="21"/>
                <w:szCs w:val="21"/>
                <w:color w:val="auto"/>
                <w:vertAlign w:val="superscript"/>
              </w:rPr>
              <w:t>1</w:t>
            </w: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0.50000</w:t>
            </w:r>
          </w:p>
        </w:tc>
        <w:tc>
          <w:tcPr>
            <w:tcW w:w="120" w:type="dxa"/>
            <w:vAlign w:val="bottom"/>
            <w:shd w:val="clear" w:color="auto" w:fill="CCEEFF"/>
          </w:tcPr>
          <w:p>
            <w:pPr>
              <w:spacing w:after="0"/>
              <w:rPr>
                <w:sz w:val="21"/>
                <w:szCs w:val="21"/>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0.484375</w:t>
            </w:r>
          </w:p>
        </w:tc>
        <w:tc>
          <w:tcPr>
            <w:tcW w:w="100" w:type="dxa"/>
            <w:vAlign w:val="bottom"/>
            <w:shd w:val="clear" w:color="auto" w:fill="CCEEFF"/>
          </w:tcPr>
          <w:p>
            <w:pPr>
              <w:spacing w:after="0"/>
              <w:rPr>
                <w:sz w:val="21"/>
                <w:szCs w:val="21"/>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0.66</w:t>
            </w:r>
          </w:p>
        </w:tc>
      </w:tr>
      <w:tr>
        <w:trPr>
          <w:trHeight w:val="237"/>
        </w:trPr>
        <w:tc>
          <w:tcPr>
            <w:tcW w:w="4120" w:type="dxa"/>
            <w:vAlign w:val="bottom"/>
            <w:gridSpan w:val="2"/>
          </w:tcPr>
          <w:p>
            <w:pPr>
              <w:ind w:left="20"/>
              <w:spacing w:after="0"/>
              <w:rPr>
                <w:sz w:val="20"/>
                <w:szCs w:val="20"/>
                <w:color w:val="auto"/>
              </w:rPr>
            </w:pPr>
            <w:r>
              <w:rPr>
                <w:rFonts w:ascii="Arial" w:cs="Arial" w:eastAsia="Arial" w:hAnsi="Arial"/>
                <w:sz w:val="16"/>
                <w:szCs w:val="16"/>
                <w:color w:val="auto"/>
              </w:rPr>
              <w:t>September 30, 2014</w:t>
            </w:r>
          </w:p>
        </w:tc>
        <w:tc>
          <w:tcPr>
            <w:tcW w:w="140" w:type="dxa"/>
            <w:vAlign w:val="bottom"/>
          </w:tcPr>
          <w:p>
            <w:pPr>
              <w:spacing w:after="0"/>
              <w:rPr>
                <w:sz w:val="20"/>
                <w:szCs w:val="20"/>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0.50000</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0.484375</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0.65</w:t>
            </w:r>
          </w:p>
        </w:tc>
      </w:tr>
      <w:tr>
        <w:trPr>
          <w:trHeight w:val="33"/>
        </w:trPr>
        <w:tc>
          <w:tcPr>
            <w:tcW w:w="4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70"/>
        </w:trPr>
        <w:tc>
          <w:tcPr>
            <w:tcW w:w="41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 xml:space="preserve">June 30, 2014 </w:t>
            </w:r>
            <w:r>
              <w:rPr>
                <w:rFonts w:ascii="Arial" w:cs="Arial" w:eastAsia="Arial" w:hAnsi="Arial"/>
                <w:sz w:val="21"/>
                <w:szCs w:val="21"/>
                <w:color w:val="auto"/>
                <w:vertAlign w:val="superscript"/>
              </w:rPr>
              <w:t>2</w:t>
            </w:r>
          </w:p>
        </w:tc>
        <w:tc>
          <w:tcPr>
            <w:tcW w:w="140" w:type="dxa"/>
            <w:vAlign w:val="bottom"/>
            <w:shd w:val="clear" w:color="auto" w:fill="CCEEFF"/>
          </w:tcPr>
          <w:p>
            <w:pPr>
              <w:spacing w:after="0"/>
              <w:rPr>
                <w:sz w:val="23"/>
                <w:szCs w:val="23"/>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0.50000</w:t>
            </w: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0.360590</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0.65</w:t>
            </w:r>
          </w:p>
        </w:tc>
      </w:tr>
      <w:tr>
        <w:trPr>
          <w:trHeight w:val="237"/>
        </w:trPr>
        <w:tc>
          <w:tcPr>
            <w:tcW w:w="4120" w:type="dxa"/>
            <w:vAlign w:val="bottom"/>
            <w:gridSpan w:val="2"/>
          </w:tcPr>
          <w:p>
            <w:pPr>
              <w:ind w:left="20"/>
              <w:spacing w:after="0"/>
              <w:rPr>
                <w:sz w:val="20"/>
                <w:szCs w:val="20"/>
                <w:color w:val="auto"/>
              </w:rPr>
            </w:pPr>
            <w:r>
              <w:rPr>
                <w:rFonts w:ascii="Arial" w:cs="Arial" w:eastAsia="Arial" w:hAnsi="Arial"/>
                <w:sz w:val="16"/>
                <w:szCs w:val="16"/>
                <w:color w:val="auto"/>
              </w:rPr>
              <w:t>March 31, 2014</w:t>
            </w:r>
          </w:p>
        </w:tc>
        <w:tc>
          <w:tcPr>
            <w:tcW w:w="140" w:type="dxa"/>
            <w:vAlign w:val="bottom"/>
          </w:tcPr>
          <w:p>
            <w:pPr>
              <w:spacing w:after="0"/>
              <w:rPr>
                <w:sz w:val="20"/>
                <w:szCs w:val="20"/>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0.50000</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0.65</w:t>
            </w:r>
          </w:p>
        </w:tc>
      </w:tr>
      <w:tr>
        <w:trPr>
          <w:trHeight w:val="33"/>
        </w:trPr>
        <w:tc>
          <w:tcPr>
            <w:tcW w:w="40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44"/>
        </w:trPr>
        <w:tc>
          <w:tcPr>
            <w:tcW w:w="41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2.00000</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1.329340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2.61</w:t>
            </w:r>
          </w:p>
        </w:tc>
      </w:tr>
      <w:tr>
        <w:trPr>
          <w:trHeight w:val="20"/>
        </w:trPr>
        <w:tc>
          <w:tcPr>
            <w:tcW w:w="40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r>
      <w:tr>
        <w:trPr>
          <w:trHeight w:val="311"/>
        </w:trPr>
        <w:tc>
          <w:tcPr>
            <w:tcW w:w="4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60" w:type="dxa"/>
            <w:vAlign w:val="bottom"/>
          </w:tcPr>
          <w:p>
            <w:pPr>
              <w:spacing w:after="0"/>
              <w:rPr>
                <w:sz w:val="24"/>
                <w:szCs w:val="24"/>
                <w:color w:val="auto"/>
              </w:rPr>
            </w:pPr>
          </w:p>
        </w:tc>
      </w:tr>
      <w:tr>
        <w:trPr>
          <w:trHeight w:val="270"/>
        </w:trPr>
        <w:tc>
          <w:tcPr>
            <w:tcW w:w="41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 xml:space="preserve">December 31, 2013 </w:t>
            </w:r>
            <w:r>
              <w:rPr>
                <w:rFonts w:ascii="Arial" w:cs="Arial" w:eastAsia="Arial" w:hAnsi="Arial"/>
                <w:sz w:val="21"/>
                <w:szCs w:val="21"/>
                <w:color w:val="auto"/>
                <w:vertAlign w:val="superscript"/>
              </w:rPr>
              <w:t>3</w:t>
            </w: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0.50000</w:t>
            </w: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52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0.65</w:t>
            </w:r>
          </w:p>
        </w:tc>
      </w:tr>
      <w:tr>
        <w:trPr>
          <w:trHeight w:val="237"/>
        </w:trPr>
        <w:tc>
          <w:tcPr>
            <w:tcW w:w="4120" w:type="dxa"/>
            <w:vAlign w:val="bottom"/>
            <w:gridSpan w:val="2"/>
          </w:tcPr>
          <w:p>
            <w:pPr>
              <w:ind w:left="20"/>
              <w:spacing w:after="0"/>
              <w:rPr>
                <w:sz w:val="20"/>
                <w:szCs w:val="20"/>
                <w:color w:val="auto"/>
              </w:rPr>
            </w:pPr>
            <w:r>
              <w:rPr>
                <w:rFonts w:ascii="Arial" w:cs="Arial" w:eastAsia="Arial" w:hAnsi="Arial"/>
                <w:sz w:val="16"/>
                <w:szCs w:val="16"/>
                <w:color w:val="auto"/>
              </w:rPr>
              <w:t>September 30, 2013</w:t>
            </w:r>
          </w:p>
        </w:tc>
        <w:tc>
          <w:tcPr>
            <w:tcW w:w="140" w:type="dxa"/>
            <w:vAlign w:val="bottom"/>
          </w:tcPr>
          <w:p>
            <w:pPr>
              <w:spacing w:after="0"/>
              <w:rPr>
                <w:sz w:val="20"/>
                <w:szCs w:val="20"/>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0.50000</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0.80</w:t>
            </w:r>
          </w:p>
        </w:tc>
      </w:tr>
      <w:tr>
        <w:trPr>
          <w:trHeight w:val="33"/>
        </w:trPr>
        <w:tc>
          <w:tcPr>
            <w:tcW w:w="4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41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June 30, 2013</w:t>
            </w:r>
          </w:p>
        </w:tc>
        <w:tc>
          <w:tcPr>
            <w:tcW w:w="14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0.50000</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1.05</w:t>
            </w:r>
          </w:p>
        </w:tc>
      </w:tr>
      <w:tr>
        <w:trPr>
          <w:trHeight w:val="237"/>
        </w:trPr>
        <w:tc>
          <w:tcPr>
            <w:tcW w:w="4120" w:type="dxa"/>
            <w:vAlign w:val="bottom"/>
            <w:gridSpan w:val="2"/>
          </w:tcPr>
          <w:p>
            <w:pPr>
              <w:ind w:left="20"/>
              <w:spacing w:after="0"/>
              <w:rPr>
                <w:sz w:val="20"/>
                <w:szCs w:val="20"/>
                <w:color w:val="auto"/>
              </w:rPr>
            </w:pPr>
            <w:r>
              <w:rPr>
                <w:rFonts w:ascii="Arial" w:cs="Arial" w:eastAsia="Arial" w:hAnsi="Arial"/>
                <w:sz w:val="16"/>
                <w:szCs w:val="16"/>
                <w:color w:val="auto"/>
              </w:rPr>
              <w:t>March 31, 2013</w:t>
            </w:r>
          </w:p>
        </w:tc>
        <w:tc>
          <w:tcPr>
            <w:tcW w:w="140" w:type="dxa"/>
            <w:vAlign w:val="bottom"/>
          </w:tcPr>
          <w:p>
            <w:pPr>
              <w:spacing w:after="0"/>
              <w:rPr>
                <w:sz w:val="20"/>
                <w:szCs w:val="20"/>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0.50000</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1.25</w:t>
            </w:r>
          </w:p>
        </w:tc>
      </w:tr>
      <w:tr>
        <w:trPr>
          <w:trHeight w:val="33"/>
        </w:trPr>
        <w:tc>
          <w:tcPr>
            <w:tcW w:w="40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44"/>
        </w:trPr>
        <w:tc>
          <w:tcPr>
            <w:tcW w:w="41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2.00000</w:t>
            </w:r>
          </w:p>
        </w:tc>
        <w:tc>
          <w:tcPr>
            <w:tcW w:w="120" w:type="dxa"/>
            <w:vAlign w:val="bottom"/>
            <w:shd w:val="clear" w:color="auto" w:fill="CCEEFF"/>
          </w:tcPr>
          <w:p>
            <w:pPr>
              <w:spacing w:after="0"/>
              <w:rPr>
                <w:sz w:val="21"/>
                <w:szCs w:val="21"/>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52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3.75</w:t>
            </w:r>
          </w:p>
        </w:tc>
      </w:tr>
      <w:tr>
        <w:trPr>
          <w:trHeight w:val="20"/>
        </w:trPr>
        <w:tc>
          <w:tcPr>
            <w:tcW w:w="40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r>
    </w:tbl>
    <w:p>
      <w:pPr>
        <w:spacing w:after="0"/>
        <w:rPr>
          <w:sz w:val="20"/>
          <w:szCs w:val="20"/>
          <w:color w:val="auto"/>
        </w:rPr>
      </w:pPr>
      <w:r>
        <w:rPr>
          <w:rFonts w:ascii="Arial" w:cs="Arial" w:eastAsia="Arial" w:hAnsi="Arial"/>
          <w:sz w:val="18"/>
          <w:szCs w:val="18"/>
          <w:color w:val="auto"/>
        </w:rPr>
        <w:t>_______________________</w:t>
      </w:r>
    </w:p>
    <w:p>
      <w:pPr>
        <w:spacing w:after="0" w:line="2" w:lineRule="exact"/>
        <w:rPr>
          <w:sz w:val="20"/>
          <w:szCs w:val="20"/>
          <w:color w:val="auto"/>
        </w:rPr>
      </w:pPr>
    </w:p>
    <w:p>
      <w:pPr>
        <w:ind w:left="660" w:hanging="328"/>
        <w:spacing w:after="0"/>
        <w:tabs>
          <w:tab w:leader="none" w:pos="660" w:val="left"/>
        </w:tabs>
        <w:numPr>
          <w:ilvl w:val="0"/>
          <w:numId w:val="44"/>
        </w:numPr>
        <w:rPr>
          <w:rFonts w:ascii="Arial" w:cs="Arial" w:eastAsia="Arial" w:hAnsi="Arial"/>
          <w:sz w:val="14"/>
          <w:szCs w:val="14"/>
          <w:color w:val="auto"/>
        </w:rPr>
      </w:pPr>
      <w:r>
        <w:rPr>
          <w:rFonts w:ascii="Arial" w:cs="Arial" w:eastAsia="Arial" w:hAnsi="Arial"/>
          <w:sz w:val="14"/>
          <w:szCs w:val="14"/>
          <w:color w:val="auto"/>
        </w:rPr>
        <w:t>The Series A and Series B Preferred Stock dividend held a record date of January 1, 2015 and is included in fiscal year 2015 for federal income tax purposes.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44"/>
        </w:numPr>
        <w:rPr>
          <w:rFonts w:ascii="Arial" w:cs="Arial" w:eastAsia="Arial" w:hAnsi="Arial"/>
          <w:sz w:val="14"/>
          <w:szCs w:val="14"/>
          <w:color w:val="auto"/>
        </w:rPr>
      </w:pPr>
      <w:r>
        <w:rPr>
          <w:rFonts w:ascii="Arial" w:cs="Arial" w:eastAsia="Arial" w:hAnsi="Arial"/>
          <w:sz w:val="14"/>
          <w:szCs w:val="14"/>
          <w:color w:val="auto"/>
        </w:rPr>
        <w:t>Series B Preferred Stock depositary share dividend amount includes dividends payable for a partial dividend period.</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44"/>
        </w:numPr>
        <w:rPr>
          <w:rFonts w:ascii="Arial" w:cs="Arial" w:eastAsia="Arial" w:hAnsi="Arial"/>
          <w:sz w:val="14"/>
          <w:szCs w:val="14"/>
          <w:color w:val="auto"/>
        </w:rPr>
      </w:pPr>
      <w:r>
        <w:rPr>
          <w:rFonts w:ascii="Arial" w:cs="Arial" w:eastAsia="Arial" w:hAnsi="Arial"/>
          <w:sz w:val="14"/>
          <w:szCs w:val="14"/>
          <w:color w:val="auto"/>
        </w:rPr>
        <w:t>The Series A Preferred Stock dividend held a record date of January 1, 2014 and is included in fiscal year 2014 for federal income tax purposes.</w:t>
      </w:r>
    </w:p>
    <w:p>
      <w:pPr>
        <w:spacing w:after="0" w:line="3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Comprehensive Income (Loss)</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summarizes the components of our other comprehensive income (loss) for fiscal years 2014 and 2013 (in millions):</w:t>
      </w:r>
    </w:p>
    <w:p>
      <w:pPr>
        <w:spacing w:after="0" w:line="200" w:lineRule="exact"/>
        <w:rPr>
          <w:sz w:val="20"/>
          <w:szCs w:val="20"/>
          <w:color w:val="auto"/>
        </w:rPr>
      </w:pPr>
    </w:p>
    <w:p>
      <w:pPr>
        <w:spacing w:after="0" w:line="219" w:lineRule="exact"/>
        <w:rPr>
          <w:sz w:val="20"/>
          <w:szCs w:val="20"/>
          <w:color w:val="auto"/>
        </w:rPr>
      </w:pPr>
    </w:p>
    <w:tbl>
      <w:tblPr>
        <w:tblLayout w:type="fixed"/>
        <w:tblInd w:w="760" w:type="dxa"/>
        <w:tblCellMar>
          <w:top w:w="0" w:type="dxa"/>
          <w:left w:w="0" w:type="dxa"/>
          <w:bottom w:w="0" w:type="dxa"/>
          <w:right w:w="0" w:type="dxa"/>
        </w:tblCellMar>
      </w:tblPr>
      <w:tr>
        <w:trPr>
          <w:trHeight w:val="192"/>
        </w:trPr>
        <w:tc>
          <w:tcPr>
            <w:tcW w:w="80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Fiscal Year</w:t>
            </w:r>
          </w:p>
        </w:tc>
        <w:tc>
          <w:tcPr>
            <w:tcW w:w="600" w:type="dxa"/>
            <w:vAlign w:val="bottom"/>
            <w:tcBorders>
              <w:bottom w:val="single" w:sz="8" w:color="auto"/>
            </w:tcBorders>
          </w:tcPr>
          <w:p>
            <w:pPr>
              <w:spacing w:after="0"/>
              <w:rPr>
                <w:sz w:val="16"/>
                <w:szCs w:val="16"/>
                <w:color w:val="auto"/>
              </w:rPr>
            </w:pPr>
          </w:p>
        </w:tc>
      </w:tr>
      <w:tr>
        <w:trPr>
          <w:trHeight w:val="264"/>
        </w:trPr>
        <w:tc>
          <w:tcPr>
            <w:tcW w:w="804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w w:val="83"/>
              </w:rPr>
              <w:t>2013</w:t>
            </w:r>
          </w:p>
        </w:tc>
      </w:tr>
      <w:tr>
        <w:trPr>
          <w:trHeight w:val="270"/>
        </w:trPr>
        <w:tc>
          <w:tcPr>
            <w:tcW w:w="8040" w:type="dxa"/>
            <w:vAlign w:val="bottom"/>
            <w:shd w:val="clear" w:color="auto" w:fill="CCEEFF"/>
          </w:tcPr>
          <w:p>
            <w:pPr>
              <w:ind w:left="20"/>
              <w:spacing w:after="0"/>
              <w:rPr>
                <w:sz w:val="20"/>
                <w:szCs w:val="20"/>
                <w:color w:val="auto"/>
              </w:rPr>
            </w:pPr>
            <w:r>
              <w:rPr>
                <w:rFonts w:ascii="Arial" w:cs="Arial" w:eastAsia="Arial" w:hAnsi="Arial"/>
                <w:sz w:val="14"/>
                <w:szCs w:val="14"/>
                <w:color w:val="auto"/>
              </w:rPr>
              <w:t>Unrealized gain (loss) on AFS securities, net:</w:t>
            </w:r>
          </w:p>
        </w:tc>
        <w:tc>
          <w:tcPr>
            <w:tcW w:w="20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600" w:type="dxa"/>
            <w:vAlign w:val="bottom"/>
            <w:shd w:val="clear" w:color="auto" w:fill="CCEEFF"/>
          </w:tcPr>
          <w:p>
            <w:pPr>
              <w:spacing w:after="0"/>
              <w:rPr>
                <w:sz w:val="23"/>
                <w:szCs w:val="23"/>
                <w:color w:val="auto"/>
              </w:rPr>
            </w:pPr>
          </w:p>
        </w:tc>
      </w:tr>
      <w:tr>
        <w:trPr>
          <w:trHeight w:val="264"/>
        </w:trPr>
        <w:tc>
          <w:tcPr>
            <w:tcW w:w="8040" w:type="dxa"/>
            <w:vAlign w:val="bottom"/>
          </w:tcPr>
          <w:p>
            <w:pPr>
              <w:ind w:left="100"/>
              <w:spacing w:after="0"/>
              <w:rPr>
                <w:sz w:val="20"/>
                <w:szCs w:val="20"/>
                <w:color w:val="auto"/>
              </w:rPr>
            </w:pPr>
            <w:r>
              <w:rPr>
                <w:rFonts w:ascii="Arial" w:cs="Arial" w:eastAsia="Arial" w:hAnsi="Arial"/>
                <w:sz w:val="14"/>
                <w:szCs w:val="14"/>
                <w:color w:val="auto"/>
              </w:rPr>
              <w:t>Unrealized gain (loss), net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1,708</w:t>
            </w:r>
          </w:p>
        </w:tc>
        <w:tc>
          <w:tcPr>
            <w:tcW w:w="100" w:type="dxa"/>
            <w:vAlign w:val="bottom"/>
          </w:tcPr>
          <w:p>
            <w:pPr>
              <w:spacing w:after="0"/>
              <w:rPr>
                <w:sz w:val="22"/>
                <w:szCs w:val="22"/>
                <w:color w:val="auto"/>
              </w:rPr>
            </w:pP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(4,535)</w:t>
            </w:r>
          </w:p>
        </w:tc>
      </w:tr>
      <w:tr>
        <w:trPr>
          <w:trHeight w:val="270"/>
        </w:trPr>
        <w:tc>
          <w:tcPr>
            <w:tcW w:w="8040" w:type="dxa"/>
            <w:vAlign w:val="bottom"/>
            <w:shd w:val="clear" w:color="auto" w:fill="CCEEFF"/>
          </w:tcPr>
          <w:p>
            <w:pPr>
              <w:ind w:left="100"/>
              <w:spacing w:after="0"/>
              <w:rPr>
                <w:sz w:val="20"/>
                <w:szCs w:val="20"/>
                <w:color w:val="auto"/>
              </w:rPr>
            </w:pPr>
            <w:r>
              <w:rPr>
                <w:rFonts w:ascii="Arial" w:cs="Arial" w:eastAsia="Arial" w:hAnsi="Arial"/>
                <w:sz w:val="14"/>
                <w:szCs w:val="14"/>
                <w:color w:val="auto"/>
              </w:rPr>
              <w:t>Reversal of prior period unrealized (gain) loss, net, upon realization</w:t>
            </w:r>
          </w:p>
        </w:tc>
        <w:tc>
          <w:tcPr>
            <w:tcW w:w="20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(51)</w:t>
            </w:r>
          </w:p>
        </w:tc>
        <w:tc>
          <w:tcPr>
            <w:tcW w:w="10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1,408</w:t>
            </w:r>
          </w:p>
        </w:tc>
      </w:tr>
      <w:tr>
        <w:trPr>
          <w:trHeight w:val="250"/>
        </w:trPr>
        <w:tc>
          <w:tcPr>
            <w:tcW w:w="804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Unrealized gain (loss) on AFS securities, net:</w:t>
            </w:r>
          </w:p>
        </w:tc>
        <w:tc>
          <w:tcPr>
            <w:tcW w:w="20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1,657</w:t>
            </w:r>
          </w:p>
        </w:tc>
        <w:tc>
          <w:tcPr>
            <w:tcW w:w="100" w:type="dxa"/>
            <w:vAlign w:val="bottom"/>
            <w:tcBorders>
              <w:bottom w:val="single" w:sz="8" w:color="CCEEFF"/>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(3,127)</w:t>
            </w:r>
          </w:p>
        </w:tc>
      </w:tr>
      <w:tr>
        <w:trPr>
          <w:trHeight w:val="270"/>
        </w:trPr>
        <w:tc>
          <w:tcPr>
            <w:tcW w:w="8040" w:type="dxa"/>
            <w:vAlign w:val="bottom"/>
            <w:shd w:val="clear" w:color="auto" w:fill="CCEEFF"/>
          </w:tcPr>
          <w:p>
            <w:pPr>
              <w:ind w:left="20"/>
              <w:spacing w:after="0"/>
              <w:rPr>
                <w:sz w:val="20"/>
                <w:szCs w:val="20"/>
                <w:color w:val="auto"/>
              </w:rPr>
            </w:pPr>
            <w:r>
              <w:rPr>
                <w:rFonts w:ascii="Arial" w:cs="Arial" w:eastAsia="Arial" w:hAnsi="Arial"/>
                <w:sz w:val="14"/>
                <w:szCs w:val="14"/>
                <w:color w:val="auto"/>
              </w:rPr>
              <w:t>Unrealized gain on interest rate swaps designated as cash flow hedges:</w:t>
            </w:r>
          </w:p>
        </w:tc>
        <w:tc>
          <w:tcPr>
            <w:tcW w:w="20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600" w:type="dxa"/>
            <w:vAlign w:val="bottom"/>
            <w:shd w:val="clear" w:color="auto" w:fill="CCEEFF"/>
          </w:tcPr>
          <w:p>
            <w:pPr>
              <w:spacing w:after="0"/>
              <w:rPr>
                <w:sz w:val="23"/>
                <w:szCs w:val="23"/>
                <w:color w:val="auto"/>
              </w:rPr>
            </w:pPr>
          </w:p>
        </w:tc>
      </w:tr>
      <w:tr>
        <w:trPr>
          <w:trHeight w:val="264"/>
        </w:trPr>
        <w:tc>
          <w:tcPr>
            <w:tcW w:w="8040" w:type="dxa"/>
            <w:vAlign w:val="bottom"/>
            <w:tcBorders>
              <w:bottom w:val="single" w:sz="8" w:color="CCEEFF"/>
            </w:tcBorders>
          </w:tcPr>
          <w:p>
            <w:pPr>
              <w:ind w:left="100"/>
              <w:spacing w:after="0"/>
              <w:rPr>
                <w:sz w:val="20"/>
                <w:szCs w:val="20"/>
                <w:color w:val="auto"/>
              </w:rPr>
            </w:pPr>
            <w:r>
              <w:rPr>
                <w:rFonts w:ascii="Arial" w:cs="Arial" w:eastAsia="Arial" w:hAnsi="Arial"/>
                <w:sz w:val="14"/>
                <w:szCs w:val="14"/>
                <w:color w:val="auto"/>
              </w:rPr>
              <w:t>Reversal of prior period unrealized loss on interest rate swaps, net, upon reclassification to interest expense</w:t>
            </w: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156</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189</w:t>
            </w:r>
          </w:p>
        </w:tc>
      </w:tr>
      <w:tr>
        <w:trPr>
          <w:trHeight w:val="243"/>
        </w:trPr>
        <w:tc>
          <w:tcPr>
            <w:tcW w:w="8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 other comprehensive income (loss)</w:t>
            </w: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1,813</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(2,938)</w:t>
            </w:r>
          </w:p>
        </w:tc>
      </w:tr>
      <w:tr>
        <w:trPr>
          <w:trHeight w:val="20"/>
        </w:trPr>
        <w:tc>
          <w:tcPr>
            <w:tcW w:w="80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r>
    </w:tbl>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75"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Our primary sources of funds are borrowings under master repurchase agreements, asset sales, receipts of monthly principal and interest payments on our investment portfolio and equity offerings. Because the level of our borrowings can be adjusted on a daily basis, the level of cash and cash equivalents carried on our balance sheet is significantly less important than the potential liquidity available under our borrowing arrangements. Our leverage may vary periodically depending on market conditions and our Manager's assessment of risks and returns. We generally would expect our leverage to be within six to eleven times the amount of our stockholders' equity. However, under certain market conditions, we may operate at leverage levels outside of this range for extended periods of time.</w:t>
      </w:r>
    </w:p>
    <w:p>
      <w:pPr>
        <w:spacing w:after="0" w:line="139"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We currently believe that we have sufficient liquidity and capital resources available for the acquisition of additional investments, repayments on borrowings, maintenance of any margin requirements and the payment of cash dividends as required for our continued qualification as a REIT. To qualify as a REIT, we must distribute annually at least 90% of our taxable income. To the extent that we annually distribute all of our taxable income in a timely manner, we will generally not be subject to federal</w:t>
      </w:r>
    </w:p>
    <w:p>
      <w:pPr>
        <w:sectPr>
          <w:pgSz w:w="11900" w:h="16838" w:orient="portrait"/>
          <w:cols w:equalWidth="0" w:num="1">
            <w:col w:w="11420"/>
          </w:cols>
          <w:pgMar w:left="240" w:top="746" w:right="239" w:bottom="1440" w:gutter="0" w:footer="0" w:header="0"/>
        </w:sect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63</w:t>
      </w:r>
    </w:p>
    <w:p>
      <w:pPr>
        <w:sectPr>
          <w:pgSz w:w="11900" w:h="16838" w:orient="portrait"/>
          <w:cols w:equalWidth="0" w:num="1">
            <w:col w:w="11420"/>
          </w:cols>
          <w:pgMar w:left="240" w:top="746" w:right="239" w:bottom="1440" w:gutter="0" w:footer="0" w:header="0"/>
          <w:type w:val="continuous"/>
        </w:sectPr>
      </w:pPr>
    </w:p>
    <w:bookmarkStart w:id="64" w:name="page65"/>
    <w:bookmarkEnd w:id="64"/>
    <w:p>
      <w:pPr>
        <w:jc w:val="both"/>
        <w:spacing w:after="0" w:line="277" w:lineRule="auto"/>
        <w:rPr>
          <w:sz w:val="20"/>
          <w:szCs w:val="20"/>
          <w:color w:val="auto"/>
        </w:rPr>
      </w:pPr>
      <w:r>
        <w:rPr>
          <w:rFonts w:ascii="Arial" w:cs="Arial" w:eastAsia="Arial" w:hAnsi="Arial"/>
          <w:sz w:val="18"/>
          <w:szCs w:val="18"/>
          <w:color w:val="auto"/>
        </w:rPr>
        <w:t>and state income taxes. We currently expect to distribute all of our taxable income in a timely manner so that we are not subject to federal and state income taxes. This distribution requirement limits our ability to retain earnings and thereby replenish or increase capital from operations.</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Debt Capital</w:t>
      </w:r>
    </w:p>
    <w:p>
      <w:pPr>
        <w:spacing w:after="0" w:line="171"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Repurchase Agreements</w:t>
      </w:r>
    </w:p>
    <w:p>
      <w:pPr>
        <w:spacing w:after="0" w:line="17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As part of our investment strategy, we borrow against our investment portfolio pursuant to master repurchase agreements. We expect that the majority of our borrowings under such master repurchase agreements will have maturities ranging up to one year, but we may have longer-term borrowings ranging up to five years or longer. Borrowings under our master repurchase agreements with maturities greater than 90 days will typically have floating rates of interest based on LIBOR plus or minus a fixed spread.</w:t>
      </w:r>
    </w:p>
    <w:p>
      <w:pPr>
        <w:spacing w:after="0" w:line="133" w:lineRule="exact"/>
        <w:rPr>
          <w:sz w:val="20"/>
          <w:szCs w:val="20"/>
          <w:color w:val="auto"/>
        </w:rPr>
      </w:pPr>
    </w:p>
    <w:p>
      <w:pPr>
        <w:jc w:val="both"/>
        <w:ind w:firstLine="432"/>
        <w:spacing w:after="0" w:line="272" w:lineRule="auto"/>
        <w:rPr>
          <w:sz w:val="20"/>
          <w:szCs w:val="20"/>
          <w:color w:val="auto"/>
        </w:rPr>
      </w:pPr>
      <w:r>
        <w:rPr>
          <w:rFonts w:ascii="Arial" w:cs="Arial" w:eastAsia="Arial" w:hAnsi="Arial"/>
          <w:sz w:val="17"/>
          <w:szCs w:val="17"/>
          <w:color w:val="auto"/>
        </w:rPr>
        <w:t>As of December 31, 2015, we had $41.7 billion of repurchase agreements outstanding used to fund acquisitions of agency securities and we had an additional $25 million of repurchase agreements outstanding used to fund temporary holdings of U.S. Treasury securities, which we exclude from our leverage measurements due to the highly liquid and temporary nature of these investments. Our "at risk" leverage ratio was 6.8x as of December 31, 2015, compared to 6.9x as of December 31, 2014, measured as the sum of our mortgage borrowings (primarily consisting of our agency repurchase agreements), our net TBA position (at cost) and our net receivable / payable for unsettled mortgage securities divided by the sum of our total stockholders' equity less the fair value of our investment in REIT equity securities as of period end. Excluding our net TBA position, our leverage ratio was 5.8x our stockholders' equity as of December 31, 2015, compared to 5.3x as of December 31, 2014.</w:t>
      </w:r>
    </w:p>
    <w:p>
      <w:pPr>
        <w:spacing w:after="0" w:line="124"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As of December 31, 2015, our agency repurchase agreements had a weighted average cost of funds of 0.61% and a weighted average remaining days-to-maturity of 173 days, compared 0.41% and 143 days, respectively, as of December 31, 2014.</w:t>
      </w:r>
    </w:p>
    <w:p>
      <w:pPr>
        <w:spacing w:after="0" w:line="116"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To limit our exposure to counterparty credit risk, we diversify our funding across multiple counterparties and by counterparty region. As of December 31, 2015, we had master repurchase agreements with 36 financial institutions located throughout North America, Europe and Asia. As of December 31, 2015, less than 5% of our stockholders' equity was at risk with any one repo counterparty, with the top five repo counterparties representing less than 12% of our stockholders' equity. The table below includes a summary of our repurchase agreement funding by number of repo counterparties and counterparty region as of December 31, 2015. For further details regarding our borrowings under repurchase agreements and concentration of credit risk as of December 31, 2015, please refer to Notes 4 and 6 to our Consolidated Financial Statements in this Annual Report on Form 10-K.</w:t>
      </w:r>
    </w:p>
    <w:p>
      <w:pPr>
        <w:spacing w:after="0" w:line="332" w:lineRule="exact"/>
        <w:rPr>
          <w:sz w:val="20"/>
          <w:szCs w:val="20"/>
          <w:color w:val="auto"/>
        </w:rPr>
      </w:pPr>
    </w:p>
    <w:tbl>
      <w:tblPr>
        <w:tblLayout w:type="fixed"/>
        <w:tblInd w:w="2720" w:type="dxa"/>
        <w:tblCellMar>
          <w:top w:w="0" w:type="dxa"/>
          <w:left w:w="0" w:type="dxa"/>
          <w:bottom w:w="0" w:type="dxa"/>
          <w:right w:w="0" w:type="dxa"/>
        </w:tblCellMar>
      </w:tblPr>
      <w:tr>
        <w:trPr>
          <w:trHeight w:val="192"/>
        </w:trPr>
        <w:tc>
          <w:tcPr>
            <w:tcW w:w="2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940" w:type="dxa"/>
            <w:vAlign w:val="bottom"/>
            <w:tcBorders>
              <w:bottom w:val="single" w:sz="8" w:color="auto"/>
            </w:tcBorders>
            <w:gridSpan w:val="3"/>
          </w:tcPr>
          <w:p>
            <w:pPr>
              <w:ind w:left="900"/>
              <w:spacing w:after="0"/>
              <w:rPr>
                <w:sz w:val="20"/>
                <w:szCs w:val="20"/>
                <w:color w:val="auto"/>
              </w:rPr>
            </w:pPr>
            <w:r>
              <w:rPr>
                <w:rFonts w:ascii="Arial" w:cs="Arial" w:eastAsia="Arial" w:hAnsi="Arial"/>
                <w:sz w:val="14"/>
                <w:szCs w:val="14"/>
                <w:b w:val="1"/>
                <w:bCs w:val="1"/>
                <w:color w:val="auto"/>
              </w:rPr>
              <w:t>December 31, 2015</w:t>
            </w:r>
          </w:p>
        </w:tc>
        <w:tc>
          <w:tcPr>
            <w:tcW w:w="0" w:type="dxa"/>
            <w:vAlign w:val="bottom"/>
          </w:tcPr>
          <w:p>
            <w:pPr>
              <w:spacing w:after="0"/>
              <w:rPr>
                <w:sz w:val="1"/>
                <w:szCs w:val="1"/>
                <w:color w:val="auto"/>
              </w:rPr>
            </w:pPr>
          </w:p>
        </w:tc>
      </w:tr>
      <w:tr>
        <w:trPr>
          <w:trHeight w:val="152"/>
        </w:trPr>
        <w:tc>
          <w:tcPr>
            <w:tcW w:w="2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5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5"/>
              </w:rPr>
              <w:t>Number of Counter-</w:t>
            </w:r>
          </w:p>
        </w:tc>
        <w:tc>
          <w:tcPr>
            <w:tcW w:w="14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Percent of</w:t>
            </w:r>
          </w:p>
        </w:tc>
        <w:tc>
          <w:tcPr>
            <w:tcW w:w="0" w:type="dxa"/>
            <w:vAlign w:val="bottom"/>
          </w:tcPr>
          <w:p>
            <w:pPr>
              <w:spacing w:after="0"/>
              <w:rPr>
                <w:sz w:val="1"/>
                <w:szCs w:val="1"/>
                <w:color w:val="auto"/>
              </w:rPr>
            </w:pPr>
          </w:p>
        </w:tc>
      </w:tr>
      <w:tr>
        <w:trPr>
          <w:trHeight w:val="149"/>
        </w:trPr>
        <w:tc>
          <w:tcPr>
            <w:tcW w:w="294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Counter-Party Region</w:t>
            </w:r>
          </w:p>
        </w:tc>
        <w:tc>
          <w:tcPr>
            <w:tcW w:w="100" w:type="dxa"/>
            <w:vAlign w:val="bottom"/>
            <w:vMerge w:val="restart"/>
          </w:tcPr>
          <w:p>
            <w:pPr>
              <w:spacing w:after="0"/>
              <w:rPr>
                <w:sz w:val="12"/>
                <w:szCs w:val="12"/>
                <w:color w:val="auto"/>
              </w:rPr>
            </w:pPr>
          </w:p>
        </w:tc>
        <w:tc>
          <w:tcPr>
            <w:tcW w:w="1520" w:type="dxa"/>
            <w:vAlign w:val="bottom"/>
            <w:gridSpan w:val="2"/>
            <w:vMerge w:val="continue"/>
          </w:tcPr>
          <w:p>
            <w:pPr>
              <w:spacing w:after="0"/>
              <w:rPr>
                <w:sz w:val="12"/>
                <w:szCs w:val="12"/>
                <w:color w:val="auto"/>
              </w:rPr>
            </w:pPr>
          </w:p>
        </w:tc>
        <w:tc>
          <w:tcPr>
            <w:tcW w:w="14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Repurchase</w:t>
            </w:r>
          </w:p>
        </w:tc>
        <w:tc>
          <w:tcPr>
            <w:tcW w:w="0" w:type="dxa"/>
            <w:vAlign w:val="bottom"/>
          </w:tcPr>
          <w:p>
            <w:pPr>
              <w:spacing w:after="0"/>
              <w:rPr>
                <w:sz w:val="1"/>
                <w:szCs w:val="1"/>
                <w:color w:val="auto"/>
              </w:rPr>
            </w:pPr>
          </w:p>
        </w:tc>
      </w:tr>
      <w:tr>
        <w:trPr>
          <w:trHeight w:val="192"/>
        </w:trPr>
        <w:tc>
          <w:tcPr>
            <w:tcW w:w="29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Parties</w:t>
            </w:r>
          </w:p>
        </w:tc>
        <w:tc>
          <w:tcPr>
            <w:tcW w:w="100" w:type="dxa"/>
            <w:vAlign w:val="bottom"/>
            <w:tcBorders>
              <w:bottom w:val="single" w:sz="8" w:color="CCEEFF"/>
            </w:tcBorders>
          </w:tcPr>
          <w:p>
            <w:pPr>
              <w:spacing w:after="0"/>
              <w:rPr>
                <w:sz w:val="16"/>
                <w:szCs w:val="16"/>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Agreement Funding</w:t>
            </w:r>
          </w:p>
        </w:tc>
        <w:tc>
          <w:tcPr>
            <w:tcW w:w="0" w:type="dxa"/>
            <w:vAlign w:val="bottom"/>
          </w:tcPr>
          <w:p>
            <w:pPr>
              <w:spacing w:after="0"/>
              <w:rPr>
                <w:sz w:val="1"/>
                <w:szCs w:val="1"/>
                <w:color w:val="auto"/>
              </w:rPr>
            </w:pPr>
          </w:p>
        </w:tc>
      </w:tr>
      <w:tr>
        <w:trPr>
          <w:trHeight w:val="256"/>
        </w:trPr>
        <w:tc>
          <w:tcPr>
            <w:tcW w:w="30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North America</w:t>
            </w:r>
          </w:p>
        </w:tc>
        <w:tc>
          <w:tcPr>
            <w:tcW w:w="14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18</w:t>
            </w:r>
          </w:p>
        </w:tc>
        <w:tc>
          <w:tcPr>
            <w:tcW w:w="100" w:type="dxa"/>
            <w:vAlign w:val="bottom"/>
            <w:shd w:val="clear" w:color="auto" w:fill="CCEEFF"/>
          </w:tcPr>
          <w:p>
            <w:pPr>
              <w:spacing w:after="0"/>
              <w:rPr>
                <w:sz w:val="22"/>
                <w:szCs w:val="22"/>
                <w:color w:val="auto"/>
              </w:rPr>
            </w:pPr>
          </w:p>
        </w:tc>
        <w:tc>
          <w:tcPr>
            <w:tcW w:w="14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61%</w:t>
            </w:r>
          </w:p>
        </w:tc>
        <w:tc>
          <w:tcPr>
            <w:tcW w:w="0" w:type="dxa"/>
            <w:vAlign w:val="bottom"/>
          </w:tcPr>
          <w:p>
            <w:pPr>
              <w:spacing w:after="0"/>
              <w:rPr>
                <w:sz w:val="1"/>
                <w:szCs w:val="1"/>
                <w:color w:val="auto"/>
              </w:rPr>
            </w:pPr>
          </w:p>
        </w:tc>
      </w:tr>
      <w:tr>
        <w:trPr>
          <w:trHeight w:val="264"/>
        </w:trPr>
        <w:tc>
          <w:tcPr>
            <w:tcW w:w="3040" w:type="dxa"/>
            <w:vAlign w:val="bottom"/>
            <w:gridSpan w:val="2"/>
          </w:tcPr>
          <w:p>
            <w:pPr>
              <w:ind w:left="20"/>
              <w:spacing w:after="0"/>
              <w:rPr>
                <w:sz w:val="20"/>
                <w:szCs w:val="20"/>
                <w:color w:val="auto"/>
              </w:rPr>
            </w:pPr>
            <w:r>
              <w:rPr>
                <w:rFonts w:ascii="Arial" w:cs="Arial" w:eastAsia="Arial" w:hAnsi="Arial"/>
                <w:sz w:val="14"/>
                <w:szCs w:val="14"/>
                <w:color w:val="auto"/>
              </w:rPr>
              <w:t>Europe</w:t>
            </w:r>
          </w:p>
        </w:tc>
        <w:tc>
          <w:tcPr>
            <w:tcW w:w="1420" w:type="dxa"/>
            <w:vAlign w:val="bottom"/>
          </w:tcPr>
          <w:p>
            <w:pPr>
              <w:jc w:val="center"/>
              <w:spacing w:after="0"/>
              <w:rPr>
                <w:sz w:val="20"/>
                <w:szCs w:val="20"/>
                <w:color w:val="auto"/>
              </w:rPr>
            </w:pPr>
            <w:r>
              <w:rPr>
                <w:rFonts w:ascii="Arial" w:cs="Arial" w:eastAsia="Arial" w:hAnsi="Arial"/>
                <w:sz w:val="14"/>
                <w:szCs w:val="14"/>
                <w:color w:val="auto"/>
                <w:w w:val="89"/>
              </w:rPr>
              <w:t>13</w:t>
            </w:r>
          </w:p>
        </w:tc>
        <w:tc>
          <w:tcPr>
            <w:tcW w:w="100" w:type="dxa"/>
            <w:vAlign w:val="bottom"/>
          </w:tcPr>
          <w:p>
            <w:pPr>
              <w:spacing w:after="0"/>
              <w:rPr>
                <w:sz w:val="22"/>
                <w:szCs w:val="22"/>
                <w:color w:val="auto"/>
              </w:rPr>
            </w:pPr>
          </w:p>
        </w:tc>
        <w:tc>
          <w:tcPr>
            <w:tcW w:w="1420" w:type="dxa"/>
            <w:vAlign w:val="bottom"/>
          </w:tcPr>
          <w:p>
            <w:pPr>
              <w:jc w:val="center"/>
              <w:spacing w:after="0"/>
              <w:rPr>
                <w:sz w:val="20"/>
                <w:szCs w:val="20"/>
                <w:color w:val="auto"/>
              </w:rPr>
            </w:pPr>
            <w:r>
              <w:rPr>
                <w:rFonts w:ascii="Arial" w:cs="Arial" w:eastAsia="Arial" w:hAnsi="Arial"/>
                <w:sz w:val="14"/>
                <w:szCs w:val="14"/>
                <w:color w:val="auto"/>
                <w:w w:val="92"/>
              </w:rPr>
              <w:t>25%</w:t>
            </w:r>
          </w:p>
        </w:tc>
        <w:tc>
          <w:tcPr>
            <w:tcW w:w="0" w:type="dxa"/>
            <w:vAlign w:val="bottom"/>
          </w:tcPr>
          <w:p>
            <w:pPr>
              <w:spacing w:after="0"/>
              <w:rPr>
                <w:sz w:val="1"/>
                <w:szCs w:val="1"/>
                <w:color w:val="auto"/>
              </w:rPr>
            </w:pPr>
          </w:p>
        </w:tc>
      </w:tr>
      <w:tr>
        <w:trPr>
          <w:trHeight w:val="270"/>
        </w:trPr>
        <w:tc>
          <w:tcPr>
            <w:tcW w:w="30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Asia</w:t>
            </w: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76"/>
              </w:rPr>
              <w:t>5</w:t>
            </w:r>
          </w:p>
        </w:tc>
        <w:tc>
          <w:tcPr>
            <w:tcW w:w="100" w:type="dxa"/>
            <w:vAlign w:val="bottom"/>
            <w:shd w:val="clear" w:color="auto" w:fill="CCEEFF"/>
          </w:tcPr>
          <w:p>
            <w:pPr>
              <w:spacing w:after="0"/>
              <w:rPr>
                <w:sz w:val="23"/>
                <w:szCs w:val="23"/>
                <w:color w:val="auto"/>
              </w:rPr>
            </w:pP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14%</w:t>
            </w:r>
          </w:p>
        </w:tc>
        <w:tc>
          <w:tcPr>
            <w:tcW w:w="0" w:type="dxa"/>
            <w:vAlign w:val="bottom"/>
          </w:tcPr>
          <w:p>
            <w:pPr>
              <w:spacing w:after="0"/>
              <w:rPr>
                <w:sz w:val="1"/>
                <w:szCs w:val="1"/>
                <w:color w:val="auto"/>
              </w:rPr>
            </w:pPr>
          </w:p>
        </w:tc>
      </w:tr>
      <w:tr>
        <w:trPr>
          <w:trHeight w:val="237"/>
        </w:trPr>
        <w:tc>
          <w:tcPr>
            <w:tcW w:w="2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9"/>
              </w:rPr>
              <w:t>36</w:t>
            </w:r>
          </w:p>
        </w:tc>
        <w:tc>
          <w:tcPr>
            <w:tcW w:w="100" w:type="dxa"/>
            <w:vAlign w:val="bottom"/>
          </w:tcPr>
          <w:p>
            <w:pPr>
              <w:spacing w:after="0"/>
              <w:rPr>
                <w:sz w:val="20"/>
                <w:szCs w:val="20"/>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100%</w:t>
            </w:r>
          </w:p>
        </w:tc>
        <w:tc>
          <w:tcPr>
            <w:tcW w:w="0" w:type="dxa"/>
            <w:vAlign w:val="bottom"/>
          </w:tcPr>
          <w:p>
            <w:pPr>
              <w:spacing w:after="0"/>
              <w:rPr>
                <w:sz w:val="1"/>
                <w:szCs w:val="1"/>
                <w:color w:val="auto"/>
              </w:rPr>
            </w:pPr>
          </w:p>
        </w:tc>
      </w:tr>
      <w:tr>
        <w:trPr>
          <w:trHeight w:val="20"/>
        </w:trPr>
        <w:tc>
          <w:tcPr>
            <w:tcW w:w="29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4" w:lineRule="exact"/>
        <w:rPr>
          <w:sz w:val="20"/>
          <w:szCs w:val="20"/>
          <w:color w:val="auto"/>
        </w:rPr>
      </w:pPr>
    </w:p>
    <w:p>
      <w:pPr>
        <w:jc w:val="both"/>
        <w:ind w:firstLine="405"/>
        <w:spacing w:after="0" w:line="254" w:lineRule="auto"/>
        <w:rPr>
          <w:sz w:val="20"/>
          <w:szCs w:val="20"/>
          <w:color w:val="auto"/>
        </w:rPr>
      </w:pPr>
      <w:r>
        <w:rPr>
          <w:rFonts w:ascii="Arial" w:cs="Arial" w:eastAsia="Arial" w:hAnsi="Arial"/>
          <w:sz w:val="18"/>
          <w:szCs w:val="18"/>
          <w:color w:val="auto"/>
        </w:rPr>
        <w:t>Amounts available to be borrowed under our repurchase agreements are dependent upon lender collateral requirements and the lender's determination of the fair value of the securities pledged as collateral, which fluctuates with changes in interest rates, credit quality and liquidity conditions within the investment banking, mortgage finance and real estate industries. In addition, our counterparties apply a "haircut" to our pledged collateral, which means our collateral is valued at slightly less than market value. This haircut reflects the underlying risk of the specific collateral and protects our counterparty against a change in its value, but conversely subjects us to counterparty risk and limits the amount we can borrow against our investment securities. Our master repurchase agreements do not specify the haircut; rather haircuts are determined on an individual repurchase transaction basis. Throughout fiscal year 2015, haircuts on our pledged collateral remained stable and as of December 31, 2015, our weighted average haircut was approximately 5% of the value of our collateral.</w:t>
      </w:r>
    </w:p>
    <w:p>
      <w:pPr>
        <w:spacing w:after="0" w:line="138"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Under our repurchase agreements, we may be required to pledge additional assets to the repurchase agreement counterparties in the event the estimated fair value of the existing pledged collateral under such agreements declines and such counterparties demand additional collateral (a "margin call"), which may take the form of additional securities or cash. Specifically, margin calls would result from a decline in the value of our securities securing our repurchase agreements and prepayments on the mortgages securing such securities. Similarly, if the estimated fair value of our investment securities increases due to changes in interest</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1420"/>
          </w:cols>
          <w:pgMar w:left="240" w:top="746" w:right="239" w:bottom="1440" w:gutter="0" w:footer="0" w:header="0"/>
        </w:sectPr>
      </w:pPr>
    </w:p>
    <w:bookmarkStart w:id="65" w:name="page66"/>
    <w:bookmarkEnd w:id="65"/>
    <w:p>
      <w:pPr>
        <w:jc w:val="both"/>
        <w:spacing w:after="0" w:line="297" w:lineRule="auto"/>
        <w:rPr>
          <w:sz w:val="20"/>
          <w:szCs w:val="20"/>
          <w:color w:val="auto"/>
        </w:rPr>
      </w:pPr>
      <w:r>
        <w:rPr>
          <w:rFonts w:ascii="Arial" w:cs="Arial" w:eastAsia="Arial" w:hAnsi="Arial"/>
          <w:sz w:val="16"/>
          <w:szCs w:val="16"/>
          <w:color w:val="auto"/>
        </w:rPr>
        <w:t>rates or other factors, counterparties may release collateral back to us. Our repurchase agreements generally provide that the valuations of securities securing our repurchase agreements are to be obtained from a generally recognized source agreed to by the parties. However, in certain circumstances under certain of our repurchase agreements our lenders have the sole discretion to determine their value. In such instances, our lenders are required to act in good faith in making determinations of value. Our repurchase agreements generally provide that in the event of a margin call, we must provide additional securities or cash on the same business day that a margin call is made if the lender provides us notice prior to the margin notice deadline on such day.</w:t>
      </w:r>
    </w:p>
    <w:p>
      <w:pPr>
        <w:spacing w:after="0" w:line="104"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As of December 31, 2015, we had met all of our margin requirements and we had unrestricted cash and cash equivalents of $1.1 billion and unpledged securities of approximately $3.0 billion, including securities pledged to us and unpledged interests in our consolidated VIEs, available to meet margin calls on our repurchase agreements and other funding liabilities, derivative instruments and for other corporate purposes.</w:t>
      </w:r>
    </w:p>
    <w:p>
      <w:pPr>
        <w:spacing w:after="0" w:line="111"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Although we believe we will have adequate sources of liquidity available to us through repurchase agreement financing to execute our business strategy, there can be no assurances that repurchase agreement financing will be available to us upon the maturity of our current repurchase agreements to allow us to renew or replace our repurchase agreement financing on favorable terms or at all. If our repurchase agreement lenders default on their obligations to resell the underlying collateral back to us at the end of the term, we could incur a loss equal to the difference between the value of the collateral and the cash we originally received.</w:t>
      </w:r>
    </w:p>
    <w:p>
      <w:pPr>
        <w:spacing w:after="0" w:line="134"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During 2015, we formed a wholly-owned captive broker-dealer subsidiary, BES. BES is currently in the regulatory application process and expects to be operational in mid-2016. BES intends to become a member of the FICC, thereby providing us with additional repurchase agreement funding and TBA trade clearing capabilities. There can be no assurances that BES will be successful in receiving the regulatory approvals required to become operational or that BES will be successful in becoming a member of the FICC.</w:t>
      </w:r>
    </w:p>
    <w:p>
      <w:pPr>
        <w:spacing w:after="0" w:line="133"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To help manage the adverse impact of interest rate changes on the value of our investment portfolio as well as our cash flows, we utilize an interest rate risk management strategy under which we use derivative financial instruments. In particular, we attempt to mitigate the risk of the cost of our variable rate liabilities increasing at a faster rate than the earnings of our long-term fixed rate assets during a period of rising interest rates. The principal derivative instruments that we use are interest rate swaps, supplemented with the use of interest rate swaptions, TBA securities, U.S. Treasury securities, U.S. Treasury futures contracts and other instruments. Please refer to Notes 2 and 5 to our Consolidated Financial Statements in this Annual Report on Form 10-K for further details regarding our use of derivative instruments.</w:t>
      </w:r>
    </w:p>
    <w:p>
      <w:pPr>
        <w:spacing w:after="0" w:line="139"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Our derivative agreements typically require that we pledge/receive collateral on such agreements to/from our counterparties in a similar manner as we are required to under our repurchase agreements. Our counterparties, or the clearing agency in the case of centrally cleared interest rate swaps, typically have the sole discretion to determine the value of the derivative instruments and the value of the collateral securing such instruments. In the event of a margin call, we must generally provide additional collateral on the same business day.</w:t>
      </w:r>
    </w:p>
    <w:p>
      <w:pPr>
        <w:spacing w:after="0" w:line="133"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Similar to repurchase agreements, our use of derivatives exposes us to counterparty credit risk relating to potential losses that could be recognized in the event that our counterparties to these instruments fail to perform their obligations under the contracts. We minimize this risk by limiting our counterparties to major financial institutions with acceptable credit ratings and by monitoring positions with individual counterparties.</w:t>
      </w:r>
    </w:p>
    <w:p>
      <w:pPr>
        <w:spacing w:after="0" w:line="11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Excluding centrally cleared interest rate swaps, as of December 31, 2015, our amount at risk with any counterparty related to our interest rate swap and swaption agreements was less than 1% of our stockholders' equity.</w:t>
      </w:r>
    </w:p>
    <w:p>
      <w:pPr>
        <w:spacing w:after="0" w:line="116"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In the case of centrally cleared interest rate swap contracts, we could be exposed to credit risk if the central clearing agency or a clearing member defaults on its respective obligation to perform under the contract. However, we believe that the risk is minimal due to the exchange's initial and daily mark to market margin requirements and a clearinghouse guarantee fund and other resources that are available in the event of a clearing member default.</w:t>
      </w:r>
    </w:p>
    <w:p>
      <w:pPr>
        <w:spacing w:after="0" w:line="93"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TBA Dollar Roll Transactions</w:t>
      </w:r>
    </w:p>
    <w:p>
      <w:pPr>
        <w:spacing w:after="0" w:line="17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TBA dollar roll transactions represent a form of off-balance sheet financing accounted for as derivative instruments and we may use them as a means of leveraging (or deleveraging) our investment portfolio through the use of long (or short) TBA contracts. (See Notes 2 and 5 to our Consolidated Financial Statements in this Annual Report on Form 10-K).</w:t>
      </w:r>
    </w:p>
    <w:p>
      <w:pPr>
        <w:spacing w:after="0" w:line="181" w:lineRule="exact"/>
        <w:rPr>
          <w:sz w:val="20"/>
          <w:szCs w:val="20"/>
          <w:color w:val="auto"/>
        </w:rPr>
      </w:pPr>
    </w:p>
    <w:p>
      <w:pPr>
        <w:jc w:val="both"/>
        <w:ind w:firstLine="486"/>
        <w:spacing w:after="0" w:line="259" w:lineRule="auto"/>
        <w:rPr>
          <w:sz w:val="20"/>
          <w:szCs w:val="20"/>
          <w:color w:val="auto"/>
        </w:rPr>
      </w:pPr>
      <w:r>
        <w:rPr>
          <w:rFonts w:ascii="Arial" w:cs="Arial" w:eastAsia="Arial" w:hAnsi="Arial"/>
          <w:sz w:val="18"/>
          <w:szCs w:val="18"/>
          <w:color w:val="auto"/>
        </w:rPr>
        <w:t>Under certain market conditions, it may be uneconomical for us to roll our TBA contracts into future months and we may need to take or make physical delivery of the underlying securities. If we were required to take physical delivery to settle a long TBA contract, we would have to fund our total purchase commitment with cash or other financing sources and our liquidity position could be negatively impacted. As of December 31, 2015, we had a net long TBA position with a market value and total contract</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ectPr>
          <w:pgSz w:w="11900" w:h="16838" w:orient="portrait"/>
          <w:cols w:equalWidth="0" w:num="1">
            <w:col w:w="11420"/>
          </w:cols>
          <w:pgMar w:left="240" w:top="746" w:right="239" w:bottom="1440" w:gutter="0" w:footer="0" w:header="0"/>
        </w:sectPr>
      </w:pPr>
    </w:p>
    <w:bookmarkStart w:id="66" w:name="page67"/>
    <w:bookmarkEnd w:id="66"/>
    <w:p>
      <w:pPr>
        <w:jc w:val="both"/>
        <w:spacing w:after="0" w:line="277" w:lineRule="auto"/>
        <w:rPr>
          <w:sz w:val="20"/>
          <w:szCs w:val="20"/>
          <w:color w:val="auto"/>
        </w:rPr>
      </w:pPr>
      <w:r>
        <w:rPr>
          <w:rFonts w:ascii="Arial" w:cs="Arial" w:eastAsia="Arial" w:hAnsi="Arial"/>
          <w:sz w:val="18"/>
          <w:szCs w:val="18"/>
          <w:color w:val="auto"/>
        </w:rPr>
        <w:t>price of $7.4 billion and a total net carrying value of $14 million recognized in derivative assets/(liabilities), at fair value, on our Consolidated Balance Sheets in this Annual Report on Form 10-K.</w:t>
      </w:r>
    </w:p>
    <w:p>
      <w:pPr>
        <w:spacing w:after="0" w:line="170" w:lineRule="exact"/>
        <w:rPr>
          <w:sz w:val="20"/>
          <w:szCs w:val="20"/>
          <w:color w:val="auto"/>
        </w:rPr>
      </w:pPr>
    </w:p>
    <w:p>
      <w:pPr>
        <w:jc w:val="both"/>
        <w:ind w:firstLine="486"/>
        <w:spacing w:after="0" w:line="257" w:lineRule="auto"/>
        <w:rPr>
          <w:sz w:val="20"/>
          <w:szCs w:val="20"/>
          <w:color w:val="auto"/>
        </w:rPr>
      </w:pPr>
      <w:r>
        <w:rPr>
          <w:rFonts w:ascii="Arial" w:cs="Arial" w:eastAsia="Arial" w:hAnsi="Arial"/>
          <w:sz w:val="18"/>
          <w:szCs w:val="18"/>
          <w:color w:val="auto"/>
        </w:rPr>
        <w:t>Our TBA dollar roll contracts are also subject to margin requirements governed by the MBSD of the FICC and by our prime brokerage agreements, which may establish margin levels in excess of the MBSD. Such provisions require that we establish an initial margin based on the notional value of the TBA contract, which is subject to increase if the estimated fair value of our TBA contract or the estimated fair value of our pledged collateral declines. The MBSD has the sole discretion to determine the value of our TBA contracts and of the pledged collateral securing such contracts. In the event of a margin call, we must generally provide additional collateral on the same business day.</w:t>
      </w:r>
    </w:p>
    <w:p>
      <w:pPr>
        <w:spacing w:after="0" w:line="188" w:lineRule="exact"/>
        <w:rPr>
          <w:sz w:val="20"/>
          <w:szCs w:val="20"/>
          <w:color w:val="auto"/>
        </w:rPr>
      </w:pPr>
    </w:p>
    <w:p>
      <w:pPr>
        <w:jc w:val="both"/>
        <w:ind w:firstLine="486"/>
        <w:spacing w:after="0" w:line="264" w:lineRule="auto"/>
        <w:rPr>
          <w:sz w:val="20"/>
          <w:szCs w:val="20"/>
          <w:color w:val="auto"/>
        </w:rPr>
      </w:pPr>
      <w:r>
        <w:rPr>
          <w:rFonts w:ascii="Arial" w:cs="Arial" w:eastAsia="Arial" w:hAnsi="Arial"/>
          <w:sz w:val="18"/>
          <w:szCs w:val="18"/>
          <w:color w:val="auto"/>
        </w:rPr>
        <w:t>Settlement of our TBA obligations by taking delivery of the underlying securities as well as satisfying margin requirements could negatively impact our liquidity position. However, since we do not use TBA dollar roll transactions as our primary source of financing, we believe that we will have adequate sources of liquidity to meet such obligations.</w:t>
      </w:r>
    </w:p>
    <w:p>
      <w:pPr>
        <w:spacing w:after="0" w:line="127" w:lineRule="exact"/>
        <w:rPr>
          <w:sz w:val="20"/>
          <w:szCs w:val="20"/>
          <w:color w:val="auto"/>
        </w:rPr>
      </w:pPr>
    </w:p>
    <w:p>
      <w:pPr>
        <w:ind w:left="500"/>
        <w:spacing w:after="0"/>
        <w:rPr>
          <w:sz w:val="20"/>
          <w:szCs w:val="20"/>
          <w:color w:val="auto"/>
        </w:rPr>
      </w:pPr>
      <w:r>
        <w:rPr>
          <w:rFonts w:ascii="Arial" w:cs="Arial" w:eastAsia="Arial" w:hAnsi="Arial"/>
          <w:sz w:val="18"/>
          <w:szCs w:val="18"/>
          <w:i w:val="1"/>
          <w:iCs w:val="1"/>
          <w:color w:val="auto"/>
        </w:rPr>
        <w:t>Federal Home Loan Bank Membership</w:t>
      </w:r>
    </w:p>
    <w:p>
      <w:pPr>
        <w:spacing w:after="0" w:line="225" w:lineRule="exact"/>
        <w:rPr>
          <w:sz w:val="20"/>
          <w:szCs w:val="20"/>
          <w:color w:val="auto"/>
        </w:rPr>
      </w:pPr>
    </w:p>
    <w:p>
      <w:pPr>
        <w:jc w:val="both"/>
        <w:ind w:firstLine="486"/>
        <w:spacing w:after="0" w:line="291" w:lineRule="auto"/>
        <w:rPr>
          <w:sz w:val="20"/>
          <w:szCs w:val="20"/>
          <w:color w:val="auto"/>
        </w:rPr>
      </w:pPr>
      <w:r>
        <w:rPr>
          <w:rFonts w:ascii="Arial" w:cs="Arial" w:eastAsia="Arial" w:hAnsi="Arial"/>
          <w:sz w:val="16"/>
          <w:szCs w:val="16"/>
          <w:color w:val="auto"/>
        </w:rPr>
        <w:t>In April 2015, our wholly-owned captive insurance subsidiary, OGI, was approved as a member of the FHLB of Des Moines. The FHLBs provide a variety of products and services to their members, including short and long-term secured loans, called "advances." In January 2016, the FHFA released its final rule on changes to regulations concerning FHLB membership criteria. The final rule terminates OGI's FHLB membership and requires repayment of all advances at the earlier of their contractual maturity dates or one year after the effective date of the final rule (February 2017). As of December 31, 2015, we had $3.8 billion of FHLB advances outstanding with a weighted average interest rate of 0.53% and a weighted average remaining days to maturity of 141 days up to February 2017. Termination of our FHLB membership could negatively impact our liquidity position, however, since FHLB advances do not represent our primary source of funding, we believe that we will have adequate alternative sources of funding upon such termination.</w:t>
      </w:r>
    </w:p>
    <w:p>
      <w:pPr>
        <w:spacing w:after="0" w:line="167"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FHLB members may use a variety of real estate related assets, including agency MBS and AAA non-agency securities, as collateral for advances. The ability to borrow from the FHLB during the duration of our FHLB membership is subject to our subsidiary's continued creditworthiness, pledging of sufficient eligible collateral to secure advances, and compliance with certain agreements with the FHLB. Each advance requires approval by the FHLB and is secured by collateral in accordance with the FHLB’s credit and collateral guidelines, as may be revised from time to time by the FHLB. In addition, membership in the FHLB obligates OGI to purchase membership and activity-based stock in the FHLB, the latter dependent upon the aggregate amount of advances obtained from the FHLB.</w:t>
      </w:r>
    </w:p>
    <w:p>
      <w:pPr>
        <w:spacing w:after="0" w:line="193" w:lineRule="exact"/>
        <w:rPr>
          <w:sz w:val="20"/>
          <w:szCs w:val="20"/>
          <w:color w:val="auto"/>
        </w:rPr>
      </w:pPr>
    </w:p>
    <w:p>
      <w:pPr>
        <w:jc w:val="both"/>
        <w:ind w:firstLine="486"/>
        <w:spacing w:after="0" w:line="259" w:lineRule="auto"/>
        <w:rPr>
          <w:sz w:val="20"/>
          <w:szCs w:val="20"/>
          <w:color w:val="auto"/>
        </w:rPr>
      </w:pPr>
      <w:r>
        <w:rPr>
          <w:rFonts w:ascii="Arial" w:cs="Arial" w:eastAsia="Arial" w:hAnsi="Arial"/>
          <w:sz w:val="18"/>
          <w:szCs w:val="18"/>
          <w:color w:val="auto"/>
        </w:rPr>
        <w:t>FHLB advances typically require higher effective "haircuts" than those required under our current repurchase agreements due to the combination of slightly higher haircuts implemented by the FHLB of Des Moines and the requirement to acquire activity-based stock in the FHLB concurrent with such borrowings. The FHLBs also determine the fair value of the securities pledged as collateral and retain the right to adjust collateral haircuts over the term of the secured borrowings.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 Sales and TBA Eligible Securities</w:t>
      </w:r>
    </w:p>
    <w:p>
      <w:pPr>
        <w:spacing w:after="0" w:line="171" w:lineRule="exact"/>
        <w:rPr>
          <w:sz w:val="20"/>
          <w:szCs w:val="20"/>
          <w:color w:val="auto"/>
        </w:rPr>
      </w:pPr>
    </w:p>
    <w:p>
      <w:pPr>
        <w:jc w:val="both"/>
        <w:ind w:firstLine="405"/>
        <w:spacing w:after="0" w:line="273" w:lineRule="auto"/>
        <w:rPr>
          <w:sz w:val="20"/>
          <w:szCs w:val="20"/>
          <w:color w:val="auto"/>
        </w:rPr>
      </w:pPr>
      <w:r>
        <w:rPr>
          <w:rFonts w:ascii="Arial" w:cs="Arial" w:eastAsia="Arial" w:hAnsi="Arial"/>
          <w:sz w:val="17"/>
          <w:szCs w:val="17"/>
          <w:color w:val="auto"/>
        </w:rPr>
        <w:t>We maintain a portfolio of highly liquid mortgage-backed securities. We may sell our agency securities through the TBA market by delivering them into TBA contracts, subject to "good delivery" provisions promulgated by SIFMA. We may alternatively sell agency securities that have more unique attributes on a specified basis when such securities trade at a premium over generic TBA securities or if the securities are not otherwise eligible for TBA delivery. Since the TBA market is the second most liquid market (second to the U.S. Treasury market), maintaining a significant level of agency securities eligible for TBA delivery enhances our liquidity profile and provides price support for our TBA eligible securities at or above generic TBA prices. As of December 31, 2015, approximately 90% of our fixed rate agency MBS portfolio was eligible for TBA delivery.</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Capital</w:t>
      </w:r>
    </w:p>
    <w:p>
      <w:pPr>
        <w:spacing w:after="0" w:line="171"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To the extent we raise additional equity capital through follow-on equity offerings, our at-the-market offering program or under our dividend reinvestment and direct stock purchase plan, we may use cash proceeds from such transactions to purchase additional investment securities, to make scheduled payments of principal and interest on our funding liabilities and for other general corporate purposes. There can be no assurance, however, that we will be able to raise additional equity capital at any particular time or on any particular terms. Furthermore, when the trading price of our common stock is significantly less than our estimate of our current net asset value per common share, among other conditions, we may repurchase shares of our common stock.</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ectPr>
          <w:pgSz w:w="11900" w:h="16838" w:orient="portrait"/>
          <w:cols w:equalWidth="0" w:num="1">
            <w:col w:w="11420"/>
          </w:cols>
          <w:pgMar w:left="240" w:top="584" w:right="239" w:bottom="1440" w:gutter="0" w:footer="0" w:header="0"/>
        </w:sectPr>
      </w:pPr>
    </w:p>
    <w:bookmarkStart w:id="67" w:name="page68"/>
    <w:bookmarkEnd w:id="67"/>
    <w:p>
      <w:pPr>
        <w:ind w:left="440"/>
        <w:spacing w:after="0"/>
        <w:rPr>
          <w:sz w:val="20"/>
          <w:szCs w:val="20"/>
          <w:color w:val="auto"/>
        </w:rPr>
      </w:pPr>
      <w:r>
        <w:rPr>
          <w:rFonts w:ascii="Arial" w:cs="Arial" w:eastAsia="Arial" w:hAnsi="Arial"/>
          <w:sz w:val="18"/>
          <w:szCs w:val="18"/>
          <w:i w:val="1"/>
          <w:iCs w:val="1"/>
          <w:color w:val="auto"/>
        </w:rPr>
        <w:t>Common Stock Repurchase Program</w:t>
      </w:r>
    </w:p>
    <w:p>
      <w:pPr>
        <w:spacing w:after="0" w:line="171" w:lineRule="exact"/>
        <w:rPr>
          <w:sz w:val="20"/>
          <w:szCs w:val="20"/>
          <w:color w:val="auto"/>
        </w:rPr>
      </w:pPr>
    </w:p>
    <w:p>
      <w:pPr>
        <w:jc w:val="both"/>
        <w:ind w:firstLine="405"/>
        <w:spacing w:after="0" w:line="289" w:lineRule="auto"/>
        <w:rPr>
          <w:sz w:val="20"/>
          <w:szCs w:val="20"/>
          <w:color w:val="auto"/>
        </w:rPr>
      </w:pPr>
      <w:r>
        <w:rPr>
          <w:rFonts w:ascii="Arial" w:cs="Arial" w:eastAsia="Arial" w:hAnsi="Arial"/>
          <w:sz w:val="16"/>
          <w:szCs w:val="16"/>
          <w:color w:val="auto"/>
        </w:rPr>
        <w:t>Our Board of Directors adopted a program that authorizes repurchases of our common stock up to $2 billion. In October 2015, our Board of Directors extended its authorization through December 31, 2016. Shares of our common stock may be purchased in the open market, including through block purchases, or through privately negotiated transactions, or pursuant to any trading plan that may be adopted in accordance with Rule 10b5-1 of the Securities Exchange Act of 1934, as amended. The timing, manner, price and amount of any repurchases will be determined at our discretion and the program may be suspended, terminated or modified at any time for any reason. Among other factors, we intend to only consider repurchasing shares of our common stock when the purchase price is less than our estimate of our current net asset value per common share. Generally, when we repurchase our common stock at a discount to our net asset value, the net asset value of our remaining shares of common stock outstanding increases. In addition, we do not intend to repurchase any shares from directors, officers or other affiliates. The program does not obligate us to acquire any specific number of shares, and all repurchases will be made in accordance with Rule 10b-18, which sets certain restrictions on the method, timing, price and volume of stock repurchases.</w:t>
      </w:r>
    </w:p>
    <w:p>
      <w:pPr>
        <w:spacing w:after="0" w:line="113" w:lineRule="exact"/>
        <w:rPr>
          <w:sz w:val="20"/>
          <w:szCs w:val="20"/>
          <w:color w:val="auto"/>
        </w:rPr>
      </w:pPr>
    </w:p>
    <w:p>
      <w:pPr>
        <w:jc w:val="both"/>
        <w:ind w:right="20" w:firstLine="405"/>
        <w:spacing w:after="0" w:line="342" w:lineRule="auto"/>
        <w:rPr>
          <w:sz w:val="20"/>
          <w:szCs w:val="20"/>
          <w:color w:val="auto"/>
        </w:rPr>
      </w:pPr>
      <w:r>
        <w:rPr>
          <w:rFonts w:ascii="Arial" w:cs="Arial" w:eastAsia="Arial" w:hAnsi="Arial"/>
          <w:sz w:val="16"/>
          <w:szCs w:val="16"/>
          <w:color w:val="auto"/>
        </w:rPr>
        <w:t>During fiscal year 2015, we repurchased 15.3 million shares of our common stock at an average repurchase price of $18.58 per share, including expenses, totaling $285 million. As of December 31, 2015, the total remaining amount authorized for repurchases of our common stock was $707 million.</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As of December 31, 2015, we did not maintain any relationships with unconsolidated entities or financial partnerships, such as entities often referred to as structured finance, or special purpose or variable interest entities, established for the purpose of facilitating off-balance sheet arrangements or other contractually narrow or limited purposes. Further, as of December 31, 2015, we had not guaranteed any obligations of unconsolidated entities or entered into any commitment or intent to provide funding to any such entities.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AGGREGATE CONTRACTUAL OBLIGATIONS</w:t>
      </w:r>
    </w:p>
    <w:p>
      <w:pPr>
        <w:spacing w:after="0" w:line="175"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The following table summarizes the effect on our liquidity and cash flows from contractual obligations for repurchase agreements, FHLB advances and related interest expense (in millions):</w:t>
      </w:r>
    </w:p>
    <w:p>
      <w:pPr>
        <w:spacing w:after="0" w:line="338" w:lineRule="exact"/>
        <w:rPr>
          <w:sz w:val="20"/>
          <w:szCs w:val="20"/>
          <w:color w:val="auto"/>
        </w:rPr>
      </w:pPr>
    </w:p>
    <w:tbl>
      <w:tblPr>
        <w:tblLayout w:type="fixed"/>
        <w:tblInd w:w="1420" w:type="dxa"/>
        <w:tblCellMar>
          <w:top w:w="0" w:type="dxa"/>
          <w:left w:w="0" w:type="dxa"/>
          <w:bottom w:w="0" w:type="dxa"/>
          <w:right w:w="0" w:type="dxa"/>
        </w:tblCellMar>
      </w:tblPr>
      <w:tr>
        <w:trPr>
          <w:trHeight w:val="192"/>
        </w:trPr>
        <w:tc>
          <w:tcPr>
            <w:tcW w:w="37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rPr>
              <w:t>Fiscal Year</w:t>
            </w:r>
          </w:p>
        </w:tc>
        <w:tc>
          <w:tcPr>
            <w:tcW w:w="140" w:type="dxa"/>
            <w:vAlign w:val="bottom"/>
            <w:tcBorders>
              <w:bottom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80" w:type="dxa"/>
            <w:vAlign w:val="bottom"/>
          </w:tcPr>
          <w:p>
            <w:pPr>
              <w:spacing w:after="0"/>
              <w:rPr>
                <w:sz w:val="16"/>
                <w:szCs w:val="16"/>
                <w:color w:val="auto"/>
              </w:rPr>
            </w:pPr>
          </w:p>
        </w:tc>
      </w:tr>
      <w:tr>
        <w:trPr>
          <w:trHeight w:val="264"/>
        </w:trPr>
        <w:tc>
          <w:tcPr>
            <w:tcW w:w="374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5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5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5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5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58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Total</w:t>
            </w:r>
          </w:p>
        </w:tc>
      </w:tr>
      <w:tr>
        <w:trPr>
          <w:trHeight w:val="256"/>
        </w:trPr>
        <w:tc>
          <w:tcPr>
            <w:tcW w:w="38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Repurchase agreements and FHLB advances</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39,464</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2,593</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650</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1,300</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1,500</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45,507</w:t>
            </w:r>
          </w:p>
        </w:tc>
      </w:tr>
      <w:tr>
        <w:trPr>
          <w:trHeight w:val="264"/>
        </w:trPr>
        <w:tc>
          <w:tcPr>
            <w:tcW w:w="386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Interest expense</w:t>
            </w:r>
            <w:r>
              <w:rPr>
                <w:rFonts w:ascii="Arial" w:cs="Arial" w:eastAsia="Arial" w:hAnsi="Arial"/>
                <w:sz w:val="8"/>
                <w:szCs w:val="8"/>
                <w:color w:val="auto"/>
              </w:rPr>
              <w:t>1</w:t>
            </w:r>
          </w:p>
        </w:tc>
        <w:tc>
          <w:tcPr>
            <w:tcW w:w="14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80</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35</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157</w:t>
            </w:r>
          </w:p>
        </w:tc>
      </w:tr>
      <w:tr>
        <w:trPr>
          <w:trHeight w:val="243"/>
        </w:trPr>
        <w:tc>
          <w:tcPr>
            <w:tcW w:w="38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39,544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2,628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675</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1,316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1,501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45,664</w:t>
            </w:r>
          </w:p>
        </w:tc>
      </w:tr>
      <w:tr>
        <w:trPr>
          <w:trHeight w:val="20"/>
        </w:trPr>
        <w:tc>
          <w:tcPr>
            <w:tcW w:w="37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r>
    </w:tbl>
    <w:p>
      <w:pPr>
        <w:spacing w:after="0"/>
        <w:rPr>
          <w:sz w:val="20"/>
          <w:szCs w:val="20"/>
          <w:color w:val="auto"/>
        </w:rPr>
      </w:pPr>
      <w:r>
        <w:rPr>
          <w:rFonts w:ascii="Arial" w:cs="Arial" w:eastAsia="Arial" w:hAnsi="Arial"/>
          <w:sz w:val="18"/>
          <w:szCs w:val="18"/>
          <w:color w:val="auto"/>
        </w:rPr>
        <w:t>________________________</w:t>
      </w:r>
    </w:p>
    <w:p>
      <w:pPr>
        <w:spacing w:after="0" w:line="2" w:lineRule="exact"/>
        <w:rPr>
          <w:sz w:val="20"/>
          <w:szCs w:val="20"/>
          <w:color w:val="auto"/>
        </w:rPr>
      </w:pPr>
    </w:p>
    <w:p>
      <w:pPr>
        <w:ind w:left="660" w:hanging="328"/>
        <w:spacing w:after="0"/>
        <w:tabs>
          <w:tab w:leader="none" w:pos="660" w:val="left"/>
        </w:tabs>
        <w:numPr>
          <w:ilvl w:val="0"/>
          <w:numId w:val="45"/>
        </w:numPr>
        <w:rPr>
          <w:rFonts w:ascii="Arial" w:cs="Arial" w:eastAsia="Arial" w:hAnsi="Arial"/>
          <w:sz w:val="14"/>
          <w:szCs w:val="14"/>
          <w:color w:val="auto"/>
        </w:rPr>
      </w:pPr>
      <w:r>
        <w:rPr>
          <w:rFonts w:ascii="Arial" w:cs="Arial" w:eastAsia="Arial" w:hAnsi="Arial"/>
          <w:sz w:val="14"/>
          <w:szCs w:val="14"/>
          <w:color w:val="auto"/>
        </w:rPr>
        <w:t>Interest expense is calculated based on the weighted average interest rates on our repurchase agreements and FHLB advances as of December 31, 2015.</w:t>
      </w:r>
    </w:p>
    <w:p>
      <w:pPr>
        <w:spacing w:after="0" w:line="1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75" w:lineRule="exact"/>
        <w:rPr>
          <w:sz w:val="20"/>
          <w:szCs w:val="20"/>
          <w:color w:val="auto"/>
        </w:rPr>
      </w:pPr>
    </w:p>
    <w:p>
      <w:pPr>
        <w:jc w:val="both"/>
        <w:ind w:firstLine="405"/>
        <w:spacing w:after="0" w:line="288" w:lineRule="auto"/>
        <w:rPr>
          <w:sz w:val="20"/>
          <w:szCs w:val="20"/>
          <w:color w:val="auto"/>
        </w:rPr>
      </w:pPr>
      <w:r>
        <w:rPr>
          <w:rFonts w:ascii="Arial" w:cs="Arial" w:eastAsia="Arial" w:hAnsi="Arial"/>
          <w:sz w:val="16"/>
          <w:szCs w:val="16"/>
          <w:i w:val="1"/>
          <w:iCs w:val="1"/>
          <w:color w:val="auto"/>
        </w:rPr>
        <w:t>All statements contained herein that are not historical facts including, but not limited to, statements regarding anticipated activity are forward looking in nature and involve a number of risks and uncertainties. Actual results may differ materially. Among the factors that could cause actual results to differ materially are the following: (i) changes in the market value of our assets; (ii) changes in net interest rate spreads; (iii) changes in prepayment rates of the mortgage loans underlying our agency securities; (iv) risks associated with our hedging activities; (v) availability and terms of financing arrangements; (vi) further actions by the U.S. government to stabilize the economy; (vii) changes in our business or investment strategy; (viii) legislative and regulatory changes (including changes to laws governing the taxation of REITs); (ix) our ability to meet the requirements of a REIT (including income and asset requirements); and (x) our ability to remain exempt from registration under the Investment Company Act of 1940. For a discussion of the risks and uncertainties which could cause actual results to differ from those contained in the forward-looking statements, please see the information under the caption "Risk Factors" described in this Annual Report on Form 10-K. We caution readers not to place undue reliance on any such forward-looking statements, which statements are made pursuant to the Private Securities Litigation Reform Act of 1995 and, as such, speak only as of the date made.</w:t>
      </w: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ectPr>
          <w:pgSz w:w="11900" w:h="16838" w:orient="portrait"/>
          <w:cols w:equalWidth="0" w:num="1">
            <w:col w:w="11420"/>
          </w:cols>
          <w:pgMar w:left="240" w:top="746" w:right="239" w:bottom="1440" w:gutter="0" w:footer="0" w:header="0"/>
        </w:sectPr>
      </w:pPr>
    </w:p>
    <w:bookmarkStart w:id="68" w:name="page69"/>
    <w:bookmarkEnd w:id="68"/>
    <w:p>
      <w:pPr>
        <w:spacing w:after="0"/>
        <w:rPr>
          <w:sz w:val="20"/>
          <w:szCs w:val="20"/>
          <w:color w:val="auto"/>
        </w:rPr>
      </w:pPr>
      <w:r>
        <w:rPr>
          <w:rFonts w:ascii="Arial" w:cs="Arial" w:eastAsia="Arial" w:hAnsi="Arial"/>
          <w:sz w:val="18"/>
          <w:szCs w:val="18"/>
          <w:b w:val="1"/>
          <w:bCs w:val="1"/>
          <w:color w:val="auto"/>
        </w:rPr>
        <w:t xml:space="preserve">Item 7A. </w:t>
      </w:r>
      <w:r>
        <w:rPr>
          <w:rFonts w:ascii="Arial" w:cs="Arial" w:eastAsia="Arial" w:hAnsi="Arial"/>
          <w:sz w:val="18"/>
          <w:szCs w:val="18"/>
          <w:b w:val="1"/>
          <w:bCs w:val="1"/>
          <w:i w:val="1"/>
          <w:iCs w:val="1"/>
          <w:color w:val="auto"/>
        </w:rPr>
        <w:t>Quantitative and Qualitative Disclosures about Market Risk</w:t>
      </w:r>
    </w:p>
    <w:p>
      <w:pPr>
        <w:spacing w:after="0" w:line="175"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Market risk is the exposure to loss resulting from changes in market factors such as interest rates, foreign currency exchange rates, commodity prices and equity prices. The primary market risks that we are exposed to are interest rate risk, prepayment risk, spread risk, liquidity risk, extension risk and credit risk.</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17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Interest rate risk is highly sensitive to many factors, including governmental monetary and tax policies, domestic and international economic and political considerations and other factors beyond our control.</w:t>
      </w:r>
    </w:p>
    <w:p>
      <w:pPr>
        <w:spacing w:after="0" w:line="116"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Changes in the general level of interest rates can affect our net interest income, which is the difference between the interest income earned on interest-earning assets and the interest expense incurred in connection with our interest-bearing liabilities, by affecting the spread between our interest-earning assets and interest-bearing liabilities. Changes in the level of interest rates can also affect the rate of prepayments of our securities and the value of the mortgage securities that constitute our investment portfolio, which affects our net income and ability to realize gains from the sale of these assets and impacts our ability and the amount that we can borrow against these securities.</w:t>
      </w:r>
    </w:p>
    <w:p>
      <w:pPr>
        <w:spacing w:after="0" w:line="134"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We may utilize a variety of financial instruments in order to limit the effects of changes in interest rates on our operations. The principal instruments that we use are interest rate swaps and swaptions. We also utilize TBA contracts as well as U.S. Treasury securities and U.S. Treasury futures contracts, primarily through short sales. We may also purchase or write put or call options on TBA securities and invest in mortgage and other types of derivative instruments, such as interest and principal-only securities. Derivative instruments may expose us to certain risks, including the risk that losses on a hedge position will reduce the funds available for payments to holders of our common stock and that the losses may exceed the amount we invested in the instruments.</w:t>
      </w:r>
    </w:p>
    <w:p>
      <w:pPr>
        <w:spacing w:after="0" w:line="139"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Our profitability and the value of our investment portfolio (including derivatives used for hedging purposes) may be adversely affected during any period as a result of changing interest rates including changes in the forward yield curve.</w:t>
      </w:r>
    </w:p>
    <w:p>
      <w:pPr>
        <w:spacing w:after="0" w:line="116"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Primary measures of an instrument's price sensitivity to interest rate fluctuations are its duration and convexity. Duration measures the estimated percentage change in market value of our mortgage assets or our hedge portfolio that would be caused by a parallel change in short and long-term interest rates. The duration of our investment portfolio changes with interest rates and tends to increase when rates rise and decrease when rates fall. This "negative convexity" generally increases the interest rate exposure of our investment portfolio in excess of what is measured by duration alone.</w:t>
      </w:r>
    </w:p>
    <w:p>
      <w:pPr>
        <w:spacing w:after="0" w:line="117"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We estimate the duration and convexity of our portfolio using both a third-party risk management system and market data. We review the duration estimates from the third-party model and may make adjustments based on our Manager's judgment. These adjustments are intended to, in our Manager's opinion, better reflect the unique characteristics and market trading conventions associated with certain types of securities.</w:t>
      </w:r>
    </w:p>
    <w:p>
      <w:pPr>
        <w:spacing w:after="0" w:line="127"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The table below quantifies the estimated changes in: net interest income (including periodic interest costs on our interest rate swaps); the fair value of our investment portfolio (including derivatives and other securities used for hedging purposes); and our net asset value as of December 31, 2015 and 2014 should interest rates go up or down by 50 and 100 basis points, assuming instantaneous parallel shifts in the yield curve and including the impact of both duration and convexity.</w:t>
      </w:r>
    </w:p>
    <w:p>
      <w:pPr>
        <w:spacing w:after="0" w:line="133"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All changes in income and value in the table below are measured as percentage changes from the base interest rate scenario. The base interest rate scenario assumes interest rates and prepayment projections as of December 31, 2015 and 2014. We apply a floor of 0% for the down rate scenarios on our interest bearing liabilities and the variable leg of our interest rate swaps, such that any hypothetical interest rate decrease would have a limited positive impact on our funding costs beyond a certain level.</w:t>
      </w:r>
    </w:p>
    <w:p>
      <w:pPr>
        <w:spacing w:after="0" w:line="133"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Actual results could differ materially from estimates, especially in the current market environment. To the extent that these estimates or other assumptions do not hold true, which is likely in a period of high price volatility, actual results will likely differ materially from projections. Moreover, if different models were employed in the analysis, materially different projections could result. Lastly, while the table below reflects the estimated impact of interest rate changes on a static portfolio, we actively manage our portfolio and we continuously make adjustments to the size and composition of our asset and hedge portfolio.</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ectPr>
          <w:pgSz w:w="11900" w:h="16838" w:orient="portrait"/>
          <w:cols w:equalWidth="0" w:num="1">
            <w:col w:w="11420"/>
          </w:cols>
          <w:pgMar w:left="240" w:top="743" w:right="239" w:bottom="1440" w:gutter="0" w:footer="0" w:header="0"/>
        </w:sectPr>
      </w:pPr>
    </w:p>
    <w:bookmarkStart w:id="69" w:name="page70"/>
    <w:bookmarkEnd w:id="69"/>
    <w:p>
      <w:pPr>
        <w:jc w:val="center"/>
        <w:spacing w:after="0"/>
        <w:rPr>
          <w:sz w:val="20"/>
          <w:szCs w:val="20"/>
          <w:color w:val="auto"/>
        </w:rPr>
      </w:pPr>
      <w:r>
        <w:rPr>
          <w:rFonts w:ascii="Arial" w:cs="Arial" w:eastAsia="Arial" w:hAnsi="Arial"/>
          <w:sz w:val="14"/>
          <w:szCs w:val="14"/>
          <w:b w:val="1"/>
          <w:bCs w:val="1"/>
          <w:color w:val="auto"/>
        </w:rPr>
        <w:t xml:space="preserve">Interest Rate Sensitivity </w:t>
      </w:r>
      <w:r>
        <w:rPr>
          <w:rFonts w:ascii="Arial" w:cs="Arial" w:eastAsia="Arial" w:hAnsi="Arial"/>
          <w:sz w:val="8"/>
          <w:szCs w:val="8"/>
          <w:b w:val="1"/>
          <w:bCs w:val="1"/>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1385570</wp:posOffset>
            </wp:positionH>
            <wp:positionV relativeFrom="paragraph">
              <wp:posOffset>23495</wp:posOffset>
            </wp:positionV>
            <wp:extent cx="4493895"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4493895" cy="8890"/>
                    </a:xfrm>
                    <a:prstGeom prst="rect">
                      <a:avLst/>
                    </a:prstGeom>
                    <a:noFill/>
                  </pic:spPr>
                </pic:pic>
              </a:graphicData>
            </a:graphic>
          </wp:anchor>
        </w:drawing>
      </w:r>
    </w:p>
    <w:p>
      <w:pPr>
        <w:spacing w:after="0" w:line="103" w:lineRule="exact"/>
        <w:rPr>
          <w:sz w:val="20"/>
          <w:szCs w:val="20"/>
          <w:color w:val="auto"/>
        </w:rPr>
      </w:pPr>
    </w:p>
    <w:tbl>
      <w:tblPr>
        <w:tblLayout w:type="fixed"/>
        <w:tblInd w:w="2180" w:type="dxa"/>
        <w:tblCellMar>
          <w:top w:w="0" w:type="dxa"/>
          <w:left w:w="0" w:type="dxa"/>
          <w:bottom w:w="0" w:type="dxa"/>
          <w:right w:w="0" w:type="dxa"/>
        </w:tblCellMar>
      </w:tblPr>
      <w:tr>
        <w:trPr>
          <w:trHeight w:val="192"/>
        </w:trPr>
        <w:tc>
          <w:tcPr>
            <w:tcW w:w="34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580" w:type="dxa"/>
            <w:vAlign w:val="bottom"/>
            <w:tcBorders>
              <w:bottom w:val="single" w:sz="8" w:color="auto"/>
            </w:tcBorders>
            <w:gridSpan w:val="5"/>
          </w:tcPr>
          <w:p>
            <w:pPr>
              <w:ind w:left="800"/>
              <w:spacing w:after="0"/>
              <w:rPr>
                <w:sz w:val="20"/>
                <w:szCs w:val="20"/>
                <w:color w:val="auto"/>
              </w:rPr>
            </w:pPr>
            <w:r>
              <w:rPr>
                <w:rFonts w:ascii="Arial" w:cs="Arial" w:eastAsia="Arial" w:hAnsi="Arial"/>
                <w:sz w:val="14"/>
                <w:szCs w:val="14"/>
                <w:b w:val="1"/>
                <w:bCs w:val="1"/>
                <w:color w:val="auto"/>
              </w:rPr>
              <w:t>Percentage Change in Projected</w:t>
            </w:r>
          </w:p>
        </w:tc>
        <w:tc>
          <w:tcPr>
            <w:tcW w:w="0" w:type="dxa"/>
            <w:vAlign w:val="bottom"/>
          </w:tcPr>
          <w:p>
            <w:pPr>
              <w:spacing w:after="0"/>
              <w:rPr>
                <w:sz w:val="1"/>
                <w:szCs w:val="1"/>
                <w:color w:val="auto"/>
              </w:rPr>
            </w:pPr>
          </w:p>
        </w:tc>
      </w:tr>
      <w:tr>
        <w:trPr>
          <w:trHeight w:val="152"/>
        </w:trPr>
        <w:tc>
          <w:tcPr>
            <w:tcW w:w="34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60" w:type="dxa"/>
            <w:vAlign w:val="bottom"/>
            <w:gridSpan w:val="2"/>
          </w:tcPr>
          <w:p>
            <w:pPr>
              <w:jc w:val="center"/>
              <w:ind w:right="140"/>
              <w:spacing w:after="0" w:line="153" w:lineRule="exact"/>
              <w:rPr>
                <w:sz w:val="20"/>
                <w:szCs w:val="20"/>
                <w:color w:val="auto"/>
              </w:rPr>
            </w:pPr>
            <w:r>
              <w:rPr>
                <w:rFonts w:ascii="Arial" w:cs="Arial" w:eastAsia="Arial" w:hAnsi="Arial"/>
                <w:sz w:val="14"/>
                <w:szCs w:val="14"/>
                <w:b w:val="1"/>
                <w:bCs w:val="1"/>
                <w:color w:val="auto"/>
                <w:w w:val="93"/>
              </w:rPr>
              <w:t>Portfolio</w:t>
            </w:r>
          </w:p>
        </w:tc>
        <w:tc>
          <w:tcPr>
            <w:tcW w:w="1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5"/>
        </w:trPr>
        <w:tc>
          <w:tcPr>
            <w:tcW w:w="340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Change in Interest Rate</w:t>
            </w:r>
          </w:p>
        </w:tc>
        <w:tc>
          <w:tcPr>
            <w:tcW w:w="100" w:type="dxa"/>
            <w:vAlign w:val="bottom"/>
            <w:vMerge w:val="restart"/>
          </w:tcPr>
          <w:p>
            <w:pPr>
              <w:spacing w:after="0"/>
              <w:rPr>
                <w:sz w:val="16"/>
                <w:szCs w:val="16"/>
                <w:color w:val="auto"/>
              </w:rPr>
            </w:pPr>
          </w:p>
        </w:tc>
        <w:tc>
          <w:tcPr>
            <w:tcW w:w="13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6"/>
              </w:rPr>
              <w:t>Net Interest</w:t>
            </w:r>
          </w:p>
        </w:tc>
        <w:tc>
          <w:tcPr>
            <w:tcW w:w="116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rPr>
              <w:t>Market</w:t>
            </w:r>
          </w:p>
        </w:tc>
        <w:tc>
          <w:tcPr>
            <w:tcW w:w="1120" w:type="dxa"/>
            <w:vAlign w:val="bottom"/>
          </w:tcPr>
          <w:p>
            <w:pPr>
              <w:ind w:left="80"/>
              <w:spacing w:after="0"/>
              <w:rPr>
                <w:sz w:val="20"/>
                <w:szCs w:val="20"/>
                <w:color w:val="auto"/>
              </w:rPr>
            </w:pPr>
            <w:r>
              <w:rPr>
                <w:rFonts w:ascii="Arial" w:cs="Arial" w:eastAsia="Arial" w:hAnsi="Arial"/>
                <w:sz w:val="14"/>
                <w:szCs w:val="14"/>
                <w:b w:val="1"/>
                <w:bCs w:val="1"/>
                <w:color w:val="auto"/>
                <w:w w:val="96"/>
              </w:rPr>
              <w:t>Net Asset Value</w:t>
            </w:r>
          </w:p>
        </w:tc>
        <w:tc>
          <w:tcPr>
            <w:tcW w:w="0" w:type="dxa"/>
            <w:vAlign w:val="bottom"/>
          </w:tcPr>
          <w:p>
            <w:pPr>
              <w:spacing w:after="0"/>
              <w:rPr>
                <w:sz w:val="1"/>
                <w:szCs w:val="1"/>
                <w:color w:val="auto"/>
              </w:rPr>
            </w:pPr>
          </w:p>
        </w:tc>
      </w:tr>
      <w:tr>
        <w:trPr>
          <w:trHeight w:val="162"/>
        </w:trPr>
        <w:tc>
          <w:tcPr>
            <w:tcW w:w="3400" w:type="dxa"/>
            <w:vAlign w:val="bottom"/>
            <w:tcBorders>
              <w:bottom w:val="single" w:sz="8" w:color="auto"/>
            </w:tcBorders>
            <w:vMerge w:val="continue"/>
          </w:tcPr>
          <w:p>
            <w:pPr>
              <w:spacing w:after="0"/>
              <w:rPr>
                <w:sz w:val="14"/>
                <w:szCs w:val="14"/>
                <w:color w:val="auto"/>
              </w:rPr>
            </w:pPr>
          </w:p>
        </w:tc>
        <w:tc>
          <w:tcPr>
            <w:tcW w:w="100" w:type="dxa"/>
            <w:vAlign w:val="bottom"/>
            <w:tcBorders>
              <w:bottom w:val="single" w:sz="8" w:color="CCEEFF"/>
            </w:tcBorders>
            <w:vMerge w:val="continue"/>
          </w:tcPr>
          <w:p>
            <w:pPr>
              <w:spacing w:after="0"/>
              <w:rPr>
                <w:sz w:val="14"/>
                <w:szCs w:val="14"/>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 xml:space="preserve">Income </w:t>
            </w:r>
            <w:r>
              <w:rPr>
                <w:rFonts w:ascii="Arial" w:cs="Arial" w:eastAsia="Arial" w:hAnsi="Arial"/>
                <w:sz w:val="8"/>
                <w:szCs w:val="8"/>
                <w:b w:val="1"/>
                <w:bCs w:val="1"/>
                <w:color w:val="auto"/>
                <w:w w:val="94"/>
              </w:rPr>
              <w:t>2</w:t>
            </w:r>
          </w:p>
        </w:tc>
        <w:tc>
          <w:tcPr>
            <w:tcW w:w="120" w:type="dxa"/>
            <w:vAlign w:val="bottom"/>
            <w:tcBorders>
              <w:bottom w:val="single" w:sz="8" w:color="CCEEFF"/>
            </w:tcBorders>
          </w:tcPr>
          <w:p>
            <w:pPr>
              <w:spacing w:after="0"/>
              <w:rPr>
                <w:sz w:val="14"/>
                <w:szCs w:val="14"/>
                <w:color w:val="auto"/>
              </w:rPr>
            </w:pPr>
          </w:p>
        </w:tc>
        <w:tc>
          <w:tcPr>
            <w:tcW w:w="10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 xml:space="preserve">Value </w:t>
            </w:r>
            <w:r>
              <w:rPr>
                <w:rFonts w:ascii="Arial" w:cs="Arial" w:eastAsia="Arial" w:hAnsi="Arial"/>
                <w:sz w:val="8"/>
                <w:szCs w:val="8"/>
                <w:b w:val="1"/>
                <w:bCs w:val="1"/>
                <w:color w:val="auto"/>
                <w:w w:val="95"/>
              </w:rPr>
              <w:t>3,4</w:t>
            </w:r>
          </w:p>
        </w:tc>
        <w:tc>
          <w:tcPr>
            <w:tcW w:w="100" w:type="dxa"/>
            <w:vAlign w:val="bottom"/>
            <w:tcBorders>
              <w:bottom w:val="single" w:sz="8" w:color="CCEEFF"/>
            </w:tcBorders>
          </w:tcPr>
          <w:p>
            <w:pPr>
              <w:spacing w:after="0"/>
              <w:rPr>
                <w:sz w:val="14"/>
                <w:szCs w:val="14"/>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9"/>
                <w:szCs w:val="9"/>
                <w:b w:val="1"/>
                <w:bCs w:val="1"/>
                <w:color w:val="auto"/>
                <w:w w:val="79"/>
              </w:rPr>
              <w:t>3,5</w:t>
            </w:r>
          </w:p>
        </w:tc>
        <w:tc>
          <w:tcPr>
            <w:tcW w:w="0" w:type="dxa"/>
            <w:vAlign w:val="bottom"/>
          </w:tcPr>
          <w:p>
            <w:pPr>
              <w:spacing w:after="0"/>
              <w:rPr>
                <w:sz w:val="1"/>
                <w:szCs w:val="1"/>
                <w:color w:val="auto"/>
              </w:rPr>
            </w:pPr>
          </w:p>
        </w:tc>
      </w:tr>
      <w:tr>
        <w:trPr>
          <w:trHeight w:val="264"/>
        </w:trPr>
        <w:tc>
          <w:tcPr>
            <w:tcW w:w="350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As of December 31, 2015</w:t>
            </w:r>
          </w:p>
        </w:tc>
        <w:tc>
          <w:tcPr>
            <w:tcW w:w="11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0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2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3500" w:type="dxa"/>
            <w:vAlign w:val="bottom"/>
            <w:gridSpan w:val="2"/>
          </w:tcPr>
          <w:p>
            <w:pPr>
              <w:ind w:left="20"/>
              <w:spacing w:after="0"/>
              <w:rPr>
                <w:sz w:val="20"/>
                <w:szCs w:val="20"/>
                <w:color w:val="auto"/>
              </w:rPr>
            </w:pPr>
            <w:r>
              <w:rPr>
                <w:rFonts w:ascii="Arial" w:cs="Arial" w:eastAsia="Arial" w:hAnsi="Arial"/>
                <w:sz w:val="14"/>
                <w:szCs w:val="14"/>
                <w:color w:val="auto"/>
              </w:rPr>
              <w:t>-100 Basis Points</w:t>
            </w:r>
          </w:p>
        </w:tc>
        <w:tc>
          <w:tcPr>
            <w:tcW w:w="1180" w:type="dxa"/>
            <w:vAlign w:val="bottom"/>
          </w:tcPr>
          <w:p>
            <w:pPr>
              <w:jc w:val="center"/>
              <w:spacing w:after="0"/>
              <w:rPr>
                <w:sz w:val="20"/>
                <w:szCs w:val="20"/>
                <w:color w:val="auto"/>
              </w:rPr>
            </w:pPr>
            <w:r>
              <w:rPr>
                <w:rFonts w:ascii="Arial" w:cs="Arial" w:eastAsia="Arial" w:hAnsi="Arial"/>
                <w:sz w:val="14"/>
                <w:szCs w:val="14"/>
                <w:color w:val="auto"/>
                <w:w w:val="94"/>
              </w:rPr>
              <w:t>-17.3%</w:t>
            </w:r>
          </w:p>
        </w:tc>
        <w:tc>
          <w:tcPr>
            <w:tcW w:w="120" w:type="dxa"/>
            <w:vAlign w:val="bottom"/>
          </w:tcPr>
          <w:p>
            <w:pPr>
              <w:spacing w:after="0"/>
              <w:rPr>
                <w:sz w:val="22"/>
                <w:szCs w:val="22"/>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w w:val="98"/>
              </w:rPr>
              <w:t>-0.4%</w:t>
            </w:r>
          </w:p>
        </w:tc>
        <w:tc>
          <w:tcPr>
            <w:tcW w:w="100" w:type="dxa"/>
            <w:vAlign w:val="bottom"/>
          </w:tcPr>
          <w:p>
            <w:pPr>
              <w:spacing w:after="0"/>
              <w:rPr>
                <w:sz w:val="22"/>
                <w:szCs w:val="22"/>
                <w:color w:val="auto"/>
              </w:rPr>
            </w:pPr>
          </w:p>
        </w:tc>
        <w:tc>
          <w:tcPr>
            <w:tcW w:w="1120" w:type="dxa"/>
            <w:vAlign w:val="bottom"/>
          </w:tcPr>
          <w:p>
            <w:pPr>
              <w:jc w:val="center"/>
              <w:spacing w:after="0"/>
              <w:rPr>
                <w:sz w:val="20"/>
                <w:szCs w:val="20"/>
                <w:color w:val="auto"/>
              </w:rPr>
            </w:pPr>
            <w:r>
              <w:rPr>
                <w:rFonts w:ascii="Arial" w:cs="Arial" w:eastAsia="Arial" w:hAnsi="Arial"/>
                <w:sz w:val="14"/>
                <w:szCs w:val="14"/>
                <w:color w:val="auto"/>
                <w:w w:val="92"/>
              </w:rPr>
              <w:t>-2.8%</w:t>
            </w:r>
          </w:p>
        </w:tc>
        <w:tc>
          <w:tcPr>
            <w:tcW w:w="0" w:type="dxa"/>
            <w:vAlign w:val="bottom"/>
          </w:tcPr>
          <w:p>
            <w:pPr>
              <w:spacing w:after="0"/>
              <w:rPr>
                <w:sz w:val="1"/>
                <w:szCs w:val="1"/>
                <w:color w:val="auto"/>
              </w:rPr>
            </w:pPr>
          </w:p>
        </w:tc>
      </w:tr>
      <w:tr>
        <w:trPr>
          <w:trHeight w:val="276"/>
        </w:trPr>
        <w:tc>
          <w:tcPr>
            <w:tcW w:w="35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-50 Basis Points</w:t>
            </w:r>
          </w:p>
        </w:tc>
        <w:tc>
          <w:tcPr>
            <w:tcW w:w="11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-4.2%</w:t>
            </w:r>
          </w:p>
        </w:tc>
        <w:tc>
          <w:tcPr>
            <w:tcW w:w="120" w:type="dxa"/>
            <w:vAlign w:val="bottom"/>
            <w:shd w:val="clear" w:color="auto" w:fill="CCEEFF"/>
          </w:tcPr>
          <w:p>
            <w:pPr>
              <w:spacing w:after="0"/>
              <w:rPr>
                <w:sz w:val="24"/>
                <w:szCs w:val="24"/>
                <w:color w:val="auto"/>
              </w:rPr>
            </w:pP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+0.1%</w:t>
            </w:r>
          </w:p>
        </w:tc>
        <w:tc>
          <w:tcPr>
            <w:tcW w:w="100" w:type="dxa"/>
            <w:vAlign w:val="bottom"/>
            <w:shd w:val="clear" w:color="auto" w:fill="CCEEFF"/>
          </w:tcPr>
          <w:p>
            <w:pPr>
              <w:spacing w:after="0"/>
              <w:rPr>
                <w:sz w:val="24"/>
                <w:szCs w:val="24"/>
                <w:color w:val="auto"/>
              </w:rPr>
            </w:pPr>
          </w:p>
        </w:tc>
        <w:tc>
          <w:tcPr>
            <w:tcW w:w="11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+0.6%</w:t>
            </w:r>
          </w:p>
        </w:tc>
        <w:tc>
          <w:tcPr>
            <w:tcW w:w="0" w:type="dxa"/>
            <w:vAlign w:val="bottom"/>
          </w:tcPr>
          <w:p>
            <w:pPr>
              <w:spacing w:after="0"/>
              <w:rPr>
                <w:sz w:val="1"/>
                <w:szCs w:val="1"/>
                <w:color w:val="auto"/>
              </w:rPr>
            </w:pPr>
          </w:p>
        </w:tc>
      </w:tr>
      <w:tr>
        <w:trPr>
          <w:trHeight w:val="264"/>
        </w:trPr>
        <w:tc>
          <w:tcPr>
            <w:tcW w:w="3500" w:type="dxa"/>
            <w:vAlign w:val="bottom"/>
            <w:gridSpan w:val="2"/>
          </w:tcPr>
          <w:p>
            <w:pPr>
              <w:ind w:left="20"/>
              <w:spacing w:after="0"/>
              <w:rPr>
                <w:sz w:val="20"/>
                <w:szCs w:val="20"/>
                <w:color w:val="auto"/>
              </w:rPr>
            </w:pPr>
            <w:r>
              <w:rPr>
                <w:rFonts w:ascii="Arial" w:cs="Arial" w:eastAsia="Arial" w:hAnsi="Arial"/>
                <w:sz w:val="14"/>
                <w:szCs w:val="14"/>
                <w:color w:val="auto"/>
              </w:rPr>
              <w:t>+50 Basis Points</w:t>
            </w:r>
          </w:p>
        </w:tc>
        <w:tc>
          <w:tcPr>
            <w:tcW w:w="1180" w:type="dxa"/>
            <w:vAlign w:val="bottom"/>
          </w:tcPr>
          <w:p>
            <w:pPr>
              <w:jc w:val="center"/>
              <w:spacing w:after="0"/>
              <w:rPr>
                <w:sz w:val="20"/>
                <w:szCs w:val="20"/>
                <w:color w:val="auto"/>
              </w:rPr>
            </w:pPr>
            <w:r>
              <w:rPr>
                <w:rFonts w:ascii="Arial" w:cs="Arial" w:eastAsia="Arial" w:hAnsi="Arial"/>
                <w:sz w:val="14"/>
                <w:szCs w:val="14"/>
                <w:color w:val="auto"/>
                <w:w w:val="94"/>
              </w:rPr>
              <w:t>+2.0%</w:t>
            </w:r>
          </w:p>
        </w:tc>
        <w:tc>
          <w:tcPr>
            <w:tcW w:w="120" w:type="dxa"/>
            <w:vAlign w:val="bottom"/>
          </w:tcPr>
          <w:p>
            <w:pPr>
              <w:spacing w:after="0"/>
              <w:rPr>
                <w:sz w:val="22"/>
                <w:szCs w:val="22"/>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w w:val="98"/>
              </w:rPr>
              <w:t>-0.5%</w:t>
            </w:r>
          </w:p>
        </w:tc>
        <w:tc>
          <w:tcPr>
            <w:tcW w:w="100" w:type="dxa"/>
            <w:vAlign w:val="bottom"/>
          </w:tcPr>
          <w:p>
            <w:pPr>
              <w:spacing w:after="0"/>
              <w:rPr>
                <w:sz w:val="22"/>
                <w:szCs w:val="22"/>
                <w:color w:val="auto"/>
              </w:rPr>
            </w:pPr>
          </w:p>
        </w:tc>
        <w:tc>
          <w:tcPr>
            <w:tcW w:w="1120" w:type="dxa"/>
            <w:vAlign w:val="bottom"/>
          </w:tcPr>
          <w:p>
            <w:pPr>
              <w:jc w:val="center"/>
              <w:spacing w:after="0"/>
              <w:rPr>
                <w:sz w:val="20"/>
                <w:szCs w:val="20"/>
                <w:color w:val="auto"/>
              </w:rPr>
            </w:pPr>
            <w:r>
              <w:rPr>
                <w:rFonts w:ascii="Arial" w:cs="Arial" w:eastAsia="Arial" w:hAnsi="Arial"/>
                <w:sz w:val="14"/>
                <w:szCs w:val="14"/>
                <w:color w:val="auto"/>
                <w:w w:val="92"/>
              </w:rPr>
              <w:t>-3.7%</w:t>
            </w:r>
          </w:p>
        </w:tc>
        <w:tc>
          <w:tcPr>
            <w:tcW w:w="0" w:type="dxa"/>
            <w:vAlign w:val="bottom"/>
          </w:tcPr>
          <w:p>
            <w:pPr>
              <w:spacing w:after="0"/>
              <w:rPr>
                <w:sz w:val="1"/>
                <w:szCs w:val="1"/>
                <w:color w:val="auto"/>
              </w:rPr>
            </w:pPr>
          </w:p>
        </w:tc>
      </w:tr>
      <w:tr>
        <w:trPr>
          <w:trHeight w:val="276"/>
        </w:trPr>
        <w:tc>
          <w:tcPr>
            <w:tcW w:w="35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+100 Basis Points</w:t>
            </w:r>
          </w:p>
        </w:tc>
        <w:tc>
          <w:tcPr>
            <w:tcW w:w="11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+2.5%</w:t>
            </w:r>
          </w:p>
        </w:tc>
        <w:tc>
          <w:tcPr>
            <w:tcW w:w="120" w:type="dxa"/>
            <w:vAlign w:val="bottom"/>
            <w:shd w:val="clear" w:color="auto" w:fill="CCEEFF"/>
          </w:tcPr>
          <w:p>
            <w:pPr>
              <w:spacing w:after="0"/>
              <w:rPr>
                <w:sz w:val="24"/>
                <w:szCs w:val="24"/>
                <w:color w:val="auto"/>
              </w:rPr>
            </w:pP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-1.2%</w:t>
            </w:r>
          </w:p>
        </w:tc>
        <w:tc>
          <w:tcPr>
            <w:tcW w:w="100" w:type="dxa"/>
            <w:vAlign w:val="bottom"/>
            <w:shd w:val="clear" w:color="auto" w:fill="CCEEFF"/>
          </w:tcPr>
          <w:p>
            <w:pPr>
              <w:spacing w:after="0"/>
              <w:rPr>
                <w:sz w:val="24"/>
                <w:szCs w:val="24"/>
                <w:color w:val="auto"/>
              </w:rPr>
            </w:pPr>
          </w:p>
        </w:tc>
        <w:tc>
          <w:tcPr>
            <w:tcW w:w="11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-9.4%</w:t>
            </w:r>
          </w:p>
        </w:tc>
        <w:tc>
          <w:tcPr>
            <w:tcW w:w="0" w:type="dxa"/>
            <w:vAlign w:val="bottom"/>
          </w:tcPr>
          <w:p>
            <w:pPr>
              <w:spacing w:after="0"/>
              <w:rPr>
                <w:sz w:val="1"/>
                <w:szCs w:val="1"/>
                <w:color w:val="auto"/>
              </w:rPr>
            </w:pPr>
          </w:p>
        </w:tc>
      </w:tr>
      <w:tr>
        <w:trPr>
          <w:trHeight w:val="324"/>
        </w:trPr>
        <w:tc>
          <w:tcPr>
            <w:tcW w:w="3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350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As of December 31, 2014</w:t>
            </w:r>
          </w:p>
        </w:tc>
        <w:tc>
          <w:tcPr>
            <w:tcW w:w="11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500" w:type="dxa"/>
            <w:vAlign w:val="bottom"/>
            <w:gridSpan w:val="2"/>
          </w:tcPr>
          <w:p>
            <w:pPr>
              <w:ind w:left="20"/>
              <w:spacing w:after="0"/>
              <w:rPr>
                <w:sz w:val="20"/>
                <w:szCs w:val="20"/>
                <w:color w:val="auto"/>
              </w:rPr>
            </w:pPr>
            <w:r>
              <w:rPr>
                <w:rFonts w:ascii="Arial" w:cs="Arial" w:eastAsia="Arial" w:hAnsi="Arial"/>
                <w:sz w:val="14"/>
                <w:szCs w:val="14"/>
                <w:color w:val="auto"/>
              </w:rPr>
              <w:t>-100 Basis Points</w:t>
            </w:r>
          </w:p>
        </w:tc>
        <w:tc>
          <w:tcPr>
            <w:tcW w:w="1180" w:type="dxa"/>
            <w:vAlign w:val="bottom"/>
          </w:tcPr>
          <w:p>
            <w:pPr>
              <w:jc w:val="center"/>
              <w:spacing w:after="0"/>
              <w:rPr>
                <w:sz w:val="20"/>
                <w:szCs w:val="20"/>
                <w:color w:val="auto"/>
              </w:rPr>
            </w:pPr>
            <w:r>
              <w:rPr>
                <w:rFonts w:ascii="Arial" w:cs="Arial" w:eastAsia="Arial" w:hAnsi="Arial"/>
                <w:sz w:val="14"/>
                <w:szCs w:val="14"/>
                <w:color w:val="auto"/>
                <w:w w:val="94"/>
              </w:rPr>
              <w:t>-14.5%</w:t>
            </w:r>
          </w:p>
        </w:tc>
        <w:tc>
          <w:tcPr>
            <w:tcW w:w="120" w:type="dxa"/>
            <w:vAlign w:val="bottom"/>
          </w:tcPr>
          <w:p>
            <w:pPr>
              <w:spacing w:after="0"/>
              <w:rPr>
                <w:sz w:val="22"/>
                <w:szCs w:val="22"/>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w w:val="98"/>
              </w:rPr>
              <w:t>-0.6%</w:t>
            </w:r>
          </w:p>
        </w:tc>
        <w:tc>
          <w:tcPr>
            <w:tcW w:w="100" w:type="dxa"/>
            <w:vAlign w:val="bottom"/>
          </w:tcPr>
          <w:p>
            <w:pPr>
              <w:spacing w:after="0"/>
              <w:rPr>
                <w:sz w:val="22"/>
                <w:szCs w:val="22"/>
                <w:color w:val="auto"/>
              </w:rPr>
            </w:pPr>
          </w:p>
        </w:tc>
        <w:tc>
          <w:tcPr>
            <w:tcW w:w="1120" w:type="dxa"/>
            <w:vAlign w:val="bottom"/>
          </w:tcPr>
          <w:p>
            <w:pPr>
              <w:jc w:val="center"/>
              <w:spacing w:after="0"/>
              <w:rPr>
                <w:sz w:val="20"/>
                <w:szCs w:val="20"/>
                <w:color w:val="auto"/>
              </w:rPr>
            </w:pPr>
            <w:r>
              <w:rPr>
                <w:rFonts w:ascii="Arial" w:cs="Arial" w:eastAsia="Arial" w:hAnsi="Arial"/>
                <w:sz w:val="14"/>
                <w:szCs w:val="14"/>
                <w:color w:val="auto"/>
                <w:w w:val="92"/>
              </w:rPr>
              <w:t>-4.7%</w:t>
            </w:r>
          </w:p>
        </w:tc>
        <w:tc>
          <w:tcPr>
            <w:tcW w:w="0" w:type="dxa"/>
            <w:vAlign w:val="bottom"/>
          </w:tcPr>
          <w:p>
            <w:pPr>
              <w:spacing w:after="0"/>
              <w:rPr>
                <w:sz w:val="1"/>
                <w:szCs w:val="1"/>
                <w:color w:val="auto"/>
              </w:rPr>
            </w:pPr>
          </w:p>
        </w:tc>
      </w:tr>
      <w:tr>
        <w:trPr>
          <w:trHeight w:val="276"/>
        </w:trPr>
        <w:tc>
          <w:tcPr>
            <w:tcW w:w="35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-50 Basis Points</w:t>
            </w:r>
          </w:p>
        </w:tc>
        <w:tc>
          <w:tcPr>
            <w:tcW w:w="11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-3.3%</w:t>
            </w:r>
          </w:p>
        </w:tc>
        <w:tc>
          <w:tcPr>
            <w:tcW w:w="120" w:type="dxa"/>
            <w:vAlign w:val="bottom"/>
            <w:shd w:val="clear" w:color="auto" w:fill="CCEEFF"/>
          </w:tcPr>
          <w:p>
            <w:pPr>
              <w:spacing w:after="0"/>
              <w:rPr>
                <w:sz w:val="24"/>
                <w:szCs w:val="24"/>
                <w:color w:val="auto"/>
              </w:rPr>
            </w:pP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+0.1%</w:t>
            </w:r>
          </w:p>
        </w:tc>
        <w:tc>
          <w:tcPr>
            <w:tcW w:w="100" w:type="dxa"/>
            <w:vAlign w:val="bottom"/>
            <w:shd w:val="clear" w:color="auto" w:fill="CCEEFF"/>
          </w:tcPr>
          <w:p>
            <w:pPr>
              <w:spacing w:after="0"/>
              <w:rPr>
                <w:sz w:val="24"/>
                <w:szCs w:val="24"/>
                <w:color w:val="auto"/>
              </w:rPr>
            </w:pPr>
          </w:p>
        </w:tc>
        <w:tc>
          <w:tcPr>
            <w:tcW w:w="11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+0.5%</w:t>
            </w:r>
          </w:p>
        </w:tc>
        <w:tc>
          <w:tcPr>
            <w:tcW w:w="0" w:type="dxa"/>
            <w:vAlign w:val="bottom"/>
          </w:tcPr>
          <w:p>
            <w:pPr>
              <w:spacing w:after="0"/>
              <w:rPr>
                <w:sz w:val="1"/>
                <w:szCs w:val="1"/>
                <w:color w:val="auto"/>
              </w:rPr>
            </w:pPr>
          </w:p>
        </w:tc>
      </w:tr>
      <w:tr>
        <w:trPr>
          <w:trHeight w:val="264"/>
        </w:trPr>
        <w:tc>
          <w:tcPr>
            <w:tcW w:w="3500" w:type="dxa"/>
            <w:vAlign w:val="bottom"/>
            <w:gridSpan w:val="2"/>
          </w:tcPr>
          <w:p>
            <w:pPr>
              <w:ind w:left="20"/>
              <w:spacing w:after="0"/>
              <w:rPr>
                <w:sz w:val="20"/>
                <w:szCs w:val="20"/>
                <w:color w:val="auto"/>
              </w:rPr>
            </w:pPr>
            <w:r>
              <w:rPr>
                <w:rFonts w:ascii="Arial" w:cs="Arial" w:eastAsia="Arial" w:hAnsi="Arial"/>
                <w:sz w:val="14"/>
                <w:szCs w:val="14"/>
                <w:color w:val="auto"/>
              </w:rPr>
              <w:t>+50 Basis Points</w:t>
            </w:r>
          </w:p>
        </w:tc>
        <w:tc>
          <w:tcPr>
            <w:tcW w:w="1180" w:type="dxa"/>
            <w:vAlign w:val="bottom"/>
          </w:tcPr>
          <w:p>
            <w:pPr>
              <w:jc w:val="center"/>
              <w:spacing w:after="0"/>
              <w:rPr>
                <w:sz w:val="20"/>
                <w:szCs w:val="20"/>
                <w:color w:val="auto"/>
              </w:rPr>
            </w:pPr>
            <w:r>
              <w:rPr>
                <w:rFonts w:ascii="Arial" w:cs="Arial" w:eastAsia="Arial" w:hAnsi="Arial"/>
                <w:sz w:val="14"/>
                <w:szCs w:val="14"/>
                <w:color w:val="auto"/>
                <w:w w:val="94"/>
              </w:rPr>
              <w:t>+0.9%</w:t>
            </w:r>
          </w:p>
        </w:tc>
        <w:tc>
          <w:tcPr>
            <w:tcW w:w="120" w:type="dxa"/>
            <w:vAlign w:val="bottom"/>
          </w:tcPr>
          <w:p>
            <w:pPr>
              <w:spacing w:after="0"/>
              <w:rPr>
                <w:sz w:val="22"/>
                <w:szCs w:val="22"/>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w w:val="98"/>
              </w:rPr>
              <w:t>-0.5%</w:t>
            </w:r>
          </w:p>
        </w:tc>
        <w:tc>
          <w:tcPr>
            <w:tcW w:w="100" w:type="dxa"/>
            <w:vAlign w:val="bottom"/>
          </w:tcPr>
          <w:p>
            <w:pPr>
              <w:spacing w:after="0"/>
              <w:rPr>
                <w:sz w:val="22"/>
                <w:szCs w:val="22"/>
                <w:color w:val="auto"/>
              </w:rPr>
            </w:pPr>
          </w:p>
        </w:tc>
        <w:tc>
          <w:tcPr>
            <w:tcW w:w="1120" w:type="dxa"/>
            <w:vAlign w:val="bottom"/>
          </w:tcPr>
          <w:p>
            <w:pPr>
              <w:jc w:val="center"/>
              <w:spacing w:after="0"/>
              <w:rPr>
                <w:sz w:val="20"/>
                <w:szCs w:val="20"/>
                <w:color w:val="auto"/>
              </w:rPr>
            </w:pPr>
            <w:r>
              <w:rPr>
                <w:rFonts w:ascii="Arial" w:cs="Arial" w:eastAsia="Arial" w:hAnsi="Arial"/>
                <w:sz w:val="14"/>
                <w:szCs w:val="14"/>
                <w:color w:val="auto"/>
                <w:w w:val="92"/>
              </w:rPr>
              <w:t>-3.8%</w:t>
            </w:r>
          </w:p>
        </w:tc>
        <w:tc>
          <w:tcPr>
            <w:tcW w:w="0" w:type="dxa"/>
            <w:vAlign w:val="bottom"/>
          </w:tcPr>
          <w:p>
            <w:pPr>
              <w:spacing w:after="0"/>
              <w:rPr>
                <w:sz w:val="1"/>
                <w:szCs w:val="1"/>
                <w:color w:val="auto"/>
              </w:rPr>
            </w:pPr>
          </w:p>
        </w:tc>
      </w:tr>
      <w:tr>
        <w:trPr>
          <w:trHeight w:val="276"/>
        </w:trPr>
        <w:tc>
          <w:tcPr>
            <w:tcW w:w="35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+100 Basis Points</w:t>
            </w:r>
          </w:p>
        </w:tc>
        <w:tc>
          <w:tcPr>
            <w:tcW w:w="11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-0.4%</w:t>
            </w:r>
          </w:p>
        </w:tc>
        <w:tc>
          <w:tcPr>
            <w:tcW w:w="120" w:type="dxa"/>
            <w:vAlign w:val="bottom"/>
            <w:shd w:val="clear" w:color="auto" w:fill="CCEEFF"/>
          </w:tcPr>
          <w:p>
            <w:pPr>
              <w:spacing w:after="0"/>
              <w:rPr>
                <w:sz w:val="24"/>
                <w:szCs w:val="24"/>
                <w:color w:val="auto"/>
              </w:rPr>
            </w:pP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-1.2%</w:t>
            </w:r>
          </w:p>
        </w:tc>
        <w:tc>
          <w:tcPr>
            <w:tcW w:w="100" w:type="dxa"/>
            <w:vAlign w:val="bottom"/>
            <w:shd w:val="clear" w:color="auto" w:fill="CCEEFF"/>
          </w:tcPr>
          <w:p>
            <w:pPr>
              <w:spacing w:after="0"/>
              <w:rPr>
                <w:sz w:val="24"/>
                <w:szCs w:val="24"/>
                <w:color w:val="auto"/>
              </w:rPr>
            </w:pPr>
          </w:p>
        </w:tc>
        <w:tc>
          <w:tcPr>
            <w:tcW w:w="11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-9.6%</w:t>
            </w:r>
          </w:p>
        </w:tc>
        <w:tc>
          <w:tcPr>
            <w:tcW w:w="0" w:type="dxa"/>
            <w:vAlign w:val="bottom"/>
          </w:tcPr>
          <w:p>
            <w:pPr>
              <w:spacing w:after="0"/>
              <w:rPr>
                <w:sz w:val="1"/>
                <w:szCs w:val="1"/>
                <w:color w:val="auto"/>
              </w:rPr>
            </w:pPr>
          </w:p>
        </w:tc>
      </w:tr>
    </w:tbl>
    <w:p>
      <w:pPr>
        <w:spacing w:after="0"/>
        <w:rPr>
          <w:sz w:val="20"/>
          <w:szCs w:val="20"/>
          <w:color w:val="auto"/>
        </w:rPr>
      </w:pPr>
      <w:r>
        <w:rPr>
          <w:rFonts w:ascii="Arial" w:cs="Arial" w:eastAsia="Arial" w:hAnsi="Arial"/>
          <w:sz w:val="18"/>
          <w:szCs w:val="18"/>
          <w:color w:val="auto"/>
        </w:rPr>
        <w:t>________________</w:t>
      </w:r>
    </w:p>
    <w:p>
      <w:pPr>
        <w:spacing w:after="0" w:line="2" w:lineRule="exact"/>
        <w:rPr>
          <w:sz w:val="20"/>
          <w:szCs w:val="20"/>
          <w:color w:val="auto"/>
        </w:rPr>
      </w:pPr>
    </w:p>
    <w:p>
      <w:pPr>
        <w:ind w:left="660" w:hanging="328"/>
        <w:spacing w:after="0" w:line="241" w:lineRule="auto"/>
        <w:tabs>
          <w:tab w:leader="none" w:pos="660" w:val="left"/>
        </w:tabs>
        <w:numPr>
          <w:ilvl w:val="0"/>
          <w:numId w:val="46"/>
        </w:numPr>
        <w:rPr>
          <w:rFonts w:ascii="Arial" w:cs="Arial" w:eastAsia="Arial" w:hAnsi="Arial"/>
          <w:sz w:val="14"/>
          <w:szCs w:val="14"/>
          <w:color w:val="auto"/>
        </w:rPr>
      </w:pPr>
      <w:r>
        <w:rPr>
          <w:rFonts w:ascii="Arial" w:cs="Arial" w:eastAsia="Arial" w:hAnsi="Arial"/>
          <w:sz w:val="14"/>
          <w:szCs w:val="14"/>
          <w:color w:val="auto"/>
        </w:rPr>
        <w:t>Interest rate sensitivity is derived from models that are dependent on inputs and assumptions provided by third parties as well as by our Manager, assumes there are no changes in mortgage spreads and assumes a static portfolio. Actual results could differ materially from these estimates.</w:t>
      </w:r>
    </w:p>
    <w:p>
      <w:pPr>
        <w:jc w:val="both"/>
        <w:ind w:left="660" w:hanging="328"/>
        <w:spacing w:after="0" w:line="241" w:lineRule="auto"/>
        <w:tabs>
          <w:tab w:leader="none" w:pos="660" w:val="left"/>
        </w:tabs>
        <w:numPr>
          <w:ilvl w:val="0"/>
          <w:numId w:val="46"/>
        </w:numPr>
        <w:rPr>
          <w:rFonts w:ascii="Arial" w:cs="Arial" w:eastAsia="Arial" w:hAnsi="Arial"/>
          <w:sz w:val="14"/>
          <w:szCs w:val="14"/>
          <w:color w:val="auto"/>
        </w:rPr>
      </w:pPr>
      <w:r>
        <w:rPr>
          <w:rFonts w:ascii="Arial" w:cs="Arial" w:eastAsia="Arial" w:hAnsi="Arial"/>
          <w:sz w:val="14"/>
          <w:szCs w:val="14"/>
          <w:color w:val="auto"/>
        </w:rPr>
        <w:t>Represents the estimated dollar change in net interest income expressed as a percent of net interest income based on asset yields and cost of funds as of such date. It includes the effect of periodic interest costs on our interest rate swaps, but excludes costs associated with our forward starting swaps and other supplemental hedges, such as swaptions and U.S. Treasury securities. Amounts also exclude costs associated with our TBA position and TBA dollar roll income/loss, which are accounted for as derivative instruments in accordance with GAAP. Base case scenario assumes interest rates and forecasted CPR of 8% and 9% as of December 31, 2015 and 2014, respectively. As of December 31, 2015, rate shock scenarios assume a forecasted CPR of 12%, 10%, 8% and 7% for the -100, -50, +50 and +100 basis points scenarios, respectively. As of December 31, 2014, rate shock scenarios assume a forecasted CPR of 14%, 11%, 8% and 7% for such scenarios, respectively. Estimated dollar change in net interest income does not include the impact of retroactive "catch-up" premium amortization adjustments due to changes in our forecasted CPR and does not include dividend income from investments in other REITs. Down rate scenarios assume a floor of 0% for anticipated interest rates.</w:t>
      </w:r>
    </w:p>
    <w:p>
      <w:pPr>
        <w:spacing w:after="0" w:line="3" w:lineRule="exact"/>
        <w:rPr>
          <w:rFonts w:ascii="Arial" w:cs="Arial" w:eastAsia="Arial" w:hAnsi="Arial"/>
          <w:sz w:val="14"/>
          <w:szCs w:val="14"/>
          <w:color w:val="auto"/>
        </w:rPr>
      </w:pPr>
    </w:p>
    <w:p>
      <w:pPr>
        <w:ind w:left="660" w:hanging="328"/>
        <w:spacing w:after="0"/>
        <w:tabs>
          <w:tab w:leader="none" w:pos="660" w:val="left"/>
        </w:tabs>
        <w:numPr>
          <w:ilvl w:val="0"/>
          <w:numId w:val="46"/>
        </w:numPr>
        <w:rPr>
          <w:rFonts w:ascii="Arial" w:cs="Arial" w:eastAsia="Arial" w:hAnsi="Arial"/>
          <w:sz w:val="14"/>
          <w:szCs w:val="14"/>
          <w:color w:val="auto"/>
        </w:rPr>
      </w:pPr>
      <w:r>
        <w:rPr>
          <w:rFonts w:ascii="Arial" w:cs="Arial" w:eastAsia="Arial" w:hAnsi="Arial"/>
          <w:sz w:val="14"/>
          <w:szCs w:val="14"/>
          <w:color w:val="auto"/>
        </w:rPr>
        <w:t>Includes the effect of derivatives and other securities used for hedging purposes.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46"/>
        </w:numPr>
        <w:rPr>
          <w:rFonts w:ascii="Arial" w:cs="Arial" w:eastAsia="Arial" w:hAnsi="Arial"/>
          <w:sz w:val="14"/>
          <w:szCs w:val="14"/>
          <w:color w:val="auto"/>
        </w:rPr>
      </w:pPr>
      <w:r>
        <w:rPr>
          <w:rFonts w:ascii="Arial" w:cs="Arial" w:eastAsia="Arial" w:hAnsi="Arial"/>
          <w:sz w:val="14"/>
          <w:szCs w:val="14"/>
          <w:color w:val="auto"/>
        </w:rPr>
        <w:t>Estimated dollar change in investment portfolio value expressed as a percent of the total fair value of our investment portfolio as of such date.</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46"/>
        </w:numPr>
        <w:rPr>
          <w:rFonts w:ascii="Arial" w:cs="Arial" w:eastAsia="Arial" w:hAnsi="Arial"/>
          <w:sz w:val="13"/>
          <w:szCs w:val="13"/>
          <w:color w:val="auto"/>
        </w:rPr>
      </w:pPr>
      <w:r>
        <w:rPr>
          <w:rFonts w:ascii="Arial" w:cs="Arial" w:eastAsia="Arial" w:hAnsi="Arial"/>
          <w:sz w:val="13"/>
          <w:szCs w:val="13"/>
          <w:color w:val="auto"/>
        </w:rPr>
        <w:t>Estimated dollar change in portfolio value expressed as a percent of stockholders' equity, net of the Series A and Series B Preferred Stock liquidation preference, as of such date.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Prepayment Risk</w:t>
      </w:r>
    </w:p>
    <w:p>
      <w:pPr>
        <w:spacing w:after="0" w:line="171" w:lineRule="exact"/>
        <w:rPr>
          <w:sz w:val="20"/>
          <w:szCs w:val="20"/>
          <w:color w:val="auto"/>
        </w:rPr>
      </w:pPr>
    </w:p>
    <w:p>
      <w:pPr>
        <w:jc w:val="both"/>
        <w:ind w:firstLine="432"/>
        <w:spacing w:after="0" w:line="254" w:lineRule="auto"/>
        <w:rPr>
          <w:sz w:val="20"/>
          <w:szCs w:val="20"/>
          <w:color w:val="auto"/>
        </w:rPr>
      </w:pPr>
      <w:r>
        <w:rPr>
          <w:rFonts w:ascii="Arial" w:cs="Arial" w:eastAsia="Arial" w:hAnsi="Arial"/>
          <w:sz w:val="18"/>
          <w:szCs w:val="18"/>
          <w:color w:val="auto"/>
        </w:rPr>
        <w:t>Because residential borrowers have the option to prepay their mortgage loans at par at any time, we face the risk that we will experience a return of principal on our investments faster than anticipated. Various factors affect the rate at which mortgage prepayments occur, including changes in the level of and directional trends in housing prices, interest rates, general economic conditions, loan age and size, loan-to-value ratio, the location of the property and social and demographic conditions. Additionally, changes to GSE underwriting practices or other governmental programs could also significantly impact prepayment rates or expectations. Also, the pace at which the loans underlying our securities become seriously delinquent or are modified and the timing of GSE repurchases of such loans from our securities can materially impact the rate of prepayments. Generally, prepayments on residential mortgage-backed securities increase during periods of falling mortgage interest rates and decrease during periods of rising mortgage interest rates. However, this may not always be the case.</w:t>
      </w:r>
    </w:p>
    <w:p>
      <w:pPr>
        <w:spacing w:after="0" w:line="138"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We may reinvest principal repayments at a yield that is lower or higher than the yield on the repaid investment, thus affecting our net interest income by altering the average yield on our assets. We also amortize or accrete premiums and discounts associated with the purchase of mortgage securities into interest income over the projected lives of the securities, including contractual payments and estimated prepayments using the effective interest method. Our policy for estimating prepayment speeds for calculating the effective yield is to evaluate published prepayment data for similar securities, market consensus and current market conditions. If the actual prepayment experienced differs from our estimate of prepayments, we will be required to make an adjustment to the amortization or accretion of premiums and discounts that would have an impact on future income.</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Spread Risk</w:t>
      </w:r>
    </w:p>
    <w:p>
      <w:pPr>
        <w:spacing w:after="0" w:line="239"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When the market spread widens between the yield on our investment securities and benchmark interest rates, our net book value could decline if the value of our investment securities fall by more than the offsetting fair value increases on our hedging instruments tied to the underlying benchmark interest rates. We refer to this as "spread risk" or "basis risk." The spread risk associated with our mortgage assets and the resulting fluctuations in fair value of these securities can occur independent of changes in benchmark interest rates and may relate to other factors impacting the mortgage and fixed income markets, such as actual or</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69</w:t>
      </w:r>
    </w:p>
    <w:p>
      <w:pPr>
        <w:sectPr>
          <w:pgSz w:w="11900" w:h="16838" w:orient="portrait"/>
          <w:cols w:equalWidth="0" w:num="1">
            <w:col w:w="11420"/>
          </w:cols>
          <w:pgMar w:left="240" w:top="900" w:right="239" w:bottom="1440" w:gutter="0" w:footer="0" w:header="0"/>
        </w:sectPr>
      </w:pPr>
    </w:p>
    <w:bookmarkStart w:id="70" w:name="page71"/>
    <w:bookmarkEnd w:id="70"/>
    <w:p>
      <w:pPr>
        <w:jc w:val="both"/>
        <w:spacing w:after="0" w:line="264" w:lineRule="auto"/>
        <w:rPr>
          <w:sz w:val="20"/>
          <w:szCs w:val="20"/>
          <w:color w:val="auto"/>
        </w:rPr>
      </w:pPr>
      <w:r>
        <w:rPr>
          <w:rFonts w:ascii="Arial" w:cs="Arial" w:eastAsia="Arial" w:hAnsi="Arial"/>
          <w:sz w:val="18"/>
          <w:szCs w:val="18"/>
          <w:color w:val="auto"/>
        </w:rPr>
        <w:t>anticipated monetary policy actions by the Federal Reserve, market liquidity, or changes in required rates of return on different assets. Consequently, while we use interest rate swaps and other supplemental hedges to attempt to protect against moves in interest rates, such instruments typically will not protect our net book value against spread risk.</w:t>
      </w:r>
    </w:p>
    <w:p>
      <w:pPr>
        <w:spacing w:after="0" w:line="127"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The table below quantifies the estimated changes in the fair value of our investment portfolio (including derivatives and other securities used for hedging purposes) and in our net asset value as of December 31, 2015 and 2014 should spreads widen or tighten by 10 and 25 basis points. The estimated impact of changes in spreads is in addition to our interest rate shock sensitivity included in the interest rate shock table above. The table below assumes a spread duration of 5.2 years and 5.3 years as of December 31, 2015 and 2014, respectively, based on interest rates and MBS prices as of such dates. However, our portfolio's sensitivity of mortgage spread changes will vary with changes in interest rates and in the size and composition of our investment portfolio. Therefore, actual results could differ materially from our estimates.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 xml:space="preserve">Spread Sensitivity of Agency MBS Portfolio </w:t>
      </w:r>
      <w:r>
        <w:rPr>
          <w:rFonts w:ascii="Arial" w:cs="Arial" w:eastAsia="Arial" w:hAnsi="Arial"/>
          <w:sz w:val="8"/>
          <w:szCs w:val="8"/>
          <w:b w:val="1"/>
          <w:bCs w:val="1"/>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1763395</wp:posOffset>
            </wp:positionH>
            <wp:positionV relativeFrom="paragraph">
              <wp:posOffset>23495</wp:posOffset>
            </wp:positionV>
            <wp:extent cx="373062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3730625" cy="8890"/>
                    </a:xfrm>
                    <a:prstGeom prst="rect">
                      <a:avLst/>
                    </a:prstGeom>
                    <a:noFill/>
                  </pic:spPr>
                </pic:pic>
              </a:graphicData>
            </a:graphic>
          </wp:anchor>
        </w:drawing>
      </w:r>
    </w:p>
    <w:p>
      <w:pPr>
        <w:spacing w:after="0" w:line="103" w:lineRule="exact"/>
        <w:rPr>
          <w:sz w:val="20"/>
          <w:szCs w:val="20"/>
          <w:color w:val="auto"/>
        </w:rPr>
      </w:pPr>
    </w:p>
    <w:tbl>
      <w:tblPr>
        <w:tblLayout w:type="fixed"/>
        <w:tblInd w:w="2780" w:type="dxa"/>
        <w:tblCellMar>
          <w:top w:w="0" w:type="dxa"/>
          <w:left w:w="0" w:type="dxa"/>
          <w:bottom w:w="0" w:type="dxa"/>
          <w:right w:w="0" w:type="dxa"/>
        </w:tblCellMar>
      </w:tblPr>
      <w:tr>
        <w:trPr>
          <w:trHeight w:val="192"/>
        </w:trPr>
        <w:tc>
          <w:tcPr>
            <w:tcW w:w="30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700" w:type="dxa"/>
            <w:vAlign w:val="bottom"/>
            <w:tcBorders>
              <w:bottom w:val="single" w:sz="8" w:color="auto"/>
            </w:tcBorders>
            <w:gridSpan w:val="3"/>
          </w:tcPr>
          <w:p>
            <w:pPr>
              <w:ind w:left="360"/>
              <w:spacing w:after="0"/>
              <w:rPr>
                <w:sz w:val="20"/>
                <w:szCs w:val="20"/>
                <w:color w:val="auto"/>
              </w:rPr>
            </w:pPr>
            <w:r>
              <w:rPr>
                <w:rFonts w:ascii="Arial" w:cs="Arial" w:eastAsia="Arial" w:hAnsi="Arial"/>
                <w:sz w:val="14"/>
                <w:szCs w:val="14"/>
                <w:b w:val="1"/>
                <w:bCs w:val="1"/>
                <w:color w:val="auto"/>
              </w:rPr>
              <w:t>Percentage Change in Projected</w:t>
            </w:r>
          </w:p>
        </w:tc>
        <w:tc>
          <w:tcPr>
            <w:tcW w:w="0" w:type="dxa"/>
            <w:vAlign w:val="bottom"/>
          </w:tcPr>
          <w:p>
            <w:pPr>
              <w:spacing w:after="0"/>
              <w:rPr>
                <w:sz w:val="1"/>
                <w:szCs w:val="1"/>
                <w:color w:val="auto"/>
              </w:rPr>
            </w:pPr>
          </w:p>
        </w:tc>
      </w:tr>
      <w:tr>
        <w:trPr>
          <w:trHeight w:val="152"/>
        </w:trPr>
        <w:tc>
          <w:tcPr>
            <w:tcW w:w="30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3"/>
              </w:rPr>
              <w:t>Portfolio</w:t>
            </w:r>
          </w:p>
        </w:tc>
        <w:tc>
          <w:tcPr>
            <w:tcW w:w="13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Net Asset</w:t>
            </w:r>
          </w:p>
        </w:tc>
        <w:tc>
          <w:tcPr>
            <w:tcW w:w="0" w:type="dxa"/>
            <w:vAlign w:val="bottom"/>
          </w:tcPr>
          <w:p>
            <w:pPr>
              <w:spacing w:after="0"/>
              <w:rPr>
                <w:sz w:val="1"/>
                <w:szCs w:val="1"/>
                <w:color w:val="auto"/>
              </w:rPr>
            </w:pPr>
          </w:p>
        </w:tc>
      </w:tr>
      <w:tr>
        <w:trPr>
          <w:trHeight w:val="149"/>
        </w:trPr>
        <w:tc>
          <w:tcPr>
            <w:tcW w:w="30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Change in MBS Spread</w:t>
            </w:r>
          </w:p>
        </w:tc>
        <w:tc>
          <w:tcPr>
            <w:tcW w:w="120" w:type="dxa"/>
            <w:vAlign w:val="bottom"/>
            <w:vMerge w:val="restart"/>
          </w:tcPr>
          <w:p>
            <w:pPr>
              <w:spacing w:after="0"/>
              <w:rPr>
                <w:sz w:val="12"/>
                <w:szCs w:val="12"/>
                <w:color w:val="auto"/>
              </w:rPr>
            </w:pPr>
          </w:p>
        </w:tc>
        <w:tc>
          <w:tcPr>
            <w:tcW w:w="140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rPr>
              <w:t>Market</w:t>
            </w:r>
          </w:p>
        </w:tc>
        <w:tc>
          <w:tcPr>
            <w:tcW w:w="13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30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 xml:space="preserve">Value </w:t>
            </w:r>
            <w:r>
              <w:rPr>
                <w:rFonts w:ascii="Arial" w:cs="Arial" w:eastAsia="Arial" w:hAnsi="Arial"/>
                <w:sz w:val="8"/>
                <w:szCs w:val="8"/>
                <w:b w:val="1"/>
                <w:bCs w:val="1"/>
                <w:color w:val="auto"/>
                <w:w w:val="95"/>
              </w:rPr>
              <w:t>2,3</w:t>
            </w:r>
          </w:p>
        </w:tc>
        <w:tc>
          <w:tcPr>
            <w:tcW w:w="100" w:type="dxa"/>
            <w:vAlign w:val="bottom"/>
            <w:tcBorders>
              <w:bottom w:val="single" w:sz="8" w:color="CCEEFF"/>
            </w:tcBorders>
          </w:tcPr>
          <w:p>
            <w:pPr>
              <w:spacing w:after="0"/>
              <w:rPr>
                <w:sz w:val="16"/>
                <w:szCs w:val="16"/>
                <w:color w:val="auto"/>
              </w:rPr>
            </w:pP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 xml:space="preserve">Value </w:t>
            </w:r>
            <w:r>
              <w:rPr>
                <w:rFonts w:ascii="Arial" w:cs="Arial" w:eastAsia="Arial" w:hAnsi="Arial"/>
                <w:sz w:val="8"/>
                <w:szCs w:val="8"/>
                <w:b w:val="1"/>
                <w:bCs w:val="1"/>
                <w:color w:val="auto"/>
                <w:w w:val="95"/>
              </w:rPr>
              <w:t>2,4</w:t>
            </w:r>
          </w:p>
        </w:tc>
        <w:tc>
          <w:tcPr>
            <w:tcW w:w="0" w:type="dxa"/>
            <w:vAlign w:val="bottom"/>
          </w:tcPr>
          <w:p>
            <w:pPr>
              <w:spacing w:after="0"/>
              <w:rPr>
                <w:sz w:val="1"/>
                <w:szCs w:val="1"/>
                <w:color w:val="auto"/>
              </w:rPr>
            </w:pPr>
          </w:p>
        </w:tc>
      </w:tr>
      <w:tr>
        <w:trPr>
          <w:trHeight w:val="270"/>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As of December 31, 2015</w:t>
            </w:r>
          </w:p>
        </w:tc>
        <w:tc>
          <w:tcPr>
            <w:tcW w:w="13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3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-25 Basis Points</w:t>
            </w:r>
          </w:p>
        </w:tc>
        <w:tc>
          <w:tcPr>
            <w:tcW w:w="1300" w:type="dxa"/>
            <w:vAlign w:val="bottom"/>
          </w:tcPr>
          <w:p>
            <w:pPr>
              <w:jc w:val="center"/>
              <w:spacing w:after="0"/>
              <w:rPr>
                <w:sz w:val="20"/>
                <w:szCs w:val="20"/>
                <w:color w:val="auto"/>
              </w:rPr>
            </w:pPr>
            <w:r>
              <w:rPr>
                <w:rFonts w:ascii="Arial" w:cs="Arial" w:eastAsia="Arial" w:hAnsi="Arial"/>
                <w:sz w:val="14"/>
                <w:szCs w:val="14"/>
                <w:color w:val="auto"/>
                <w:w w:val="94"/>
              </w:rPr>
              <w:t>+1.3%</w:t>
            </w:r>
          </w:p>
        </w:tc>
        <w:tc>
          <w:tcPr>
            <w:tcW w:w="100" w:type="dxa"/>
            <w:vAlign w:val="bottom"/>
          </w:tcPr>
          <w:p>
            <w:pPr>
              <w:spacing w:after="0"/>
              <w:rPr>
                <w:sz w:val="22"/>
                <w:szCs w:val="22"/>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5"/>
              </w:rPr>
              <w:t>+10.2%</w:t>
            </w:r>
          </w:p>
        </w:tc>
        <w:tc>
          <w:tcPr>
            <w:tcW w:w="0" w:type="dxa"/>
            <w:vAlign w:val="bottom"/>
          </w:tcPr>
          <w:p>
            <w:pPr>
              <w:spacing w:after="0"/>
              <w:rPr>
                <w:sz w:val="1"/>
                <w:szCs w:val="1"/>
                <w:color w:val="auto"/>
              </w:rPr>
            </w:pPr>
          </w:p>
        </w:tc>
      </w:tr>
      <w:tr>
        <w:trPr>
          <w:trHeight w:val="276"/>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-10 Basis Points</w:t>
            </w: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+0.5%</w:t>
            </w:r>
          </w:p>
        </w:tc>
        <w:tc>
          <w:tcPr>
            <w:tcW w:w="100" w:type="dxa"/>
            <w:vAlign w:val="bottom"/>
            <w:shd w:val="clear" w:color="auto" w:fill="CCEEFF"/>
          </w:tcPr>
          <w:p>
            <w:pPr>
              <w:spacing w:after="0"/>
              <w:rPr>
                <w:sz w:val="24"/>
                <w:szCs w:val="24"/>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+4.1%</w:t>
            </w:r>
          </w:p>
        </w:tc>
        <w:tc>
          <w:tcPr>
            <w:tcW w:w="0" w:type="dxa"/>
            <w:vAlign w:val="bottom"/>
          </w:tcPr>
          <w:p>
            <w:pPr>
              <w:spacing w:after="0"/>
              <w:rPr>
                <w:sz w:val="1"/>
                <w:szCs w:val="1"/>
                <w:color w:val="auto"/>
              </w:rPr>
            </w:pPr>
          </w:p>
        </w:tc>
      </w:tr>
      <w:tr>
        <w:trPr>
          <w:trHeight w:val="264"/>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+10 Basis Points</w:t>
            </w:r>
          </w:p>
        </w:tc>
        <w:tc>
          <w:tcPr>
            <w:tcW w:w="1300" w:type="dxa"/>
            <w:vAlign w:val="bottom"/>
          </w:tcPr>
          <w:p>
            <w:pPr>
              <w:jc w:val="center"/>
              <w:spacing w:after="0"/>
              <w:rPr>
                <w:sz w:val="20"/>
                <w:szCs w:val="20"/>
                <w:color w:val="auto"/>
              </w:rPr>
            </w:pPr>
            <w:r>
              <w:rPr>
                <w:rFonts w:ascii="Arial" w:cs="Arial" w:eastAsia="Arial" w:hAnsi="Arial"/>
                <w:sz w:val="14"/>
                <w:szCs w:val="14"/>
                <w:color w:val="auto"/>
                <w:w w:val="92"/>
              </w:rPr>
              <w:t>-0.5%</w:t>
            </w:r>
          </w:p>
        </w:tc>
        <w:tc>
          <w:tcPr>
            <w:tcW w:w="100" w:type="dxa"/>
            <w:vAlign w:val="bottom"/>
          </w:tcPr>
          <w:p>
            <w:pPr>
              <w:spacing w:after="0"/>
              <w:rPr>
                <w:sz w:val="22"/>
                <w:szCs w:val="22"/>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2"/>
              </w:rPr>
              <w:t>-4.1%</w:t>
            </w:r>
          </w:p>
        </w:tc>
        <w:tc>
          <w:tcPr>
            <w:tcW w:w="0" w:type="dxa"/>
            <w:vAlign w:val="bottom"/>
          </w:tcPr>
          <w:p>
            <w:pPr>
              <w:spacing w:after="0"/>
              <w:rPr>
                <w:sz w:val="1"/>
                <w:szCs w:val="1"/>
                <w:color w:val="auto"/>
              </w:rPr>
            </w:pPr>
          </w:p>
        </w:tc>
      </w:tr>
      <w:tr>
        <w:trPr>
          <w:trHeight w:val="276"/>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+25 Basis Points</w:t>
            </w: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-1.3%</w:t>
            </w:r>
          </w:p>
        </w:tc>
        <w:tc>
          <w:tcPr>
            <w:tcW w:w="100" w:type="dxa"/>
            <w:vAlign w:val="bottom"/>
            <w:shd w:val="clear" w:color="auto" w:fill="CCEEFF"/>
          </w:tcPr>
          <w:p>
            <w:pPr>
              <w:spacing w:after="0"/>
              <w:rPr>
                <w:sz w:val="24"/>
                <w:szCs w:val="24"/>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-10.2%</w:t>
            </w:r>
          </w:p>
        </w:tc>
        <w:tc>
          <w:tcPr>
            <w:tcW w:w="0" w:type="dxa"/>
            <w:vAlign w:val="bottom"/>
          </w:tcPr>
          <w:p>
            <w:pPr>
              <w:spacing w:after="0"/>
              <w:rPr>
                <w:sz w:val="1"/>
                <w:szCs w:val="1"/>
                <w:color w:val="auto"/>
              </w:rPr>
            </w:pPr>
          </w:p>
        </w:tc>
      </w:tr>
      <w:tr>
        <w:trPr>
          <w:trHeight w:val="324"/>
        </w:trPr>
        <w:tc>
          <w:tcPr>
            <w:tcW w:w="3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As of December 31, 2014</w:t>
            </w:r>
          </w:p>
        </w:tc>
        <w:tc>
          <w:tcPr>
            <w:tcW w:w="13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3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-25 Basis Points</w:t>
            </w:r>
          </w:p>
        </w:tc>
        <w:tc>
          <w:tcPr>
            <w:tcW w:w="1300" w:type="dxa"/>
            <w:vAlign w:val="bottom"/>
          </w:tcPr>
          <w:p>
            <w:pPr>
              <w:jc w:val="center"/>
              <w:spacing w:after="0"/>
              <w:rPr>
                <w:sz w:val="20"/>
                <w:szCs w:val="20"/>
                <w:color w:val="auto"/>
              </w:rPr>
            </w:pPr>
            <w:r>
              <w:rPr>
                <w:rFonts w:ascii="Arial" w:cs="Arial" w:eastAsia="Arial" w:hAnsi="Arial"/>
                <w:sz w:val="14"/>
                <w:szCs w:val="14"/>
                <w:color w:val="auto"/>
                <w:w w:val="94"/>
              </w:rPr>
              <w:t>+1.3%</w:t>
            </w:r>
          </w:p>
        </w:tc>
        <w:tc>
          <w:tcPr>
            <w:tcW w:w="100" w:type="dxa"/>
            <w:vAlign w:val="bottom"/>
          </w:tcPr>
          <w:p>
            <w:pPr>
              <w:spacing w:after="0"/>
              <w:rPr>
                <w:sz w:val="22"/>
                <w:szCs w:val="22"/>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4"/>
              </w:rPr>
              <w:t>+9.8%</w:t>
            </w:r>
          </w:p>
        </w:tc>
        <w:tc>
          <w:tcPr>
            <w:tcW w:w="0" w:type="dxa"/>
            <w:vAlign w:val="bottom"/>
          </w:tcPr>
          <w:p>
            <w:pPr>
              <w:spacing w:after="0"/>
              <w:rPr>
                <w:sz w:val="1"/>
                <w:szCs w:val="1"/>
                <w:color w:val="auto"/>
              </w:rPr>
            </w:pPr>
          </w:p>
        </w:tc>
      </w:tr>
      <w:tr>
        <w:trPr>
          <w:trHeight w:val="276"/>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-10 Basis Points</w:t>
            </w: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+0.5%</w:t>
            </w:r>
          </w:p>
        </w:tc>
        <w:tc>
          <w:tcPr>
            <w:tcW w:w="100" w:type="dxa"/>
            <w:vAlign w:val="bottom"/>
            <w:shd w:val="clear" w:color="auto" w:fill="CCEEFF"/>
          </w:tcPr>
          <w:p>
            <w:pPr>
              <w:spacing w:after="0"/>
              <w:rPr>
                <w:sz w:val="24"/>
                <w:szCs w:val="24"/>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+3.9%</w:t>
            </w:r>
          </w:p>
        </w:tc>
        <w:tc>
          <w:tcPr>
            <w:tcW w:w="0" w:type="dxa"/>
            <w:vAlign w:val="bottom"/>
          </w:tcPr>
          <w:p>
            <w:pPr>
              <w:spacing w:after="0"/>
              <w:rPr>
                <w:sz w:val="1"/>
                <w:szCs w:val="1"/>
                <w:color w:val="auto"/>
              </w:rPr>
            </w:pPr>
          </w:p>
        </w:tc>
      </w:tr>
      <w:tr>
        <w:trPr>
          <w:trHeight w:val="258"/>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+10 Basis Points</w:t>
            </w:r>
          </w:p>
        </w:tc>
        <w:tc>
          <w:tcPr>
            <w:tcW w:w="1300" w:type="dxa"/>
            <w:vAlign w:val="bottom"/>
          </w:tcPr>
          <w:p>
            <w:pPr>
              <w:jc w:val="center"/>
              <w:spacing w:after="0"/>
              <w:rPr>
                <w:sz w:val="20"/>
                <w:szCs w:val="20"/>
                <w:color w:val="auto"/>
              </w:rPr>
            </w:pPr>
            <w:r>
              <w:rPr>
                <w:rFonts w:ascii="Arial" w:cs="Arial" w:eastAsia="Arial" w:hAnsi="Arial"/>
                <w:sz w:val="14"/>
                <w:szCs w:val="14"/>
                <w:color w:val="auto"/>
                <w:w w:val="92"/>
              </w:rPr>
              <w:t>-0.5%</w:t>
            </w:r>
          </w:p>
        </w:tc>
        <w:tc>
          <w:tcPr>
            <w:tcW w:w="100" w:type="dxa"/>
            <w:vAlign w:val="bottom"/>
          </w:tcPr>
          <w:p>
            <w:pPr>
              <w:spacing w:after="0"/>
              <w:rPr>
                <w:sz w:val="22"/>
                <w:szCs w:val="22"/>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2"/>
              </w:rPr>
              <w:t>-3.9%</w:t>
            </w:r>
          </w:p>
        </w:tc>
        <w:tc>
          <w:tcPr>
            <w:tcW w:w="0" w:type="dxa"/>
            <w:vAlign w:val="bottom"/>
          </w:tcPr>
          <w:p>
            <w:pPr>
              <w:spacing w:after="0"/>
              <w:rPr>
                <w:sz w:val="1"/>
                <w:szCs w:val="1"/>
                <w:color w:val="auto"/>
              </w:rPr>
            </w:pPr>
          </w:p>
        </w:tc>
      </w:tr>
      <w:tr>
        <w:trPr>
          <w:trHeight w:val="270"/>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+25 Basis Points</w:t>
            </w:r>
          </w:p>
        </w:tc>
        <w:tc>
          <w:tcPr>
            <w:tcW w:w="1300" w:type="dxa"/>
            <w:vAlign w:val="bottom"/>
          </w:tcPr>
          <w:p>
            <w:pPr>
              <w:jc w:val="center"/>
              <w:spacing w:after="0"/>
              <w:rPr>
                <w:sz w:val="20"/>
                <w:szCs w:val="20"/>
                <w:color w:val="auto"/>
              </w:rPr>
            </w:pPr>
            <w:r>
              <w:rPr>
                <w:rFonts w:ascii="Arial" w:cs="Arial" w:eastAsia="Arial" w:hAnsi="Arial"/>
                <w:sz w:val="14"/>
                <w:szCs w:val="14"/>
                <w:color w:val="auto"/>
                <w:w w:val="92"/>
              </w:rPr>
              <w:t>-1.3%</w:t>
            </w:r>
          </w:p>
        </w:tc>
        <w:tc>
          <w:tcPr>
            <w:tcW w:w="100" w:type="dxa"/>
            <w:vAlign w:val="bottom"/>
          </w:tcPr>
          <w:p>
            <w:pPr>
              <w:spacing w:after="0"/>
              <w:rPr>
                <w:sz w:val="23"/>
                <w:szCs w:val="23"/>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2"/>
              </w:rPr>
              <w:t>-9.8%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1763395</wp:posOffset>
            </wp:positionH>
            <wp:positionV relativeFrom="paragraph">
              <wp:posOffset>-163195</wp:posOffset>
            </wp:positionV>
            <wp:extent cx="3730625" cy="1714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730625" cy="171450"/>
                    </a:xfrm>
                    <a:prstGeom prst="rect">
                      <a:avLst/>
                    </a:prstGeom>
                    <a:noFill/>
                  </pic:spPr>
                </pic:pic>
              </a:graphicData>
            </a:graphic>
          </wp:anchor>
        </w:drawing>
      </w:r>
    </w:p>
    <w:p>
      <w:pPr>
        <w:spacing w:after="0"/>
        <w:rPr>
          <w:sz w:val="20"/>
          <w:szCs w:val="20"/>
          <w:color w:val="auto"/>
        </w:rPr>
      </w:pPr>
      <w:r>
        <w:rPr>
          <w:rFonts w:ascii="Arial" w:cs="Arial" w:eastAsia="Arial" w:hAnsi="Arial"/>
          <w:sz w:val="14"/>
          <w:szCs w:val="14"/>
          <w:color w:val="auto"/>
        </w:rPr>
        <w:t>________________</w:t>
      </w:r>
    </w:p>
    <w:p>
      <w:pPr>
        <w:spacing w:after="0" w:line="6" w:lineRule="exact"/>
        <w:rPr>
          <w:sz w:val="20"/>
          <w:szCs w:val="20"/>
          <w:color w:val="auto"/>
        </w:rPr>
      </w:pPr>
    </w:p>
    <w:p>
      <w:pPr>
        <w:ind w:left="660" w:right="20" w:hanging="328"/>
        <w:spacing w:after="0" w:line="241" w:lineRule="auto"/>
        <w:tabs>
          <w:tab w:leader="none" w:pos="660" w:val="left"/>
        </w:tabs>
        <w:numPr>
          <w:ilvl w:val="0"/>
          <w:numId w:val="47"/>
        </w:numPr>
        <w:rPr>
          <w:rFonts w:ascii="Arial" w:cs="Arial" w:eastAsia="Arial" w:hAnsi="Arial"/>
          <w:sz w:val="14"/>
          <w:szCs w:val="14"/>
          <w:color w:val="auto"/>
        </w:rPr>
      </w:pPr>
      <w:r>
        <w:rPr>
          <w:rFonts w:ascii="Arial" w:cs="Arial" w:eastAsia="Arial" w:hAnsi="Arial"/>
          <w:sz w:val="14"/>
          <w:szCs w:val="14"/>
          <w:color w:val="auto"/>
        </w:rPr>
        <w:t>Spread sensitivity is derived from models that are dependent on inputs and assumptions provided by third parties as well as by our Manager, assumes there are no changes in interest rates and assumes a static portfolio. Actual results could differ materially from these estimates.</w:t>
      </w:r>
    </w:p>
    <w:p>
      <w:pPr>
        <w:ind w:left="660" w:hanging="328"/>
        <w:spacing w:after="0"/>
        <w:tabs>
          <w:tab w:leader="none" w:pos="660" w:val="left"/>
        </w:tabs>
        <w:numPr>
          <w:ilvl w:val="0"/>
          <w:numId w:val="47"/>
        </w:numPr>
        <w:rPr>
          <w:rFonts w:ascii="Arial" w:cs="Arial" w:eastAsia="Arial" w:hAnsi="Arial"/>
          <w:sz w:val="14"/>
          <w:szCs w:val="14"/>
          <w:color w:val="auto"/>
        </w:rPr>
      </w:pPr>
      <w:r>
        <w:rPr>
          <w:rFonts w:ascii="Arial" w:cs="Arial" w:eastAsia="Arial" w:hAnsi="Arial"/>
          <w:sz w:val="14"/>
          <w:szCs w:val="14"/>
          <w:color w:val="auto"/>
        </w:rPr>
        <w:t>Includes the effect of derivatives and other securities used for hedging purposes.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47"/>
        </w:numPr>
        <w:rPr>
          <w:rFonts w:ascii="Arial" w:cs="Arial" w:eastAsia="Arial" w:hAnsi="Arial"/>
          <w:sz w:val="14"/>
          <w:szCs w:val="14"/>
          <w:color w:val="auto"/>
        </w:rPr>
      </w:pPr>
      <w:r>
        <w:rPr>
          <w:rFonts w:ascii="Arial" w:cs="Arial" w:eastAsia="Arial" w:hAnsi="Arial"/>
          <w:sz w:val="14"/>
          <w:szCs w:val="14"/>
          <w:color w:val="auto"/>
        </w:rPr>
        <w:t>Estimated dollar change in investment portfolio value expressed as a percent of the total fair value of our investment portfolio as of such date.</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47"/>
        </w:numPr>
        <w:rPr>
          <w:rFonts w:ascii="Arial" w:cs="Arial" w:eastAsia="Arial" w:hAnsi="Arial"/>
          <w:sz w:val="13"/>
          <w:szCs w:val="13"/>
          <w:color w:val="auto"/>
        </w:rPr>
      </w:pPr>
      <w:r>
        <w:rPr>
          <w:rFonts w:ascii="Arial" w:cs="Arial" w:eastAsia="Arial" w:hAnsi="Arial"/>
          <w:sz w:val="13"/>
          <w:szCs w:val="13"/>
          <w:color w:val="auto"/>
        </w:rPr>
        <w:t>Estimated dollar change in portfolio value expressed as a percent of stockholders' equity, net of the Series A and Series B Preferred Stock liquidation preference, as of such date.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 Risk</w:t>
      </w:r>
    </w:p>
    <w:p>
      <w:pPr>
        <w:spacing w:after="0" w:line="171" w:lineRule="exact"/>
        <w:rPr>
          <w:sz w:val="20"/>
          <w:szCs w:val="20"/>
          <w:color w:val="auto"/>
        </w:rPr>
      </w:pPr>
    </w:p>
    <w:p>
      <w:pPr>
        <w:jc w:val="both"/>
        <w:ind w:firstLine="432"/>
        <w:spacing w:after="0" w:line="289" w:lineRule="auto"/>
        <w:rPr>
          <w:sz w:val="20"/>
          <w:szCs w:val="20"/>
          <w:color w:val="auto"/>
        </w:rPr>
      </w:pPr>
      <w:r>
        <w:rPr>
          <w:rFonts w:ascii="Arial" w:cs="Arial" w:eastAsia="Arial" w:hAnsi="Arial"/>
          <w:sz w:val="16"/>
          <w:szCs w:val="16"/>
          <w:color w:val="auto"/>
        </w:rPr>
        <w:t>The primary liquidity risk for us arises from financing long-term assets with shorter-term borrowings through repurchase agreements, FHLB advances and other short-term funding agreements. As of December 31, 2015, we had unrestricted cash and cash equivalents of $1.1 billion and unpledged securities of approximately $3.0 billion, including securities pledged to us and unpledged interests in our consolidated VIEs, available to meet margin calls on our funding liabilities and derivative contracts and for other corporate purposes. However, should the value of our collateral or the value of our derivative instruments suddenly decrease, margin calls relating to our funding liabilities and derivative agreements could increase, causing an adverse change in our liquidity position. Furthermore, there is no assurance that we will always be able to renew (or roll) our short-term funding liabilities. In addition, our counterparties have the option to increase our haircuts (margin requirements) on the assets we pledge against our funding liabilities, thereby reducing the amount that can be borrowed against an asset even if they agree to renew or roll such funding liabilities. Significantly higher haircuts can reduce our ability to leverage our portfolio or even force us to sell assets, especially if correlated with asset price declines or faster prepayment rates on our assets.</w:t>
      </w:r>
    </w:p>
    <w:p>
      <w:pPr>
        <w:spacing w:after="0" w:line="113"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In addition, we may utilize TBA dollar roll transactions as a means of investing in and financing agency mortgage-backed securities. Under certain economic conditions it may be uneconomical to roll our TBA dollar roll transactions prior to the settlement date and we could have to take physical delivery of the underlying securities and settle our obligations for cash, which could negatively impact our liquidity position, result in defaults or force us to sell assets under adverse conditions.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Extension Risk</w:t>
      </w:r>
    </w:p>
    <w:p>
      <w:pPr>
        <w:spacing w:after="0" w:line="17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projected weighted-average life and estimated duration, or interest rate sensitivity, of our investments is based on our Manager's assumptions regarding the rate at which the borrowers will prepay the underlying mortgage loans. In general, we use</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70</w:t>
      </w:r>
    </w:p>
    <w:p>
      <w:pPr>
        <w:sectPr>
          <w:pgSz w:w="11900" w:h="16838" w:orient="portrait"/>
          <w:cols w:equalWidth="0" w:num="1">
            <w:col w:w="11420"/>
          </w:cols>
          <w:pgMar w:left="240" w:top="584" w:right="239" w:bottom="1440" w:gutter="0" w:footer="0" w:header="0"/>
        </w:sectPr>
      </w:pPr>
    </w:p>
    <w:bookmarkStart w:id="71" w:name="page72"/>
    <w:bookmarkEnd w:id="71"/>
    <w:p>
      <w:pPr>
        <w:jc w:val="both"/>
        <w:spacing w:after="0" w:line="264" w:lineRule="auto"/>
        <w:rPr>
          <w:sz w:val="20"/>
          <w:szCs w:val="20"/>
          <w:color w:val="auto"/>
        </w:rPr>
      </w:pPr>
      <w:r>
        <w:rPr>
          <w:rFonts w:ascii="Arial" w:cs="Arial" w:eastAsia="Arial" w:hAnsi="Arial"/>
          <w:sz w:val="18"/>
          <w:szCs w:val="18"/>
          <w:color w:val="auto"/>
        </w:rPr>
        <w:t>interest rate swaps and swaptions to help manage our funding cost on our investments in the event that interest rates rise. These swaps (or swaptions) allow us to reduce our funding exposure on the notional amount of the swap for a specified period of time by establishing a fixed rate to pay in exchange for receiving a floating rate that generally tracks our financing costs under our funding liabilities.</w:t>
      </w:r>
    </w:p>
    <w:p>
      <w:pPr>
        <w:spacing w:after="0" w:line="127"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However, if prepayment rates decrease in a rising interest rate environment, the average life or duration of our fixed rate assets generally extends. This could have a negative impact on our results from operations, as our interest rate swap maturities are fixed and will, therefore, cover a smaller percentage of our funding exposure on our mortgage assets to the extent that their average lives increase due to slower prepayments. This situation may also cause the market value of our fixed rate securities to decline by more than otherwise would be the case while most of our hedging instruments would not receive any incremental offsetting gains. In extreme situations, we may be forced to sell assets to maintain adequate liquidity, which could cause us to incur realized losses.</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Risk</w:t>
      </w:r>
    </w:p>
    <w:p>
      <w:pPr>
        <w:spacing w:after="0" w:line="225" w:lineRule="exact"/>
        <w:rPr>
          <w:sz w:val="20"/>
          <w:szCs w:val="20"/>
          <w:color w:val="auto"/>
        </w:rPr>
      </w:pPr>
    </w:p>
    <w:p>
      <w:pPr>
        <w:jc w:val="both"/>
        <w:ind w:firstLine="405"/>
        <w:spacing w:after="0" w:line="287" w:lineRule="auto"/>
        <w:rPr>
          <w:sz w:val="20"/>
          <w:szCs w:val="20"/>
          <w:color w:val="auto"/>
        </w:rPr>
      </w:pPr>
      <w:r>
        <w:rPr>
          <w:rFonts w:ascii="Arial" w:cs="Arial" w:eastAsia="Arial" w:hAnsi="Arial"/>
          <w:sz w:val="16"/>
          <w:szCs w:val="16"/>
          <w:color w:val="auto"/>
        </w:rPr>
        <w:t>We are exposed to credit risk relating to potential losses that could be recognized on our non-agency securities due to delinquency, foreclosure and related losses on the underlying mortgage loans, and to counterparty credit risk relating to potential losses on our repurchase agreements, other debt and derivative contracts in the event that the counterparties fail to perform their obligations under such agreements. The amount of assets we pledge as collateral in accordance with our agreements varies over time based on the market value and notional amount of such assets as well as the value of our derivative contracts. In the event of a default by a counterparty, we may not receive payments provided for under the terms of our agreements and may have difficulty obtaining our assets pledged as collateral under such agreements. Our credit risk related to certain derivative transactions is largely mitigated through daily adjustments to collateral pledged based on changes in market value and we limit our counterparties to major financial institutions with acceptable credit ratings. We seek to manage credit risk related to investments in non-agency securities through prudent asset selection, pre-acquisition due diligence, post-acquisition performance monitoring, sale of assets where we have identified negative credit trends and the use of various types of credit enhancements. Our overall management of credit exposure may also include the use of credit default swaps or other financial derivatives that we believe are appropriate. Additionally, we intend to limit our non-agency mortgage investments to investment grade, AAA rated securities and to up to 10% of our portfolio. However, there is no guarantee our efforts to manage credit risk will be successful and we could suffer significant losses if unsuccessful.</w:t>
      </w: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ectPr>
          <w:pgSz w:w="11900" w:h="16838" w:orient="portrait"/>
          <w:cols w:equalWidth="0" w:num="1">
            <w:col w:w="11420"/>
          </w:cols>
          <w:pgMar w:left="240" w:top="746" w:right="239" w:bottom="1440" w:gutter="0" w:footer="0" w:header="0"/>
        </w:sectPr>
      </w:pPr>
    </w:p>
    <w:bookmarkStart w:id="72" w:name="page73"/>
    <w:bookmarkEnd w:id="72"/>
    <w:p>
      <w:pPr>
        <w:spacing w:after="0"/>
        <w:rPr>
          <w:sz w:val="20"/>
          <w:szCs w:val="20"/>
          <w:color w:val="auto"/>
        </w:rPr>
      </w:pPr>
      <w:r>
        <w:rPr>
          <w:rFonts w:ascii="Arial" w:cs="Arial" w:eastAsia="Arial" w:hAnsi="Arial"/>
          <w:sz w:val="18"/>
          <w:szCs w:val="18"/>
          <w:b w:val="1"/>
          <w:bCs w:val="1"/>
          <w:color w:val="auto"/>
        </w:rPr>
        <w:t xml:space="preserve">Item 8. </w:t>
      </w:r>
      <w:r>
        <w:rPr>
          <w:rFonts w:ascii="Arial" w:cs="Arial" w:eastAsia="Arial" w:hAnsi="Arial"/>
          <w:sz w:val="18"/>
          <w:szCs w:val="18"/>
          <w:b w:val="1"/>
          <w:bCs w:val="1"/>
          <w:i w:val="1"/>
          <w:iCs w:val="1"/>
          <w:color w:val="auto"/>
        </w:rPr>
        <w:t>Financial Statements and Supplementary Data</w:t>
      </w:r>
    </w:p>
    <w:p>
      <w:pPr>
        <w:spacing w:after="0" w:line="229" w:lineRule="exact"/>
        <w:rPr>
          <w:sz w:val="20"/>
          <w:szCs w:val="20"/>
          <w:color w:val="auto"/>
        </w:rPr>
      </w:pPr>
    </w:p>
    <w:p>
      <w:pPr>
        <w:jc w:val="both"/>
        <w:ind w:firstLine="432"/>
        <w:spacing w:after="0" w:line="302" w:lineRule="auto"/>
        <w:rPr>
          <w:sz w:val="20"/>
          <w:szCs w:val="20"/>
          <w:color w:val="auto"/>
        </w:rPr>
      </w:pPr>
      <w:r>
        <w:rPr>
          <w:rFonts w:ascii="Arial" w:cs="Arial" w:eastAsia="Arial" w:hAnsi="Arial"/>
          <w:sz w:val="16"/>
          <w:szCs w:val="16"/>
          <w:color w:val="auto"/>
        </w:rPr>
        <w:t>Our management is responsible for the preparation, integrity and objectivity of the accompanying consolidated financial statements and the related financial information. The financial statements have been prepared in conformity with accounting principles generally accepted in the United States and necessarily include certain amounts that are based on estimates and informed judgments. Our management also prepared the related financial information included in this Annual Report on Form 10-K and is responsible for its accuracy and consistency with the consolidated financial statements.</w:t>
      </w:r>
    </w:p>
    <w:p>
      <w:pPr>
        <w:spacing w:after="0" w:line="46"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The consolidated financial statements have been audited by Ernst &amp; Young LLP, an independent registered public accounting firm, who conducted their audit in accordance with the standards of the Public Company Accounting Oversight Board (United States) as of December 31, 2015 and 2014 and fiscal years 2015, 2014 and 2013. The independent registered public accounting firm's responsibility is to express an opinion as to the fairness with which such consolidated financial statements present our financial position, results of operations and cash flows in accordance with accounting principles generally accepted in the United States.</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Management's Report on Internal Control over Financial Reporting</w:t>
      </w:r>
    </w:p>
    <w:p>
      <w:pPr>
        <w:spacing w:after="0" w:line="121" w:lineRule="exact"/>
        <w:rPr>
          <w:sz w:val="20"/>
          <w:szCs w:val="20"/>
          <w:color w:val="auto"/>
        </w:rPr>
      </w:pPr>
    </w:p>
    <w:p>
      <w:pPr>
        <w:jc w:val="both"/>
        <w:ind w:firstLine="432"/>
        <w:spacing w:after="0" w:line="290" w:lineRule="auto"/>
        <w:rPr>
          <w:sz w:val="20"/>
          <w:szCs w:val="20"/>
          <w:color w:val="auto"/>
        </w:rPr>
      </w:pPr>
      <w:r>
        <w:rPr>
          <w:rFonts w:ascii="Arial" w:cs="Arial" w:eastAsia="Arial" w:hAnsi="Arial"/>
          <w:sz w:val="16"/>
          <w:szCs w:val="16"/>
          <w:color w:val="auto"/>
        </w:rPr>
        <w:t>Our management is responsible for establishing and maintaining adequate internal control over financial reporting as defined in Rule 13a-15(f) under the Securities Exchange Act of 1934. Our internal control over financial reporting is designed to provide reasonable assurance regarding the reliability of financial reporting and the preparation of consolidated financial statements for external purposes in accordance with generally accepted accounting principles. Our internal control over financial reporting includes those policies and procedures that (i) pertain to the maintenance of records that, in reasonable detail, accurately and fairly reflect the transactions and dispositions of our assets; (ii) provide reasonable assurance that transactions are recorded as necessary to permit preparation of financial statements in accordance with generally accepted accounting principles, and that receipts and expenditures are being made only in accordance with authorizations of our management and Board of Directors; and (iii) provide reasonable assurance regarding prevention or timely detection of unauthorized acquisition, use, or disposition of our assets that could have a material effect on the consolidated financial statements.</w:t>
      </w:r>
    </w:p>
    <w:p>
      <w:pPr>
        <w:spacing w:after="0" w:line="45"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54"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Management assessed the effectiveness of our internal control over financial reporting as of December 31, 2015, utilizing the criteria set forth by the Committee of Sponsoring Organizations of the Treadway Commission (COSO) in its Internal Control-Integrated Framework (2013 framework). Based on this assessment and those criteria, management determined that our internal control over financial reporting was effective as of December 31, 2015. The effectiveness of our internal control over financial reporting as of December 31, 2015 has been audited by Ernst &amp; Young LLP, our independent registered public accounting firm, as stated in their attestation report included in this Annual Report on Form 10-K.</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ectPr>
          <w:pgSz w:w="11900" w:h="16838" w:orient="portrait"/>
          <w:cols w:equalWidth="0" w:num="1">
            <w:col w:w="11420"/>
          </w:cols>
          <w:pgMar w:left="240" w:top="580" w:right="239" w:bottom="1440" w:gutter="0" w:footer="0" w:header="0"/>
        </w:sectPr>
      </w:pPr>
    </w:p>
    <w:bookmarkStart w:id="73" w:name="page74"/>
    <w:bookmarkEnd w:id="73"/>
    <w:p>
      <w:pPr>
        <w:spacing w:after="0" w:line="5"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Board of Directors and Stockholders of American Capital Agency Corp.</w:t>
      </w:r>
    </w:p>
    <w:p>
      <w:pPr>
        <w:spacing w:after="0" w:line="225" w:lineRule="exact"/>
        <w:rPr>
          <w:sz w:val="20"/>
          <w:szCs w:val="20"/>
          <w:color w:val="auto"/>
        </w:rPr>
      </w:pPr>
    </w:p>
    <w:p>
      <w:pPr>
        <w:ind w:right="60"/>
        <w:spacing w:after="0" w:line="276" w:lineRule="auto"/>
        <w:rPr>
          <w:sz w:val="20"/>
          <w:szCs w:val="20"/>
          <w:color w:val="auto"/>
        </w:rPr>
      </w:pPr>
      <w:r>
        <w:rPr>
          <w:rFonts w:ascii="Arial" w:cs="Arial" w:eastAsia="Arial" w:hAnsi="Arial"/>
          <w:sz w:val="17"/>
          <w:szCs w:val="17"/>
          <w:color w:val="auto"/>
        </w:rPr>
        <w:t>We have audited American Capital Agency Corp.’s internal control over financial reporting as of December 31, 2015, based on criteria established in Internal Control-Integrated Framework issued by the Committee of Sponsoring Organizations of the Treadway Commission (2013 framework) (the COSO criteria). American Capital Agency Corp.’s management is responsible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 company’s internal control over financial reporting based on our audit.</w:t>
      </w:r>
    </w:p>
    <w:p>
      <w:pPr>
        <w:spacing w:after="0" w:line="173"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We conducted our audit in accordance with the standards of the Public Company Accounting Oversight Board (United States).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w:t>
      </w:r>
    </w:p>
    <w:p>
      <w:pPr>
        <w:spacing w:after="0" w:line="173"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6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8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In our opinion, American Capital Agency Corp. maintained, in all material respects, effective internal control over financial reporting as of December 31, 2015, based on the COSO criteria.</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also have audited, in accordance with the standards of the Public Company Accounting Oversight Board (United States), the consolidated balance sheets of American Capital Agency Corp. as of December 31, 2015 and 2014, and the related consolidated statements of comprehensive income, stockholders’ equity, and cash flows for each of the three years in the period ended December 31, 2015 of American Capital Agency Corp., and our report dated February 23, 2016 expressed an unqualified opinion thereon.</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7140"/>
        <w:spacing w:after="0"/>
        <w:rPr>
          <w:sz w:val="20"/>
          <w:szCs w:val="20"/>
          <w:color w:val="auto"/>
        </w:rPr>
      </w:pPr>
      <w:r>
        <w:rPr>
          <w:rFonts w:ascii="Arial" w:cs="Arial" w:eastAsia="Arial" w:hAnsi="Arial"/>
          <w:sz w:val="18"/>
          <w:szCs w:val="18"/>
          <w:color w:val="auto"/>
        </w:rPr>
        <w:t>/s/ Ernst &amp; Young LLP</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McLean, Virginia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February 23, 2016</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ectPr>
          <w:pgSz w:w="11900" w:h="16838" w:orient="portrait"/>
          <w:cols w:equalWidth="0" w:num="1">
            <w:col w:w="11420"/>
          </w:cols>
          <w:pgMar w:left="240" w:top="1440" w:right="239" w:bottom="1440" w:gutter="0" w:footer="0" w:header="0"/>
        </w:sectPr>
      </w:pPr>
    </w:p>
    <w:bookmarkStart w:id="74" w:name="page75"/>
    <w:bookmarkEnd w:id="74"/>
    <w:p>
      <w:pPr>
        <w:ind w:left="346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Board of Directors and Stockholders of American Capital Agency Corp.</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have audited the accompanying consolidated balance sheets of American Capital Agency Corp. as of December 31, 2015 and 2014, and the related consolidated statements of comprehensive income, stockholders' equity, and cash flows for each of the three years in the period ended December 31, 2015. These financial statements are the responsibility of the Company's management. Our responsibility is to express an opinion on these financial statements based on our audits.</w:t>
      </w:r>
    </w:p>
    <w:p>
      <w:pPr>
        <w:spacing w:after="0" w:line="18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w:t>
      </w:r>
    </w:p>
    <w:p>
      <w:pPr>
        <w:spacing w:after="0" w:line="188"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 our opinion, the financial statements referred to above present fairly, in all material respects, the consolidated financial position of American Capital Agency Corp. at December 31, 2015 and 2014, and the consolidated results of its operations and its cash flows for each of the three years in the period ended December 31, 2015, in conformity with U.S. generally accepted accounting principles.</w:t>
      </w:r>
    </w:p>
    <w:p>
      <w:pPr>
        <w:spacing w:after="0" w:line="1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also have audited, in accordance with the standards of the Public Company Accounting Oversight Board (United States), American Capital Agency Corp.'s internal control over financial reporting as of December 31, 2015, based on criteria established in Internal Control-Integrated Framework issued by the Committee of Sponsoring Organizations of the Treadway Commission (2013 framework) and our report dated February 23, 2016 expressed an unqualified opinion thereon.</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7140"/>
        <w:spacing w:after="0"/>
        <w:rPr>
          <w:sz w:val="20"/>
          <w:szCs w:val="20"/>
          <w:color w:val="auto"/>
        </w:rPr>
      </w:pPr>
      <w:r>
        <w:rPr>
          <w:rFonts w:ascii="Arial" w:cs="Arial" w:eastAsia="Arial" w:hAnsi="Arial"/>
          <w:sz w:val="18"/>
          <w:szCs w:val="18"/>
          <w:color w:val="auto"/>
        </w:rPr>
        <w:t>/s/ Ernst &amp; Young LLP</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McLean, Virginia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February 23, 2016</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74</w:t>
      </w:r>
    </w:p>
    <w:p>
      <w:pPr>
        <w:sectPr>
          <w:pgSz w:w="11900" w:h="16838" w:orient="portrait"/>
          <w:cols w:equalWidth="0" w:num="1">
            <w:col w:w="11420"/>
          </w:cols>
          <w:pgMar w:left="240" w:top="1404" w:right="239" w:bottom="1440" w:gutter="0" w:footer="0" w:header="0"/>
        </w:sectPr>
      </w:pPr>
    </w:p>
    <w:bookmarkStart w:id="75" w:name="page76"/>
    <w:bookmarkEnd w:id="75"/>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millions, except per share data)</w:t>
      </w:r>
    </w:p>
    <w:p>
      <w:pPr>
        <w:spacing w:after="0" w:line="200" w:lineRule="exact"/>
        <w:rPr>
          <w:sz w:val="20"/>
          <w:szCs w:val="20"/>
          <w:color w:val="auto"/>
        </w:rPr>
      </w:pP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900" w:type="dxa"/>
            <w:vAlign w:val="bottom"/>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3"/>
          </w:tcPr>
          <w:p>
            <w:pPr>
              <w:jc w:val="right"/>
              <w:ind w:right="70"/>
              <w:spacing w:after="0"/>
              <w:rPr>
                <w:sz w:val="20"/>
                <w:szCs w:val="20"/>
                <w:color w:val="auto"/>
              </w:rPr>
            </w:pPr>
            <w:r>
              <w:rPr>
                <w:rFonts w:ascii="Arial" w:cs="Arial" w:eastAsia="Arial" w:hAnsi="Arial"/>
                <w:sz w:val="14"/>
                <w:szCs w:val="14"/>
                <w:b w:val="1"/>
                <w:bCs w:val="1"/>
                <w:color w:val="auto"/>
              </w:rPr>
              <w:t>December 31,</w:t>
            </w:r>
          </w:p>
        </w:tc>
        <w:tc>
          <w:tcPr>
            <w:tcW w:w="1160" w:type="dxa"/>
            <w:vAlign w:val="bottom"/>
            <w:tcBorders>
              <w:bottom w:val="single" w:sz="8" w:color="auto"/>
            </w:tcBorders>
          </w:tcPr>
          <w:p>
            <w:pPr>
              <w:spacing w:after="0"/>
              <w:rPr>
                <w:sz w:val="16"/>
                <w:szCs w:val="16"/>
                <w:color w:val="auto"/>
              </w:rPr>
            </w:pPr>
          </w:p>
        </w:tc>
      </w:tr>
      <w:tr>
        <w:trPr>
          <w:trHeight w:val="263"/>
        </w:trPr>
        <w:tc>
          <w:tcPr>
            <w:tcW w:w="7900" w:type="dxa"/>
            <w:vAlign w:val="bottom"/>
          </w:tcPr>
          <w:p>
            <w:pPr>
              <w:spacing w:after="0"/>
              <w:rPr>
                <w:sz w:val="22"/>
                <w:szCs w:val="22"/>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2015</w:t>
            </w:r>
          </w:p>
        </w:tc>
        <w:tc>
          <w:tcPr>
            <w:tcW w:w="66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54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611"/>
              <w:spacing w:after="0"/>
              <w:rPr>
                <w:sz w:val="20"/>
                <w:szCs w:val="20"/>
                <w:color w:val="auto"/>
              </w:rPr>
            </w:pPr>
            <w:r>
              <w:rPr>
                <w:rFonts w:ascii="Arial" w:cs="Arial" w:eastAsia="Arial" w:hAnsi="Arial"/>
                <w:sz w:val="14"/>
                <w:szCs w:val="14"/>
                <w:b w:val="1"/>
                <w:bCs w:val="1"/>
                <w:color w:val="auto"/>
              </w:rPr>
              <w:t>2014</w:t>
            </w:r>
          </w:p>
        </w:tc>
      </w:tr>
      <w:tr>
        <w:trPr>
          <w:trHeight w:val="243"/>
        </w:trPr>
        <w:tc>
          <w:tcPr>
            <w:tcW w:w="7900" w:type="dxa"/>
            <w:vAlign w:val="bottom"/>
          </w:tcPr>
          <w:p>
            <w:pPr>
              <w:ind w:left="40"/>
              <w:spacing w:after="0"/>
              <w:rPr>
                <w:sz w:val="20"/>
                <w:szCs w:val="20"/>
                <w:color w:val="auto"/>
              </w:rPr>
            </w:pPr>
            <w:r>
              <w:rPr>
                <w:rFonts w:ascii="Arial" w:cs="Arial" w:eastAsia="Arial" w:hAnsi="Arial"/>
                <w:sz w:val="18"/>
                <w:szCs w:val="18"/>
                <w:b w:val="1"/>
                <w:bCs w:val="1"/>
                <w:color w:val="auto"/>
              </w:rPr>
              <w:t>Assets:</w:t>
            </w:r>
          </w:p>
        </w:tc>
        <w:tc>
          <w:tcPr>
            <w:tcW w:w="106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160" w:type="dxa"/>
            <w:vAlign w:val="bottom"/>
          </w:tcPr>
          <w:p>
            <w:pPr>
              <w:spacing w:after="0"/>
              <w:rPr>
                <w:sz w:val="21"/>
                <w:szCs w:val="21"/>
                <w:color w:val="auto"/>
              </w:rPr>
            </w:pPr>
          </w:p>
        </w:tc>
      </w:tr>
      <w:tr>
        <w:trPr>
          <w:trHeight w:val="27"/>
        </w:trPr>
        <w:tc>
          <w:tcPr>
            <w:tcW w:w="79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w w:val="95"/>
              </w:rPr>
              <w:t>Agency securities, at fair value (including pledged securities of $48,380 and $51,629, respectively)</w:t>
            </w:r>
          </w:p>
        </w:tc>
        <w:tc>
          <w:tcPr>
            <w:tcW w:w="1060" w:type="dxa"/>
            <w:vAlign w:val="bottom"/>
            <w:tcBorders>
              <w:bottom w:val="single" w:sz="8" w:color="CCEEFF"/>
            </w:tcBorders>
            <w:shd w:val="clear" w:color="auto" w:fill="CCEEFF"/>
          </w:tcPr>
          <w:p>
            <w:pPr>
              <w:jc w:val="right"/>
              <w:ind w:right="854"/>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w w:val="94"/>
              </w:rPr>
              <w:t>51,331</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ind w:right="3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55,482</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w w:val="91"/>
              </w:rPr>
              <w:t>Agency securities transferred to consolidated variable interest entities, at fair value (pledged securities)</w:t>
            </w:r>
          </w:p>
        </w:tc>
        <w:tc>
          <w:tcPr>
            <w:tcW w:w="1060" w:type="dxa"/>
            <w:vAlign w:val="bottom"/>
          </w:tcPr>
          <w:p>
            <w:pPr>
              <w:spacing w:after="0"/>
              <w:rPr>
                <w:sz w:val="21"/>
                <w:szCs w:val="21"/>
                <w:color w:val="auto"/>
              </w:rPr>
            </w:pPr>
          </w:p>
        </w:tc>
        <w:tc>
          <w:tcPr>
            <w:tcW w:w="660" w:type="dxa"/>
            <w:vAlign w:val="bottom"/>
          </w:tcPr>
          <w:p>
            <w:pPr>
              <w:jc w:val="right"/>
              <w:ind w:right="31"/>
              <w:spacing w:after="0"/>
              <w:rPr>
                <w:sz w:val="20"/>
                <w:szCs w:val="20"/>
                <w:color w:val="auto"/>
              </w:rPr>
            </w:pPr>
            <w:r>
              <w:rPr>
                <w:rFonts w:ascii="Arial" w:cs="Arial" w:eastAsia="Arial" w:hAnsi="Arial"/>
                <w:sz w:val="18"/>
                <w:szCs w:val="18"/>
                <w:color w:val="auto"/>
              </w:rPr>
              <w:t>1,029</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1,266</w:t>
            </w:r>
          </w:p>
        </w:tc>
      </w:tr>
      <w:tr>
        <w:trPr>
          <w:trHeight w:val="27"/>
        </w:trPr>
        <w:tc>
          <w:tcPr>
            <w:tcW w:w="79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Non-agency securities, at fair value (including pledged securities of $113 and $0, respectively)</w:t>
            </w:r>
          </w:p>
        </w:tc>
        <w:tc>
          <w:tcPr>
            <w:tcW w:w="10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113</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w w:val="95"/>
              </w:rPr>
              <w:t>U.S. Treasury securities, at fair value (including pledged securities of $25 and $2,375, respectively)</w:t>
            </w:r>
          </w:p>
        </w:tc>
        <w:tc>
          <w:tcPr>
            <w:tcW w:w="1060" w:type="dxa"/>
            <w:vAlign w:val="bottom"/>
          </w:tcPr>
          <w:p>
            <w:pPr>
              <w:spacing w:after="0"/>
              <w:rPr>
                <w:sz w:val="21"/>
                <w:szCs w:val="21"/>
                <w:color w:val="auto"/>
              </w:rPr>
            </w:pPr>
          </w:p>
        </w:tc>
        <w:tc>
          <w:tcPr>
            <w:tcW w:w="660" w:type="dxa"/>
            <w:vAlign w:val="bottom"/>
          </w:tcPr>
          <w:p>
            <w:pPr>
              <w:jc w:val="right"/>
              <w:ind w:right="31"/>
              <w:spacing w:after="0"/>
              <w:rPr>
                <w:sz w:val="20"/>
                <w:szCs w:val="20"/>
                <w:color w:val="auto"/>
              </w:rPr>
            </w:pPr>
            <w:r>
              <w:rPr>
                <w:rFonts w:ascii="Arial" w:cs="Arial" w:eastAsia="Arial" w:hAnsi="Arial"/>
                <w:sz w:val="18"/>
                <w:szCs w:val="18"/>
                <w:color w:val="auto"/>
              </w:rPr>
              <w:t>25</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2,427</w:t>
            </w:r>
          </w:p>
        </w:tc>
      </w:tr>
      <w:tr>
        <w:trPr>
          <w:trHeight w:val="27"/>
        </w:trPr>
        <w:tc>
          <w:tcPr>
            <w:tcW w:w="79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REIT equity securities, at fair value</w:t>
            </w:r>
          </w:p>
        </w:tc>
        <w:tc>
          <w:tcPr>
            <w:tcW w:w="10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33</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68</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Cash and cash equivalents</w:t>
            </w:r>
          </w:p>
        </w:tc>
        <w:tc>
          <w:tcPr>
            <w:tcW w:w="1060" w:type="dxa"/>
            <w:vAlign w:val="bottom"/>
          </w:tcPr>
          <w:p>
            <w:pPr>
              <w:spacing w:after="0"/>
              <w:rPr>
                <w:sz w:val="21"/>
                <w:szCs w:val="21"/>
                <w:color w:val="auto"/>
              </w:rPr>
            </w:pPr>
          </w:p>
        </w:tc>
        <w:tc>
          <w:tcPr>
            <w:tcW w:w="660" w:type="dxa"/>
            <w:vAlign w:val="bottom"/>
          </w:tcPr>
          <w:p>
            <w:pPr>
              <w:jc w:val="right"/>
              <w:ind w:right="31"/>
              <w:spacing w:after="0"/>
              <w:rPr>
                <w:sz w:val="20"/>
                <w:szCs w:val="20"/>
                <w:color w:val="auto"/>
              </w:rPr>
            </w:pPr>
            <w:r>
              <w:rPr>
                <w:rFonts w:ascii="Arial" w:cs="Arial" w:eastAsia="Arial" w:hAnsi="Arial"/>
                <w:sz w:val="18"/>
                <w:szCs w:val="18"/>
                <w:color w:val="auto"/>
              </w:rPr>
              <w:t>1,110</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1,720</w:t>
            </w:r>
          </w:p>
        </w:tc>
      </w:tr>
      <w:tr>
        <w:trPr>
          <w:trHeight w:val="27"/>
        </w:trPr>
        <w:tc>
          <w:tcPr>
            <w:tcW w:w="79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Restricted cash and cash equivalents</w:t>
            </w:r>
          </w:p>
        </w:tc>
        <w:tc>
          <w:tcPr>
            <w:tcW w:w="10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1,281</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713</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Derivative assets, at fair value</w:t>
            </w:r>
          </w:p>
        </w:tc>
        <w:tc>
          <w:tcPr>
            <w:tcW w:w="1060" w:type="dxa"/>
            <w:vAlign w:val="bottom"/>
          </w:tcPr>
          <w:p>
            <w:pPr>
              <w:spacing w:after="0"/>
              <w:rPr>
                <w:sz w:val="21"/>
                <w:szCs w:val="21"/>
                <w:color w:val="auto"/>
              </w:rPr>
            </w:pPr>
          </w:p>
        </w:tc>
        <w:tc>
          <w:tcPr>
            <w:tcW w:w="660" w:type="dxa"/>
            <w:vAlign w:val="bottom"/>
          </w:tcPr>
          <w:p>
            <w:pPr>
              <w:jc w:val="right"/>
              <w:ind w:right="31"/>
              <w:spacing w:after="0"/>
              <w:rPr>
                <w:sz w:val="20"/>
                <w:szCs w:val="20"/>
                <w:color w:val="auto"/>
              </w:rPr>
            </w:pPr>
            <w:r>
              <w:rPr>
                <w:rFonts w:ascii="Arial" w:cs="Arial" w:eastAsia="Arial" w:hAnsi="Arial"/>
                <w:sz w:val="18"/>
                <w:szCs w:val="18"/>
                <w:color w:val="auto"/>
              </w:rPr>
              <w:t>81</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408</w:t>
            </w:r>
          </w:p>
        </w:tc>
      </w:tr>
      <w:tr>
        <w:trPr>
          <w:trHeight w:val="27"/>
        </w:trPr>
        <w:tc>
          <w:tcPr>
            <w:tcW w:w="79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Receivable for securities sold (including pledged securities of $0 and $79, respectively)</w:t>
            </w:r>
          </w:p>
        </w:tc>
        <w:tc>
          <w:tcPr>
            <w:tcW w:w="10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5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239</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Receivable under reverse repurchase agreements</w:t>
            </w:r>
          </w:p>
        </w:tc>
        <w:tc>
          <w:tcPr>
            <w:tcW w:w="1060" w:type="dxa"/>
            <w:vAlign w:val="bottom"/>
          </w:tcPr>
          <w:p>
            <w:pPr>
              <w:spacing w:after="0"/>
              <w:rPr>
                <w:sz w:val="21"/>
                <w:szCs w:val="21"/>
                <w:color w:val="auto"/>
              </w:rPr>
            </w:pPr>
          </w:p>
        </w:tc>
        <w:tc>
          <w:tcPr>
            <w:tcW w:w="660" w:type="dxa"/>
            <w:vAlign w:val="bottom"/>
          </w:tcPr>
          <w:p>
            <w:pPr>
              <w:jc w:val="right"/>
              <w:ind w:right="31"/>
              <w:spacing w:after="0"/>
              <w:rPr>
                <w:sz w:val="20"/>
                <w:szCs w:val="20"/>
                <w:color w:val="auto"/>
              </w:rPr>
            </w:pPr>
            <w:r>
              <w:rPr>
                <w:rFonts w:ascii="Arial" w:cs="Arial" w:eastAsia="Arial" w:hAnsi="Arial"/>
                <w:sz w:val="18"/>
                <w:szCs w:val="18"/>
                <w:color w:val="auto"/>
              </w:rPr>
              <w:t>1,713</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5,218</w:t>
            </w:r>
          </w:p>
        </w:tc>
      </w:tr>
      <w:tr>
        <w:trPr>
          <w:trHeight w:val="27"/>
        </w:trPr>
        <w:tc>
          <w:tcPr>
            <w:tcW w:w="79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7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Other assets</w:t>
            </w:r>
          </w:p>
        </w:tc>
        <w:tc>
          <w:tcPr>
            <w:tcW w:w="106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305</w:t>
            </w:r>
          </w:p>
        </w:tc>
        <w:tc>
          <w:tcPr>
            <w:tcW w:w="100" w:type="dxa"/>
            <w:vAlign w:val="bottom"/>
            <w:tcBorders>
              <w:bottom w:val="single" w:sz="8" w:color="CCEEFF"/>
            </w:tcBorders>
            <w:shd w:val="clear" w:color="auto" w:fill="CCEEFF"/>
          </w:tcPr>
          <w:p>
            <w:pPr>
              <w:spacing w:after="0"/>
              <w:rPr>
                <w:sz w:val="23"/>
                <w:szCs w:val="23"/>
                <w:color w:val="auto"/>
              </w:rPr>
            </w:pPr>
          </w:p>
        </w:tc>
        <w:tc>
          <w:tcPr>
            <w:tcW w:w="5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225</w:t>
            </w:r>
          </w:p>
        </w:tc>
      </w:tr>
      <w:tr>
        <w:trPr>
          <w:trHeight w:val="297"/>
        </w:trPr>
        <w:tc>
          <w:tcPr>
            <w:tcW w:w="7900" w:type="dxa"/>
            <w:vAlign w:val="bottom"/>
            <w:tcBorders>
              <w:bottom w:val="single" w:sz="8" w:color="CCEEFF"/>
            </w:tcBorders>
          </w:tcPr>
          <w:p>
            <w:pPr>
              <w:ind w:left="720"/>
              <w:spacing w:after="0"/>
              <w:rPr>
                <w:sz w:val="20"/>
                <w:szCs w:val="20"/>
                <w:color w:val="auto"/>
              </w:rPr>
            </w:pPr>
            <w:r>
              <w:rPr>
                <w:rFonts w:ascii="Arial" w:cs="Arial" w:eastAsia="Arial" w:hAnsi="Arial"/>
                <w:sz w:val="18"/>
                <w:szCs w:val="18"/>
                <w:color w:val="auto"/>
              </w:rPr>
              <w:t>Total assets</w:t>
            </w:r>
          </w:p>
        </w:tc>
        <w:tc>
          <w:tcPr>
            <w:tcW w:w="1060" w:type="dxa"/>
            <w:vAlign w:val="bottom"/>
            <w:tcBorders>
              <w:top w:val="single" w:sz="8" w:color="auto"/>
              <w:bottom w:val="single" w:sz="8" w:color="auto"/>
            </w:tcBorders>
          </w:tcPr>
          <w:p>
            <w:pPr>
              <w:jc w:val="right"/>
              <w:ind w:right="854"/>
              <w:spacing w:after="0"/>
              <w:rPr>
                <w:sz w:val="20"/>
                <w:szCs w:val="20"/>
                <w:color w:val="auto"/>
              </w:rPr>
            </w:pPr>
            <w:r>
              <w:rPr>
                <w:rFonts w:ascii="Arial" w:cs="Arial" w:eastAsia="Arial" w:hAnsi="Arial"/>
                <w:sz w:val="18"/>
                <w:szCs w:val="18"/>
                <w:color w:val="auto"/>
                <w:w w:val="99"/>
              </w:rPr>
              <w:t>$</w:t>
            </w:r>
          </w:p>
        </w:tc>
        <w:tc>
          <w:tcPr>
            <w:tcW w:w="66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w w:val="94"/>
              </w:rPr>
              <w:t>57,021</w:t>
            </w:r>
          </w:p>
        </w:tc>
        <w:tc>
          <w:tcPr>
            <w:tcW w:w="100" w:type="dxa"/>
            <w:vAlign w:val="bottom"/>
            <w:tcBorders>
              <w:bottom w:val="single" w:sz="8" w:color="CCEEFF"/>
            </w:tcBorders>
          </w:tcPr>
          <w:p>
            <w:pPr>
              <w:spacing w:after="0"/>
              <w:rPr>
                <w:sz w:val="24"/>
                <w:szCs w:val="24"/>
                <w:color w:val="auto"/>
              </w:rPr>
            </w:pPr>
          </w:p>
        </w:tc>
        <w:tc>
          <w:tcPr>
            <w:tcW w:w="540" w:type="dxa"/>
            <w:vAlign w:val="bottom"/>
            <w:tcBorders>
              <w:top w:val="single" w:sz="8" w:color="auto"/>
              <w:bottom w:val="single" w:sz="8" w:color="auto"/>
            </w:tcBorders>
          </w:tcPr>
          <w:p>
            <w:pPr>
              <w:jc w:val="right"/>
              <w:ind w:right="33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67,766</w:t>
            </w:r>
          </w:p>
        </w:tc>
      </w:tr>
      <w:tr>
        <w:trPr>
          <w:trHeight w:val="237"/>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Liabilities:</w:t>
            </w:r>
          </w:p>
        </w:tc>
        <w:tc>
          <w:tcPr>
            <w:tcW w:w="1060" w:type="dxa"/>
            <w:vAlign w:val="bottom"/>
            <w:tcBorders>
              <w:bottom w:val="single" w:sz="8" w:color="CCEEFF"/>
            </w:tcBorders>
            <w:shd w:val="clear" w:color="auto" w:fill="CCEEFF"/>
          </w:tcPr>
          <w:p>
            <w:pPr>
              <w:spacing w:after="0"/>
              <w:rPr>
                <w:sz w:val="20"/>
                <w:szCs w:val="20"/>
                <w:color w:val="auto"/>
              </w:rPr>
            </w:pPr>
          </w:p>
        </w:tc>
        <w:tc>
          <w:tcPr>
            <w:tcW w:w="6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54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spacing w:after="0"/>
              <w:rPr>
                <w:sz w:val="20"/>
                <w:szCs w:val="20"/>
                <w:color w:val="auto"/>
              </w:rPr>
            </w:pP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Repurchase agreements</w:t>
            </w:r>
          </w:p>
        </w:tc>
        <w:tc>
          <w:tcPr>
            <w:tcW w:w="1060" w:type="dxa"/>
            <w:vAlign w:val="bottom"/>
          </w:tcPr>
          <w:p>
            <w:pPr>
              <w:jc w:val="right"/>
              <w:ind w:right="854"/>
              <w:spacing w:after="0"/>
              <w:rPr>
                <w:sz w:val="20"/>
                <w:szCs w:val="20"/>
                <w:color w:val="auto"/>
              </w:rPr>
            </w:pPr>
            <w:r>
              <w:rPr>
                <w:rFonts w:ascii="Arial" w:cs="Arial" w:eastAsia="Arial" w:hAnsi="Arial"/>
                <w:sz w:val="18"/>
                <w:szCs w:val="18"/>
                <w:color w:val="auto"/>
                <w:w w:val="99"/>
              </w:rPr>
              <w:t>$</w:t>
            </w:r>
          </w:p>
        </w:tc>
        <w:tc>
          <w:tcPr>
            <w:tcW w:w="660" w:type="dxa"/>
            <w:vAlign w:val="bottom"/>
          </w:tcPr>
          <w:p>
            <w:pPr>
              <w:jc w:val="right"/>
              <w:ind w:right="31"/>
              <w:spacing w:after="0"/>
              <w:rPr>
                <w:sz w:val="20"/>
                <w:szCs w:val="20"/>
                <w:color w:val="auto"/>
              </w:rPr>
            </w:pPr>
            <w:r>
              <w:rPr>
                <w:rFonts w:ascii="Arial" w:cs="Arial" w:eastAsia="Arial" w:hAnsi="Arial"/>
                <w:sz w:val="18"/>
                <w:szCs w:val="18"/>
                <w:color w:val="auto"/>
                <w:w w:val="94"/>
              </w:rPr>
              <w:t>41,754</w:t>
            </w:r>
          </w:p>
        </w:tc>
        <w:tc>
          <w:tcPr>
            <w:tcW w:w="100" w:type="dxa"/>
            <w:vAlign w:val="bottom"/>
          </w:tcPr>
          <w:p>
            <w:pPr>
              <w:spacing w:after="0"/>
              <w:rPr>
                <w:sz w:val="21"/>
                <w:szCs w:val="21"/>
                <w:color w:val="auto"/>
              </w:rPr>
            </w:pPr>
          </w:p>
        </w:tc>
        <w:tc>
          <w:tcPr>
            <w:tcW w:w="540" w:type="dxa"/>
            <w:vAlign w:val="bottom"/>
          </w:tcPr>
          <w:p>
            <w:pPr>
              <w:jc w:val="right"/>
              <w:ind w:right="33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50,296</w:t>
            </w:r>
          </w:p>
        </w:tc>
      </w:tr>
      <w:tr>
        <w:trPr>
          <w:trHeight w:val="27"/>
        </w:trPr>
        <w:tc>
          <w:tcPr>
            <w:tcW w:w="79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Federal Home Loan Bank advances</w:t>
            </w:r>
          </w:p>
        </w:tc>
        <w:tc>
          <w:tcPr>
            <w:tcW w:w="10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3,753</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Debt of consolidated variable interest entities, at fair value</w:t>
            </w:r>
          </w:p>
        </w:tc>
        <w:tc>
          <w:tcPr>
            <w:tcW w:w="1060" w:type="dxa"/>
            <w:vAlign w:val="bottom"/>
          </w:tcPr>
          <w:p>
            <w:pPr>
              <w:spacing w:after="0"/>
              <w:rPr>
                <w:sz w:val="21"/>
                <w:szCs w:val="21"/>
                <w:color w:val="auto"/>
              </w:rPr>
            </w:pPr>
          </w:p>
        </w:tc>
        <w:tc>
          <w:tcPr>
            <w:tcW w:w="660" w:type="dxa"/>
            <w:vAlign w:val="bottom"/>
          </w:tcPr>
          <w:p>
            <w:pPr>
              <w:jc w:val="right"/>
              <w:ind w:right="31"/>
              <w:spacing w:after="0"/>
              <w:rPr>
                <w:sz w:val="20"/>
                <w:szCs w:val="20"/>
                <w:color w:val="auto"/>
              </w:rPr>
            </w:pPr>
            <w:r>
              <w:rPr>
                <w:rFonts w:ascii="Arial" w:cs="Arial" w:eastAsia="Arial" w:hAnsi="Arial"/>
                <w:sz w:val="18"/>
                <w:szCs w:val="18"/>
                <w:color w:val="auto"/>
              </w:rPr>
              <w:t>595</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761</w:t>
            </w:r>
          </w:p>
        </w:tc>
      </w:tr>
      <w:tr>
        <w:trPr>
          <w:trHeight w:val="27"/>
        </w:trPr>
        <w:tc>
          <w:tcPr>
            <w:tcW w:w="79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Payable for securities purchased</w:t>
            </w:r>
          </w:p>
        </w:tc>
        <w:tc>
          <w:tcPr>
            <w:tcW w:w="10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182</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843</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Derivative liabilities, at fair value</w:t>
            </w:r>
          </w:p>
        </w:tc>
        <w:tc>
          <w:tcPr>
            <w:tcW w:w="1060" w:type="dxa"/>
            <w:vAlign w:val="bottom"/>
          </w:tcPr>
          <w:p>
            <w:pPr>
              <w:spacing w:after="0"/>
              <w:rPr>
                <w:sz w:val="21"/>
                <w:szCs w:val="21"/>
                <w:color w:val="auto"/>
              </w:rPr>
            </w:pPr>
          </w:p>
        </w:tc>
        <w:tc>
          <w:tcPr>
            <w:tcW w:w="660" w:type="dxa"/>
            <w:vAlign w:val="bottom"/>
          </w:tcPr>
          <w:p>
            <w:pPr>
              <w:jc w:val="right"/>
              <w:ind w:right="31"/>
              <w:spacing w:after="0"/>
              <w:rPr>
                <w:sz w:val="20"/>
                <w:szCs w:val="20"/>
                <w:color w:val="auto"/>
              </w:rPr>
            </w:pPr>
            <w:r>
              <w:rPr>
                <w:rFonts w:ascii="Arial" w:cs="Arial" w:eastAsia="Arial" w:hAnsi="Arial"/>
                <w:sz w:val="18"/>
                <w:szCs w:val="18"/>
                <w:color w:val="auto"/>
              </w:rPr>
              <w:t>935</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890</w:t>
            </w:r>
          </w:p>
        </w:tc>
      </w:tr>
      <w:tr>
        <w:trPr>
          <w:trHeight w:val="27"/>
        </w:trPr>
        <w:tc>
          <w:tcPr>
            <w:tcW w:w="79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Dividends payable</w:t>
            </w:r>
          </w:p>
        </w:tc>
        <w:tc>
          <w:tcPr>
            <w:tcW w:w="10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74</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85</w:t>
            </w:r>
          </w:p>
        </w:tc>
      </w:tr>
      <w:tr>
        <w:trPr>
          <w:trHeight w:val="229"/>
        </w:trPr>
        <w:tc>
          <w:tcPr>
            <w:tcW w:w="7900" w:type="dxa"/>
            <w:vAlign w:val="bottom"/>
          </w:tcPr>
          <w:p>
            <w:pPr>
              <w:ind w:left="380"/>
              <w:spacing w:after="0"/>
              <w:rPr>
                <w:sz w:val="20"/>
                <w:szCs w:val="20"/>
                <w:color w:val="auto"/>
              </w:rPr>
            </w:pPr>
            <w:r>
              <w:rPr>
                <w:rFonts w:ascii="Arial" w:cs="Arial" w:eastAsia="Arial" w:hAnsi="Arial"/>
                <w:sz w:val="18"/>
                <w:szCs w:val="18"/>
                <w:color w:val="auto"/>
              </w:rPr>
              <w:t>Obligation to return securities borrowed under reverse repurchase agreements, at</w:t>
            </w:r>
          </w:p>
        </w:tc>
        <w:tc>
          <w:tcPr>
            <w:tcW w:w="10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160" w:type="dxa"/>
            <w:vAlign w:val="bottom"/>
          </w:tcPr>
          <w:p>
            <w:pPr>
              <w:spacing w:after="0"/>
              <w:rPr>
                <w:sz w:val="19"/>
                <w:szCs w:val="19"/>
                <w:color w:val="auto"/>
              </w:rPr>
            </w:pPr>
          </w:p>
        </w:tc>
      </w:tr>
      <w:tr>
        <w:trPr>
          <w:trHeight w:val="230"/>
        </w:trPr>
        <w:tc>
          <w:tcPr>
            <w:tcW w:w="7900" w:type="dxa"/>
            <w:vAlign w:val="bottom"/>
          </w:tcPr>
          <w:p>
            <w:pPr>
              <w:ind w:left="380"/>
              <w:spacing w:after="0"/>
              <w:rPr>
                <w:sz w:val="20"/>
                <w:szCs w:val="20"/>
                <w:color w:val="auto"/>
              </w:rPr>
            </w:pPr>
            <w:r>
              <w:rPr>
                <w:rFonts w:ascii="Arial" w:cs="Arial" w:eastAsia="Arial" w:hAnsi="Arial"/>
                <w:sz w:val="18"/>
                <w:szCs w:val="18"/>
                <w:color w:val="auto"/>
              </w:rPr>
              <w:t>fair value</w:t>
            </w:r>
          </w:p>
        </w:tc>
        <w:tc>
          <w:tcPr>
            <w:tcW w:w="1060" w:type="dxa"/>
            <w:vAlign w:val="bottom"/>
          </w:tcPr>
          <w:p>
            <w:pPr>
              <w:spacing w:after="0"/>
              <w:rPr>
                <w:sz w:val="20"/>
                <w:szCs w:val="20"/>
                <w:color w:val="auto"/>
              </w:rPr>
            </w:pPr>
          </w:p>
        </w:tc>
        <w:tc>
          <w:tcPr>
            <w:tcW w:w="660" w:type="dxa"/>
            <w:vAlign w:val="bottom"/>
          </w:tcPr>
          <w:p>
            <w:pPr>
              <w:jc w:val="right"/>
              <w:ind w:right="31"/>
              <w:spacing w:after="0"/>
              <w:rPr>
                <w:sz w:val="20"/>
                <w:szCs w:val="20"/>
                <w:color w:val="auto"/>
              </w:rPr>
            </w:pPr>
            <w:r>
              <w:rPr>
                <w:rFonts w:ascii="Arial" w:cs="Arial" w:eastAsia="Arial" w:hAnsi="Arial"/>
                <w:sz w:val="18"/>
                <w:szCs w:val="18"/>
                <w:color w:val="auto"/>
              </w:rPr>
              <w:t>1,696</w:t>
            </w:r>
          </w:p>
        </w:tc>
        <w:tc>
          <w:tcPr>
            <w:tcW w:w="1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5,363</w:t>
            </w:r>
          </w:p>
        </w:tc>
      </w:tr>
      <w:tr>
        <w:trPr>
          <w:trHeight w:val="27"/>
        </w:trPr>
        <w:tc>
          <w:tcPr>
            <w:tcW w:w="79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7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Accounts payable and other accrued liabilities</w:t>
            </w:r>
          </w:p>
        </w:tc>
        <w:tc>
          <w:tcPr>
            <w:tcW w:w="106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61</w:t>
            </w:r>
          </w:p>
        </w:tc>
        <w:tc>
          <w:tcPr>
            <w:tcW w:w="100" w:type="dxa"/>
            <w:vAlign w:val="bottom"/>
            <w:tcBorders>
              <w:bottom w:val="single" w:sz="8" w:color="CCEEFF"/>
            </w:tcBorders>
            <w:shd w:val="clear" w:color="auto" w:fill="CCEEFF"/>
          </w:tcPr>
          <w:p>
            <w:pPr>
              <w:spacing w:after="0"/>
              <w:rPr>
                <w:sz w:val="23"/>
                <w:szCs w:val="23"/>
                <w:color w:val="auto"/>
              </w:rPr>
            </w:pPr>
          </w:p>
        </w:tc>
        <w:tc>
          <w:tcPr>
            <w:tcW w:w="5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100</w:t>
            </w:r>
          </w:p>
        </w:tc>
      </w:tr>
      <w:tr>
        <w:trPr>
          <w:trHeight w:val="237"/>
        </w:trPr>
        <w:tc>
          <w:tcPr>
            <w:tcW w:w="7900" w:type="dxa"/>
            <w:vAlign w:val="bottom"/>
          </w:tcPr>
          <w:p>
            <w:pPr>
              <w:ind w:left="720"/>
              <w:spacing w:after="0"/>
              <w:rPr>
                <w:sz w:val="20"/>
                <w:szCs w:val="20"/>
                <w:color w:val="auto"/>
              </w:rPr>
            </w:pPr>
            <w:r>
              <w:rPr>
                <w:rFonts w:ascii="Arial" w:cs="Arial" w:eastAsia="Arial" w:hAnsi="Arial"/>
                <w:sz w:val="18"/>
                <w:szCs w:val="18"/>
                <w:color w:val="auto"/>
              </w:rPr>
              <w:t>Total liabilities</w:t>
            </w:r>
          </w:p>
        </w:tc>
        <w:tc>
          <w:tcPr>
            <w:tcW w:w="1060" w:type="dxa"/>
            <w:vAlign w:val="bottom"/>
            <w:tcBorders>
              <w:top w:val="single" w:sz="8" w:color="auto"/>
            </w:tcBorders>
          </w:tcPr>
          <w:p>
            <w:pPr>
              <w:spacing w:after="0"/>
              <w:rPr>
                <w:sz w:val="20"/>
                <w:szCs w:val="20"/>
                <w:color w:val="auto"/>
              </w:rPr>
            </w:pPr>
          </w:p>
        </w:tc>
        <w:tc>
          <w:tcPr>
            <w:tcW w:w="6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w w:val="94"/>
              </w:rPr>
              <w:t>49,050</w:t>
            </w:r>
          </w:p>
        </w:tc>
        <w:tc>
          <w:tcPr>
            <w:tcW w:w="100" w:type="dxa"/>
            <w:vAlign w:val="bottom"/>
          </w:tcPr>
          <w:p>
            <w:pPr>
              <w:spacing w:after="0"/>
              <w:rPr>
                <w:sz w:val="20"/>
                <w:szCs w:val="20"/>
                <w:color w:val="auto"/>
              </w:rPr>
            </w:pPr>
          </w:p>
        </w:tc>
        <w:tc>
          <w:tcPr>
            <w:tcW w:w="54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58,338</w:t>
            </w:r>
          </w:p>
        </w:tc>
      </w:tr>
      <w:tr>
        <w:trPr>
          <w:trHeight w:val="27"/>
        </w:trPr>
        <w:tc>
          <w:tcPr>
            <w:tcW w:w="790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44"/>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Stockholders' equity:</w:t>
            </w:r>
          </w:p>
        </w:tc>
        <w:tc>
          <w:tcPr>
            <w:tcW w:w="10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Preferred stock - $0.01 par value; 10.0 shares authorized:</w:t>
            </w:r>
          </w:p>
        </w:tc>
        <w:tc>
          <w:tcPr>
            <w:tcW w:w="106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160" w:type="dxa"/>
            <w:vAlign w:val="bottom"/>
          </w:tcPr>
          <w:p>
            <w:pPr>
              <w:spacing w:after="0"/>
              <w:rPr>
                <w:sz w:val="21"/>
                <w:szCs w:val="21"/>
                <w:color w:val="auto"/>
              </w:rPr>
            </w:pPr>
          </w:p>
        </w:tc>
      </w:tr>
      <w:tr>
        <w:trPr>
          <w:trHeight w:val="27"/>
        </w:trPr>
        <w:tc>
          <w:tcPr>
            <w:tcW w:w="79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29"/>
        </w:trPr>
        <w:tc>
          <w:tcPr>
            <w:tcW w:w="7900" w:type="dxa"/>
            <w:vAlign w:val="bottom"/>
            <w:shd w:val="clear" w:color="auto" w:fill="CCEEFF"/>
          </w:tcPr>
          <w:p>
            <w:pPr>
              <w:ind w:left="620"/>
              <w:spacing w:after="0"/>
              <w:rPr>
                <w:sz w:val="20"/>
                <w:szCs w:val="20"/>
                <w:color w:val="auto"/>
              </w:rPr>
            </w:pPr>
            <w:r>
              <w:rPr>
                <w:rFonts w:ascii="Arial" w:cs="Arial" w:eastAsia="Arial" w:hAnsi="Arial"/>
                <w:sz w:val="18"/>
                <w:szCs w:val="18"/>
                <w:color w:val="auto"/>
                <w:w w:val="97"/>
              </w:rPr>
              <w:t>Redeemable Preferred Stock; $0.01 par value; 6.9 shares issued and outstanding (aggregate</w:t>
            </w:r>
          </w:p>
        </w:tc>
        <w:tc>
          <w:tcPr>
            <w:tcW w:w="106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r>
      <w:tr>
        <w:trPr>
          <w:trHeight w:val="237"/>
        </w:trPr>
        <w:tc>
          <w:tcPr>
            <w:tcW w:w="7900" w:type="dxa"/>
            <w:vAlign w:val="bottom"/>
            <w:tcBorders>
              <w:bottom w:val="single" w:sz="8" w:color="CCEEFF"/>
            </w:tcBorders>
            <w:shd w:val="clear" w:color="auto" w:fill="CCEEFF"/>
          </w:tcPr>
          <w:p>
            <w:pPr>
              <w:ind w:left="620"/>
              <w:spacing w:after="0"/>
              <w:rPr>
                <w:sz w:val="20"/>
                <w:szCs w:val="20"/>
                <w:color w:val="auto"/>
              </w:rPr>
            </w:pPr>
            <w:r>
              <w:rPr>
                <w:rFonts w:ascii="Arial" w:cs="Arial" w:eastAsia="Arial" w:hAnsi="Arial"/>
                <w:sz w:val="18"/>
                <w:szCs w:val="18"/>
                <w:color w:val="auto"/>
              </w:rPr>
              <w:t>liquidation preference of $348)</w:t>
            </w:r>
          </w:p>
        </w:tc>
        <w:tc>
          <w:tcPr>
            <w:tcW w:w="1060" w:type="dxa"/>
            <w:vAlign w:val="bottom"/>
            <w:tcBorders>
              <w:bottom w:val="single" w:sz="8" w:color="CCEEFF"/>
            </w:tcBorders>
            <w:shd w:val="clear" w:color="auto" w:fill="CCEEFF"/>
          </w:tcPr>
          <w:p>
            <w:pPr>
              <w:spacing w:after="0"/>
              <w:rPr>
                <w:sz w:val="20"/>
                <w:szCs w:val="20"/>
                <w:color w:val="auto"/>
              </w:rPr>
            </w:pPr>
          </w:p>
        </w:tc>
        <w:tc>
          <w:tcPr>
            <w:tcW w:w="6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336</w:t>
            </w:r>
          </w:p>
        </w:tc>
        <w:tc>
          <w:tcPr>
            <w:tcW w:w="100" w:type="dxa"/>
            <w:vAlign w:val="bottom"/>
            <w:tcBorders>
              <w:bottom w:val="single" w:sz="8" w:color="CCEEFF"/>
            </w:tcBorders>
            <w:shd w:val="clear" w:color="auto" w:fill="CCEEFF"/>
          </w:tcPr>
          <w:p>
            <w:pPr>
              <w:spacing w:after="0"/>
              <w:rPr>
                <w:sz w:val="20"/>
                <w:szCs w:val="20"/>
                <w:color w:val="auto"/>
              </w:rPr>
            </w:pPr>
          </w:p>
        </w:tc>
        <w:tc>
          <w:tcPr>
            <w:tcW w:w="54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336</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Common stock - $0.01 par value; 600.0 shares authorized;</w:t>
            </w:r>
          </w:p>
        </w:tc>
        <w:tc>
          <w:tcPr>
            <w:tcW w:w="106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160" w:type="dxa"/>
            <w:vAlign w:val="bottom"/>
          </w:tcPr>
          <w:p>
            <w:pPr>
              <w:spacing w:after="0"/>
              <w:rPr>
                <w:sz w:val="21"/>
                <w:szCs w:val="21"/>
                <w:color w:val="auto"/>
              </w:rPr>
            </w:pPr>
          </w:p>
        </w:tc>
      </w:tr>
      <w:tr>
        <w:trPr>
          <w:trHeight w:val="27"/>
        </w:trPr>
        <w:tc>
          <w:tcPr>
            <w:tcW w:w="79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620"/>
              <w:spacing w:after="0"/>
              <w:rPr>
                <w:sz w:val="20"/>
                <w:szCs w:val="20"/>
                <w:color w:val="auto"/>
              </w:rPr>
            </w:pPr>
            <w:r>
              <w:rPr>
                <w:rFonts w:ascii="Arial" w:cs="Arial" w:eastAsia="Arial" w:hAnsi="Arial"/>
                <w:sz w:val="18"/>
                <w:szCs w:val="18"/>
                <w:color w:val="auto"/>
              </w:rPr>
              <w:t>337.5 and 352.8 shares issued and outstanding, respectively</w:t>
            </w:r>
          </w:p>
        </w:tc>
        <w:tc>
          <w:tcPr>
            <w:tcW w:w="10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Additional paid-in capital</w:t>
            </w:r>
          </w:p>
        </w:tc>
        <w:tc>
          <w:tcPr>
            <w:tcW w:w="1060" w:type="dxa"/>
            <w:vAlign w:val="bottom"/>
          </w:tcPr>
          <w:p>
            <w:pPr>
              <w:spacing w:after="0"/>
              <w:rPr>
                <w:sz w:val="21"/>
                <w:szCs w:val="21"/>
                <w:color w:val="auto"/>
              </w:rPr>
            </w:pPr>
          </w:p>
        </w:tc>
        <w:tc>
          <w:tcPr>
            <w:tcW w:w="660" w:type="dxa"/>
            <w:vAlign w:val="bottom"/>
          </w:tcPr>
          <w:p>
            <w:pPr>
              <w:jc w:val="right"/>
              <w:ind w:right="31"/>
              <w:spacing w:after="0"/>
              <w:rPr>
                <w:sz w:val="20"/>
                <w:szCs w:val="20"/>
                <w:color w:val="auto"/>
              </w:rPr>
            </w:pPr>
            <w:r>
              <w:rPr>
                <w:rFonts w:ascii="Arial" w:cs="Arial" w:eastAsia="Arial" w:hAnsi="Arial"/>
                <w:sz w:val="18"/>
                <w:szCs w:val="18"/>
                <w:color w:val="auto"/>
                <w:w w:val="94"/>
              </w:rPr>
              <w:t>10,048</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10,332</w:t>
            </w:r>
          </w:p>
        </w:tc>
      </w:tr>
      <w:tr>
        <w:trPr>
          <w:trHeight w:val="27"/>
        </w:trPr>
        <w:tc>
          <w:tcPr>
            <w:tcW w:w="79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Retained deficit</w:t>
            </w:r>
          </w:p>
        </w:tc>
        <w:tc>
          <w:tcPr>
            <w:tcW w:w="10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(2,350)</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(1,674)</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Accumulated other comprehensive (loss) income</w:t>
            </w:r>
          </w:p>
        </w:tc>
        <w:tc>
          <w:tcPr>
            <w:tcW w:w="106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(66)</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430</w:t>
            </w:r>
          </w:p>
        </w:tc>
      </w:tr>
      <w:tr>
        <w:trPr>
          <w:trHeight w:val="27"/>
        </w:trPr>
        <w:tc>
          <w:tcPr>
            <w:tcW w:w="790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64"/>
        </w:trPr>
        <w:tc>
          <w:tcPr>
            <w:tcW w:w="790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Total stockholders' equity</w:t>
            </w:r>
          </w:p>
        </w:tc>
        <w:tc>
          <w:tcPr>
            <w:tcW w:w="1060" w:type="dxa"/>
            <w:vAlign w:val="bottom"/>
            <w:tcBorders>
              <w:bottom w:val="single" w:sz="8" w:color="CCEEFF"/>
            </w:tcBorders>
            <w:shd w:val="clear" w:color="auto" w:fill="CCEEFF"/>
          </w:tcPr>
          <w:p>
            <w:pPr>
              <w:spacing w:after="0"/>
              <w:rPr>
                <w:sz w:val="22"/>
                <w:szCs w:val="22"/>
                <w:color w:val="auto"/>
              </w:rPr>
            </w:pPr>
          </w:p>
        </w:tc>
        <w:tc>
          <w:tcPr>
            <w:tcW w:w="6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7,971</w:t>
            </w:r>
          </w:p>
        </w:tc>
        <w:tc>
          <w:tcPr>
            <w:tcW w:w="100" w:type="dxa"/>
            <w:vAlign w:val="bottom"/>
            <w:tcBorders>
              <w:bottom w:val="single" w:sz="8" w:color="CCEEFF"/>
            </w:tcBorders>
            <w:shd w:val="clear" w:color="auto" w:fill="CCEEFF"/>
          </w:tcPr>
          <w:p>
            <w:pPr>
              <w:spacing w:after="0"/>
              <w:rPr>
                <w:sz w:val="22"/>
                <w:szCs w:val="22"/>
                <w:color w:val="auto"/>
              </w:rPr>
            </w:pPr>
          </w:p>
        </w:tc>
        <w:tc>
          <w:tcPr>
            <w:tcW w:w="54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9,428</w:t>
            </w:r>
          </w:p>
        </w:tc>
      </w:tr>
      <w:tr>
        <w:trPr>
          <w:trHeight w:val="257"/>
        </w:trPr>
        <w:tc>
          <w:tcPr>
            <w:tcW w:w="7900" w:type="dxa"/>
            <w:vAlign w:val="bottom"/>
          </w:tcPr>
          <w:p>
            <w:pPr>
              <w:ind w:left="720"/>
              <w:spacing w:after="0"/>
              <w:rPr>
                <w:sz w:val="20"/>
                <w:szCs w:val="20"/>
                <w:color w:val="auto"/>
              </w:rPr>
            </w:pPr>
            <w:r>
              <w:rPr>
                <w:rFonts w:ascii="Arial" w:cs="Arial" w:eastAsia="Arial" w:hAnsi="Arial"/>
                <w:sz w:val="18"/>
                <w:szCs w:val="18"/>
                <w:color w:val="auto"/>
              </w:rPr>
              <w:t>Total liabilities and stockholders' equity</w:t>
            </w:r>
          </w:p>
        </w:tc>
        <w:tc>
          <w:tcPr>
            <w:tcW w:w="1060" w:type="dxa"/>
            <w:vAlign w:val="bottom"/>
            <w:tcBorders>
              <w:top w:val="single" w:sz="8" w:color="auto"/>
              <w:bottom w:val="single" w:sz="8" w:color="auto"/>
            </w:tcBorders>
          </w:tcPr>
          <w:p>
            <w:pPr>
              <w:jc w:val="right"/>
              <w:ind w:right="854"/>
              <w:spacing w:after="0"/>
              <w:rPr>
                <w:sz w:val="20"/>
                <w:szCs w:val="20"/>
                <w:color w:val="auto"/>
              </w:rPr>
            </w:pPr>
            <w:r>
              <w:rPr>
                <w:rFonts w:ascii="Arial" w:cs="Arial" w:eastAsia="Arial" w:hAnsi="Arial"/>
                <w:sz w:val="18"/>
                <w:szCs w:val="18"/>
                <w:color w:val="auto"/>
                <w:w w:val="99"/>
              </w:rPr>
              <w:t>$</w:t>
            </w:r>
          </w:p>
        </w:tc>
        <w:tc>
          <w:tcPr>
            <w:tcW w:w="66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w w:val="94"/>
              </w:rPr>
              <w:t>57,021</w:t>
            </w:r>
          </w:p>
        </w:tc>
        <w:tc>
          <w:tcPr>
            <w:tcW w:w="100" w:type="dxa"/>
            <w:vAlign w:val="bottom"/>
          </w:tcPr>
          <w:p>
            <w:pPr>
              <w:spacing w:after="0"/>
              <w:rPr>
                <w:sz w:val="22"/>
                <w:szCs w:val="22"/>
                <w:color w:val="auto"/>
              </w:rPr>
            </w:pPr>
          </w:p>
        </w:tc>
        <w:tc>
          <w:tcPr>
            <w:tcW w:w="540" w:type="dxa"/>
            <w:vAlign w:val="bottom"/>
            <w:tcBorders>
              <w:top w:val="single" w:sz="8" w:color="auto"/>
              <w:bottom w:val="single" w:sz="8" w:color="auto"/>
            </w:tcBorders>
          </w:tcPr>
          <w:p>
            <w:pPr>
              <w:jc w:val="right"/>
              <w:ind w:right="33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67,766</w:t>
            </w:r>
          </w:p>
        </w:tc>
      </w:tr>
      <w:tr>
        <w:trPr>
          <w:trHeight w:val="20"/>
        </w:trPr>
        <w:tc>
          <w:tcPr>
            <w:tcW w:w="790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75</w:t>
      </w:r>
    </w:p>
    <w:p>
      <w:pPr>
        <w:sectPr>
          <w:pgSz w:w="11900" w:h="16838" w:orient="portrait"/>
          <w:cols w:equalWidth="0" w:num="1">
            <w:col w:w="11420"/>
          </w:cols>
          <w:pgMar w:left="240" w:top="580" w:right="239" w:bottom="1440" w:gutter="0" w:footer="0" w:header="0"/>
        </w:sectPr>
      </w:pPr>
    </w:p>
    <w:bookmarkStart w:id="76" w:name="page77"/>
    <w:bookmarkEnd w:id="76"/>
    <w:p>
      <w:pPr>
        <w:jc w:val="center"/>
        <w:ind w:right="20"/>
        <w:spacing w:after="0" w:line="266" w:lineRule="auto"/>
        <w:rPr>
          <w:sz w:val="20"/>
          <w:szCs w:val="20"/>
          <w:color w:val="auto"/>
        </w:rPr>
      </w:pPr>
      <w:r>
        <w:rPr>
          <w:rFonts w:ascii="Arial" w:cs="Arial" w:eastAsia="Arial" w:hAnsi="Arial"/>
          <w:sz w:val="18"/>
          <w:szCs w:val="18"/>
          <w:b w:val="1"/>
          <w:bCs w:val="1"/>
          <w:color w:val="auto"/>
        </w:rPr>
        <w:t>AMERICAN CAPITAL AGENCY CORP. CONSOLIDATED STATEMENTS OF COMPREHENSIVE INCOME (in millions, except per share data)</w:t>
      </w:r>
    </w:p>
    <w:p>
      <w:pPr>
        <w:spacing w:after="0" w:line="200" w:lineRule="exact"/>
        <w:rPr>
          <w:sz w:val="20"/>
          <w:szCs w:val="20"/>
          <w:color w:val="auto"/>
        </w:rPr>
      </w:pPr>
    </w:p>
    <w:p>
      <w:pPr>
        <w:spacing w:after="0" w:line="345"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7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960" w:type="dxa"/>
            <w:vAlign w:val="bottom"/>
            <w:gridSpan w:val="7"/>
          </w:tcPr>
          <w:p>
            <w:pPr>
              <w:jc w:val="right"/>
              <w:ind w:right="330"/>
              <w:spacing w:after="0"/>
              <w:rPr>
                <w:sz w:val="20"/>
                <w:szCs w:val="20"/>
                <w:color w:val="auto"/>
              </w:rPr>
            </w:pPr>
            <w:r>
              <w:rPr>
                <w:rFonts w:ascii="Arial" w:cs="Arial" w:eastAsia="Arial" w:hAnsi="Arial"/>
                <w:sz w:val="16"/>
                <w:szCs w:val="16"/>
                <w:b w:val="1"/>
                <w:bCs w:val="1"/>
                <w:color w:val="auto"/>
              </w:rPr>
              <w:t>For the year ended December 31,</w:t>
            </w:r>
          </w:p>
        </w:tc>
      </w:tr>
      <w:tr>
        <w:trPr>
          <w:trHeight w:val="33"/>
        </w:trPr>
        <w:tc>
          <w:tcPr>
            <w:tcW w:w="76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31"/>
        </w:trPr>
        <w:tc>
          <w:tcPr>
            <w:tcW w:w="76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jc w:val="right"/>
              <w:ind w:right="231"/>
              <w:spacing w:after="0"/>
              <w:rPr>
                <w:sz w:val="20"/>
                <w:szCs w:val="20"/>
                <w:color w:val="auto"/>
              </w:rPr>
            </w:pPr>
            <w:r>
              <w:rPr>
                <w:rFonts w:ascii="Arial" w:cs="Arial" w:eastAsia="Arial" w:hAnsi="Arial"/>
                <w:sz w:val="16"/>
                <w:szCs w:val="16"/>
                <w:b w:val="1"/>
                <w:bCs w:val="1"/>
                <w:color w:val="auto"/>
              </w:rPr>
              <w:t>2015</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jc w:val="right"/>
              <w:ind w:right="230"/>
              <w:spacing w:after="0"/>
              <w:rPr>
                <w:sz w:val="20"/>
                <w:szCs w:val="20"/>
                <w:color w:val="auto"/>
              </w:rPr>
            </w:pPr>
            <w:r>
              <w:rPr>
                <w:rFonts w:ascii="Arial" w:cs="Arial" w:eastAsia="Arial" w:hAnsi="Arial"/>
                <w:sz w:val="16"/>
                <w:szCs w:val="16"/>
                <w:b w:val="1"/>
                <w:bCs w:val="1"/>
                <w:color w:val="auto"/>
              </w:rPr>
              <w:t>2014</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jc w:val="right"/>
              <w:ind w:right="250"/>
              <w:spacing w:after="0"/>
              <w:rPr>
                <w:sz w:val="20"/>
                <w:szCs w:val="20"/>
                <w:color w:val="auto"/>
              </w:rPr>
            </w:pPr>
            <w:r>
              <w:rPr>
                <w:rFonts w:ascii="Arial" w:cs="Arial" w:eastAsia="Arial" w:hAnsi="Arial"/>
                <w:sz w:val="16"/>
                <w:szCs w:val="16"/>
                <w:b w:val="1"/>
                <w:bCs w:val="1"/>
                <w:color w:val="auto"/>
              </w:rPr>
              <w:t>2013</w:t>
            </w:r>
          </w:p>
        </w:tc>
      </w:tr>
      <w:tr>
        <w:trPr>
          <w:trHeight w:val="33"/>
        </w:trPr>
        <w:tc>
          <w:tcPr>
            <w:tcW w:w="76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44"/>
        </w:trPr>
        <w:tc>
          <w:tcPr>
            <w:tcW w:w="7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Interest income:</w:t>
            </w:r>
          </w:p>
        </w:tc>
        <w:tc>
          <w:tcPr>
            <w:tcW w:w="2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r>
      <w:tr>
        <w:trPr>
          <w:trHeight w:val="243"/>
        </w:trPr>
        <w:tc>
          <w:tcPr>
            <w:tcW w:w="7660" w:type="dxa"/>
            <w:vAlign w:val="bottom"/>
          </w:tcPr>
          <w:p>
            <w:pPr>
              <w:ind w:left="360"/>
              <w:spacing w:after="0"/>
              <w:rPr>
                <w:sz w:val="20"/>
                <w:szCs w:val="20"/>
                <w:color w:val="auto"/>
              </w:rPr>
            </w:pPr>
            <w:r>
              <w:rPr>
                <w:rFonts w:ascii="Arial" w:cs="Arial" w:eastAsia="Arial" w:hAnsi="Arial"/>
                <w:sz w:val="18"/>
                <w:szCs w:val="18"/>
                <w:color w:val="auto"/>
              </w:rPr>
              <w:t>Interest income</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760" w:type="dxa"/>
            <w:vAlign w:val="bottom"/>
          </w:tcPr>
          <w:p>
            <w:pPr>
              <w:jc w:val="right"/>
              <w:ind w:right="11"/>
              <w:spacing w:after="0"/>
              <w:rPr>
                <w:sz w:val="20"/>
                <w:szCs w:val="20"/>
                <w:color w:val="auto"/>
              </w:rPr>
            </w:pPr>
            <w:r>
              <w:rPr>
                <w:rFonts w:ascii="Arial" w:cs="Arial" w:eastAsia="Arial" w:hAnsi="Arial"/>
                <w:sz w:val="18"/>
                <w:szCs w:val="18"/>
                <w:color w:val="auto"/>
              </w:rPr>
              <w:t>1,466</w:t>
            </w:r>
          </w:p>
        </w:tc>
        <w:tc>
          <w:tcPr>
            <w:tcW w:w="12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1,472</w:t>
            </w:r>
          </w:p>
        </w:tc>
        <w:tc>
          <w:tcPr>
            <w:tcW w:w="120" w:type="dxa"/>
            <w:vAlign w:val="bottom"/>
          </w:tcPr>
          <w:p>
            <w:pPr>
              <w:spacing w:after="0"/>
              <w:rPr>
                <w:sz w:val="21"/>
                <w:szCs w:val="21"/>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tcPr>
          <w:p>
            <w:pPr>
              <w:jc w:val="right"/>
              <w:ind w:right="30"/>
              <w:spacing w:after="0"/>
              <w:rPr>
                <w:sz w:val="20"/>
                <w:szCs w:val="20"/>
                <w:color w:val="auto"/>
              </w:rPr>
            </w:pPr>
            <w:r>
              <w:rPr>
                <w:rFonts w:ascii="Arial" w:cs="Arial" w:eastAsia="Arial" w:hAnsi="Arial"/>
                <w:sz w:val="18"/>
                <w:szCs w:val="18"/>
                <w:color w:val="auto"/>
              </w:rPr>
              <w:t>2,193</w:t>
            </w:r>
          </w:p>
        </w:tc>
      </w:tr>
      <w:tr>
        <w:trPr>
          <w:trHeight w:val="27"/>
        </w:trPr>
        <w:tc>
          <w:tcPr>
            <w:tcW w:w="766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70"/>
        </w:trPr>
        <w:tc>
          <w:tcPr>
            <w:tcW w:w="76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Interest expense</w:t>
            </w:r>
          </w:p>
        </w:tc>
        <w:tc>
          <w:tcPr>
            <w:tcW w:w="22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330</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372</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536</w:t>
            </w:r>
          </w:p>
        </w:tc>
      </w:tr>
      <w:tr>
        <w:trPr>
          <w:trHeight w:val="237"/>
        </w:trPr>
        <w:tc>
          <w:tcPr>
            <w:tcW w:w="7660" w:type="dxa"/>
            <w:vAlign w:val="bottom"/>
          </w:tcPr>
          <w:p>
            <w:pPr>
              <w:ind w:left="700"/>
              <w:spacing w:after="0"/>
              <w:rPr>
                <w:sz w:val="20"/>
                <w:szCs w:val="20"/>
                <w:color w:val="auto"/>
              </w:rPr>
            </w:pPr>
            <w:r>
              <w:rPr>
                <w:rFonts w:ascii="Arial" w:cs="Arial" w:eastAsia="Arial" w:hAnsi="Arial"/>
                <w:sz w:val="18"/>
                <w:szCs w:val="18"/>
                <w:color w:val="auto"/>
              </w:rPr>
              <w:t>Net interest income</w:t>
            </w:r>
          </w:p>
        </w:tc>
        <w:tc>
          <w:tcPr>
            <w:tcW w:w="22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1,136</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1,100</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1,657</w:t>
            </w:r>
          </w:p>
        </w:tc>
      </w:tr>
      <w:tr>
        <w:trPr>
          <w:trHeight w:val="27"/>
        </w:trPr>
        <w:tc>
          <w:tcPr>
            <w:tcW w:w="76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44"/>
        </w:trPr>
        <w:tc>
          <w:tcPr>
            <w:tcW w:w="7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Other gain (loss), net:</w:t>
            </w:r>
          </w:p>
        </w:tc>
        <w:tc>
          <w:tcPr>
            <w:tcW w:w="2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r>
      <w:tr>
        <w:trPr>
          <w:trHeight w:val="243"/>
        </w:trPr>
        <w:tc>
          <w:tcPr>
            <w:tcW w:w="7660" w:type="dxa"/>
            <w:vAlign w:val="bottom"/>
          </w:tcPr>
          <w:p>
            <w:pPr>
              <w:ind w:left="360"/>
              <w:spacing w:after="0"/>
              <w:rPr>
                <w:sz w:val="20"/>
                <w:szCs w:val="20"/>
                <w:color w:val="auto"/>
              </w:rPr>
            </w:pPr>
            <w:r>
              <w:rPr>
                <w:rFonts w:ascii="Arial" w:cs="Arial" w:eastAsia="Arial" w:hAnsi="Arial"/>
                <w:sz w:val="18"/>
                <w:szCs w:val="18"/>
                <w:color w:val="auto"/>
              </w:rPr>
              <w:t>Gain (loss) on sale of agency securities, net</w:t>
            </w:r>
          </w:p>
        </w:tc>
        <w:tc>
          <w:tcPr>
            <w:tcW w:w="22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(23)</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51</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(1,408)</w:t>
            </w:r>
          </w:p>
        </w:tc>
      </w:tr>
      <w:tr>
        <w:trPr>
          <w:trHeight w:val="27"/>
        </w:trPr>
        <w:tc>
          <w:tcPr>
            <w:tcW w:w="766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70"/>
        </w:trPr>
        <w:tc>
          <w:tcPr>
            <w:tcW w:w="76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Gain (loss) on derivative instruments and other securities, net</w:t>
            </w:r>
          </w:p>
        </w:tc>
        <w:tc>
          <w:tcPr>
            <w:tcW w:w="22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(759)</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(1,243)</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1,191</w:t>
            </w:r>
          </w:p>
        </w:tc>
      </w:tr>
      <w:tr>
        <w:trPr>
          <w:trHeight w:val="237"/>
        </w:trPr>
        <w:tc>
          <w:tcPr>
            <w:tcW w:w="7660" w:type="dxa"/>
            <w:vAlign w:val="bottom"/>
          </w:tcPr>
          <w:p>
            <w:pPr>
              <w:ind w:left="700"/>
              <w:spacing w:after="0"/>
              <w:rPr>
                <w:sz w:val="20"/>
                <w:szCs w:val="20"/>
                <w:color w:val="auto"/>
              </w:rPr>
            </w:pPr>
            <w:r>
              <w:rPr>
                <w:rFonts w:ascii="Arial" w:cs="Arial" w:eastAsia="Arial" w:hAnsi="Arial"/>
                <w:sz w:val="18"/>
                <w:szCs w:val="18"/>
                <w:color w:val="auto"/>
              </w:rPr>
              <w:t>Total other loss, net</w:t>
            </w:r>
          </w:p>
        </w:tc>
        <w:tc>
          <w:tcPr>
            <w:tcW w:w="22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(782)</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(1,192)</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(217)</w:t>
            </w:r>
          </w:p>
        </w:tc>
      </w:tr>
      <w:tr>
        <w:trPr>
          <w:trHeight w:val="27"/>
        </w:trPr>
        <w:tc>
          <w:tcPr>
            <w:tcW w:w="76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44"/>
        </w:trPr>
        <w:tc>
          <w:tcPr>
            <w:tcW w:w="7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Expenses:</w:t>
            </w:r>
          </w:p>
        </w:tc>
        <w:tc>
          <w:tcPr>
            <w:tcW w:w="2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r>
      <w:tr>
        <w:trPr>
          <w:trHeight w:val="243"/>
        </w:trPr>
        <w:tc>
          <w:tcPr>
            <w:tcW w:w="7660" w:type="dxa"/>
            <w:vAlign w:val="bottom"/>
          </w:tcPr>
          <w:p>
            <w:pPr>
              <w:ind w:left="360"/>
              <w:spacing w:after="0"/>
              <w:rPr>
                <w:sz w:val="20"/>
                <w:szCs w:val="20"/>
                <w:color w:val="auto"/>
              </w:rPr>
            </w:pPr>
            <w:r>
              <w:rPr>
                <w:rFonts w:ascii="Arial" w:cs="Arial" w:eastAsia="Arial" w:hAnsi="Arial"/>
                <w:sz w:val="18"/>
                <w:szCs w:val="18"/>
                <w:color w:val="auto"/>
              </w:rPr>
              <w:t>Management fees</w:t>
            </w:r>
          </w:p>
        </w:tc>
        <w:tc>
          <w:tcPr>
            <w:tcW w:w="220" w:type="dxa"/>
            <w:vAlign w:val="bottom"/>
          </w:tcPr>
          <w:p>
            <w:pPr>
              <w:spacing w:after="0"/>
              <w:rPr>
                <w:sz w:val="21"/>
                <w:szCs w:val="21"/>
                <w:color w:val="auto"/>
              </w:rPr>
            </w:pPr>
          </w:p>
        </w:tc>
        <w:tc>
          <w:tcPr>
            <w:tcW w:w="760" w:type="dxa"/>
            <w:vAlign w:val="bottom"/>
          </w:tcPr>
          <w:p>
            <w:pPr>
              <w:jc w:val="right"/>
              <w:ind w:right="11"/>
              <w:spacing w:after="0"/>
              <w:rPr>
                <w:sz w:val="20"/>
                <w:szCs w:val="20"/>
                <w:color w:val="auto"/>
              </w:rPr>
            </w:pPr>
            <w:r>
              <w:rPr>
                <w:rFonts w:ascii="Arial" w:cs="Arial" w:eastAsia="Arial" w:hAnsi="Arial"/>
                <w:sz w:val="18"/>
                <w:szCs w:val="18"/>
                <w:color w:val="auto"/>
              </w:rPr>
              <w:t>116</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119</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60" w:type="dxa"/>
            <w:vAlign w:val="bottom"/>
          </w:tcPr>
          <w:p>
            <w:pPr>
              <w:jc w:val="right"/>
              <w:ind w:right="30"/>
              <w:spacing w:after="0"/>
              <w:rPr>
                <w:sz w:val="20"/>
                <w:szCs w:val="20"/>
                <w:color w:val="auto"/>
              </w:rPr>
            </w:pPr>
            <w:r>
              <w:rPr>
                <w:rFonts w:ascii="Arial" w:cs="Arial" w:eastAsia="Arial" w:hAnsi="Arial"/>
                <w:sz w:val="18"/>
                <w:szCs w:val="18"/>
                <w:color w:val="auto"/>
              </w:rPr>
              <w:t>136</w:t>
            </w:r>
          </w:p>
        </w:tc>
      </w:tr>
      <w:tr>
        <w:trPr>
          <w:trHeight w:val="27"/>
        </w:trPr>
        <w:tc>
          <w:tcPr>
            <w:tcW w:w="766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70"/>
        </w:trPr>
        <w:tc>
          <w:tcPr>
            <w:tcW w:w="76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General and administrative expenses</w:t>
            </w:r>
          </w:p>
        </w:tc>
        <w:tc>
          <w:tcPr>
            <w:tcW w:w="22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23</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32</w:t>
            </w:r>
          </w:p>
        </w:tc>
      </w:tr>
      <w:tr>
        <w:trPr>
          <w:trHeight w:val="237"/>
        </w:trPr>
        <w:tc>
          <w:tcPr>
            <w:tcW w:w="7660" w:type="dxa"/>
            <w:vAlign w:val="bottom"/>
          </w:tcPr>
          <w:p>
            <w:pPr>
              <w:ind w:left="700"/>
              <w:spacing w:after="0"/>
              <w:rPr>
                <w:sz w:val="20"/>
                <w:szCs w:val="20"/>
                <w:color w:val="auto"/>
              </w:rPr>
            </w:pPr>
            <w:r>
              <w:rPr>
                <w:rFonts w:ascii="Arial" w:cs="Arial" w:eastAsia="Arial" w:hAnsi="Arial"/>
                <w:sz w:val="18"/>
                <w:szCs w:val="18"/>
                <w:color w:val="auto"/>
              </w:rPr>
              <w:t>Total expenses</w:t>
            </w:r>
          </w:p>
        </w:tc>
        <w:tc>
          <w:tcPr>
            <w:tcW w:w="22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139</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141</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168</w:t>
            </w:r>
          </w:p>
        </w:tc>
      </w:tr>
      <w:tr>
        <w:trPr>
          <w:trHeight w:val="27"/>
        </w:trPr>
        <w:tc>
          <w:tcPr>
            <w:tcW w:w="76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44"/>
        </w:trPr>
        <w:tc>
          <w:tcPr>
            <w:tcW w:w="7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Income (loss) before income tax</w:t>
            </w:r>
          </w:p>
        </w:tc>
        <w:tc>
          <w:tcPr>
            <w:tcW w:w="2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215</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1,272</w:t>
            </w:r>
          </w:p>
        </w:tc>
      </w:tr>
      <w:tr>
        <w:trPr>
          <w:trHeight w:val="243"/>
        </w:trPr>
        <w:tc>
          <w:tcPr>
            <w:tcW w:w="7660" w:type="dxa"/>
            <w:vAlign w:val="bottom"/>
          </w:tcPr>
          <w:p>
            <w:pPr>
              <w:ind w:left="360"/>
              <w:spacing w:after="0"/>
              <w:rPr>
                <w:sz w:val="20"/>
                <w:szCs w:val="20"/>
                <w:color w:val="auto"/>
              </w:rPr>
            </w:pPr>
            <w:r>
              <w:rPr>
                <w:rFonts w:ascii="Arial" w:cs="Arial" w:eastAsia="Arial" w:hAnsi="Arial"/>
                <w:sz w:val="18"/>
                <w:szCs w:val="18"/>
                <w:color w:val="auto"/>
              </w:rPr>
              <w:t>Provision for income tax, net</w:t>
            </w:r>
          </w:p>
        </w:tc>
        <w:tc>
          <w:tcPr>
            <w:tcW w:w="220" w:type="dxa"/>
            <w:vAlign w:val="bottom"/>
          </w:tcPr>
          <w:p>
            <w:pPr>
              <w:spacing w:after="0"/>
              <w:rPr>
                <w:sz w:val="21"/>
                <w:szCs w:val="21"/>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760" w:type="dxa"/>
            <w:vAlign w:val="bottom"/>
          </w:tcPr>
          <w:p>
            <w:pPr>
              <w:jc w:val="right"/>
              <w:ind w:right="30"/>
              <w:spacing w:after="0"/>
              <w:rPr>
                <w:sz w:val="20"/>
                <w:szCs w:val="20"/>
                <w:color w:val="auto"/>
              </w:rPr>
            </w:pPr>
            <w:r>
              <w:rPr>
                <w:rFonts w:ascii="Arial" w:cs="Arial" w:eastAsia="Arial" w:hAnsi="Arial"/>
                <w:sz w:val="18"/>
                <w:szCs w:val="18"/>
                <w:color w:val="auto"/>
              </w:rPr>
              <w:t>13</w:t>
            </w:r>
          </w:p>
        </w:tc>
      </w:tr>
      <w:tr>
        <w:trPr>
          <w:trHeight w:val="27"/>
        </w:trPr>
        <w:tc>
          <w:tcPr>
            <w:tcW w:w="76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44"/>
        </w:trPr>
        <w:tc>
          <w:tcPr>
            <w:tcW w:w="7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income (loss)</w:t>
            </w:r>
          </w:p>
        </w:tc>
        <w:tc>
          <w:tcPr>
            <w:tcW w:w="2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215</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1,259</w:t>
            </w:r>
          </w:p>
        </w:tc>
      </w:tr>
      <w:tr>
        <w:trPr>
          <w:trHeight w:val="243"/>
        </w:trPr>
        <w:tc>
          <w:tcPr>
            <w:tcW w:w="7660" w:type="dxa"/>
            <w:vAlign w:val="bottom"/>
          </w:tcPr>
          <w:p>
            <w:pPr>
              <w:ind w:left="360"/>
              <w:spacing w:after="0"/>
              <w:rPr>
                <w:sz w:val="20"/>
                <w:szCs w:val="20"/>
                <w:color w:val="auto"/>
              </w:rPr>
            </w:pPr>
            <w:r>
              <w:rPr>
                <w:rFonts w:ascii="Arial" w:cs="Arial" w:eastAsia="Arial" w:hAnsi="Arial"/>
                <w:sz w:val="18"/>
                <w:szCs w:val="18"/>
                <w:color w:val="auto"/>
              </w:rPr>
              <w:t>Dividend on preferred stock</w:t>
            </w:r>
          </w:p>
        </w:tc>
        <w:tc>
          <w:tcPr>
            <w:tcW w:w="220" w:type="dxa"/>
            <w:vAlign w:val="bottom"/>
          </w:tcPr>
          <w:p>
            <w:pPr>
              <w:spacing w:after="0"/>
              <w:rPr>
                <w:sz w:val="21"/>
                <w:szCs w:val="21"/>
                <w:color w:val="auto"/>
              </w:rPr>
            </w:pPr>
          </w:p>
        </w:tc>
        <w:tc>
          <w:tcPr>
            <w:tcW w:w="760" w:type="dxa"/>
            <w:vAlign w:val="bottom"/>
          </w:tcPr>
          <w:p>
            <w:pPr>
              <w:jc w:val="right"/>
              <w:ind w:right="11"/>
              <w:spacing w:after="0"/>
              <w:rPr>
                <w:sz w:val="20"/>
                <w:szCs w:val="20"/>
                <w:color w:val="auto"/>
              </w:rPr>
            </w:pPr>
            <w:r>
              <w:rPr>
                <w:rFonts w:ascii="Arial" w:cs="Arial" w:eastAsia="Arial" w:hAnsi="Arial"/>
                <w:sz w:val="18"/>
                <w:szCs w:val="18"/>
                <w:color w:val="auto"/>
              </w:rPr>
              <w:t>28</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23</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60" w:type="dxa"/>
            <w:vAlign w:val="bottom"/>
          </w:tcPr>
          <w:p>
            <w:pPr>
              <w:jc w:val="right"/>
              <w:ind w:right="30"/>
              <w:spacing w:after="0"/>
              <w:rPr>
                <w:sz w:val="20"/>
                <w:szCs w:val="20"/>
                <w:color w:val="auto"/>
              </w:rPr>
            </w:pPr>
            <w:r>
              <w:rPr>
                <w:rFonts w:ascii="Arial" w:cs="Arial" w:eastAsia="Arial" w:hAnsi="Arial"/>
                <w:sz w:val="18"/>
                <w:szCs w:val="18"/>
                <w:color w:val="auto"/>
              </w:rPr>
              <w:t>14</w:t>
            </w:r>
          </w:p>
        </w:tc>
      </w:tr>
      <w:tr>
        <w:trPr>
          <w:trHeight w:val="27"/>
        </w:trPr>
        <w:tc>
          <w:tcPr>
            <w:tcW w:w="76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57"/>
        </w:trPr>
        <w:tc>
          <w:tcPr>
            <w:tcW w:w="7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income (loss) available (attributable) to common stockholders</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187</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(256)</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1,245</w:t>
            </w:r>
          </w:p>
        </w:tc>
      </w:tr>
      <w:tr>
        <w:trPr>
          <w:trHeight w:val="20"/>
        </w:trPr>
        <w:tc>
          <w:tcPr>
            <w:tcW w:w="76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r>
      <w:tr>
        <w:trPr>
          <w:trHeight w:val="311"/>
        </w:trPr>
        <w:tc>
          <w:tcPr>
            <w:tcW w:w="76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60" w:type="dxa"/>
            <w:vAlign w:val="bottom"/>
          </w:tcPr>
          <w:p>
            <w:pPr>
              <w:spacing w:after="0"/>
              <w:rPr>
                <w:sz w:val="24"/>
                <w:szCs w:val="24"/>
                <w:color w:val="auto"/>
              </w:rPr>
            </w:pPr>
          </w:p>
        </w:tc>
      </w:tr>
      <w:tr>
        <w:trPr>
          <w:trHeight w:val="250"/>
        </w:trPr>
        <w:tc>
          <w:tcPr>
            <w:tcW w:w="7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income (loss)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215</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1,259</w:t>
            </w:r>
          </w:p>
        </w:tc>
      </w:tr>
      <w:tr>
        <w:trPr>
          <w:trHeight w:val="243"/>
        </w:trPr>
        <w:tc>
          <w:tcPr>
            <w:tcW w:w="7660" w:type="dxa"/>
            <w:vAlign w:val="bottom"/>
          </w:tcPr>
          <w:p>
            <w:pPr>
              <w:ind w:left="20"/>
              <w:spacing w:after="0"/>
              <w:rPr>
                <w:sz w:val="20"/>
                <w:szCs w:val="20"/>
                <w:color w:val="auto"/>
              </w:rPr>
            </w:pPr>
            <w:r>
              <w:rPr>
                <w:rFonts w:ascii="Arial" w:cs="Arial" w:eastAsia="Arial" w:hAnsi="Arial"/>
                <w:sz w:val="18"/>
                <w:szCs w:val="18"/>
                <w:b w:val="1"/>
                <w:bCs w:val="1"/>
                <w:color w:val="auto"/>
              </w:rPr>
              <w:t>Other comprehensive income (loss):</w:t>
            </w:r>
          </w:p>
        </w:tc>
        <w:tc>
          <w:tcPr>
            <w:tcW w:w="22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60" w:type="dxa"/>
            <w:vAlign w:val="bottom"/>
          </w:tcPr>
          <w:p>
            <w:pPr>
              <w:spacing w:after="0"/>
              <w:rPr>
                <w:sz w:val="21"/>
                <w:szCs w:val="21"/>
                <w:color w:val="auto"/>
              </w:rPr>
            </w:pPr>
          </w:p>
        </w:tc>
      </w:tr>
      <w:tr>
        <w:trPr>
          <w:trHeight w:val="27"/>
        </w:trPr>
        <w:tc>
          <w:tcPr>
            <w:tcW w:w="766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76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Unrealized gain (loss) on available-for-sale securities, net</w:t>
            </w:r>
          </w:p>
        </w:tc>
        <w:tc>
          <w:tcPr>
            <w:tcW w:w="2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(597)</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1,657</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(3,127)</w:t>
            </w:r>
          </w:p>
        </w:tc>
      </w:tr>
      <w:tr>
        <w:trPr>
          <w:trHeight w:val="243"/>
        </w:trPr>
        <w:tc>
          <w:tcPr>
            <w:tcW w:w="7660" w:type="dxa"/>
            <w:vAlign w:val="bottom"/>
          </w:tcPr>
          <w:p>
            <w:pPr>
              <w:ind w:left="360"/>
              <w:spacing w:after="0"/>
              <w:rPr>
                <w:sz w:val="20"/>
                <w:szCs w:val="20"/>
                <w:color w:val="auto"/>
              </w:rPr>
            </w:pPr>
            <w:r>
              <w:rPr>
                <w:rFonts w:ascii="Arial" w:cs="Arial" w:eastAsia="Arial" w:hAnsi="Arial"/>
                <w:sz w:val="18"/>
                <w:szCs w:val="18"/>
                <w:color w:val="auto"/>
              </w:rPr>
              <w:t>Unrealized gain on derivative instruments, net</w:t>
            </w:r>
          </w:p>
        </w:tc>
        <w:tc>
          <w:tcPr>
            <w:tcW w:w="220" w:type="dxa"/>
            <w:vAlign w:val="bottom"/>
          </w:tcPr>
          <w:p>
            <w:pPr>
              <w:spacing w:after="0"/>
              <w:rPr>
                <w:sz w:val="21"/>
                <w:szCs w:val="21"/>
                <w:color w:val="auto"/>
              </w:rPr>
            </w:pPr>
          </w:p>
        </w:tc>
        <w:tc>
          <w:tcPr>
            <w:tcW w:w="760" w:type="dxa"/>
            <w:vAlign w:val="bottom"/>
          </w:tcPr>
          <w:p>
            <w:pPr>
              <w:jc w:val="right"/>
              <w:ind w:right="11"/>
              <w:spacing w:after="0"/>
              <w:rPr>
                <w:sz w:val="20"/>
                <w:szCs w:val="20"/>
                <w:color w:val="auto"/>
              </w:rPr>
            </w:pPr>
            <w:r>
              <w:rPr>
                <w:rFonts w:ascii="Arial" w:cs="Arial" w:eastAsia="Arial" w:hAnsi="Arial"/>
                <w:sz w:val="18"/>
                <w:szCs w:val="18"/>
                <w:color w:val="auto"/>
              </w:rPr>
              <w:t>101</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156</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60" w:type="dxa"/>
            <w:vAlign w:val="bottom"/>
          </w:tcPr>
          <w:p>
            <w:pPr>
              <w:jc w:val="right"/>
              <w:ind w:right="30"/>
              <w:spacing w:after="0"/>
              <w:rPr>
                <w:sz w:val="20"/>
                <w:szCs w:val="20"/>
                <w:color w:val="auto"/>
              </w:rPr>
            </w:pPr>
            <w:r>
              <w:rPr>
                <w:rFonts w:ascii="Arial" w:cs="Arial" w:eastAsia="Arial" w:hAnsi="Arial"/>
                <w:sz w:val="18"/>
                <w:szCs w:val="18"/>
                <w:color w:val="auto"/>
              </w:rPr>
              <w:t>189</w:t>
            </w:r>
          </w:p>
        </w:tc>
      </w:tr>
      <w:tr>
        <w:trPr>
          <w:trHeight w:val="27"/>
        </w:trPr>
        <w:tc>
          <w:tcPr>
            <w:tcW w:w="76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64"/>
        </w:trPr>
        <w:tc>
          <w:tcPr>
            <w:tcW w:w="7660" w:type="dxa"/>
            <w:vAlign w:val="bottom"/>
            <w:tcBorders>
              <w:bottom w:val="single" w:sz="8" w:color="CCEEFF"/>
            </w:tcBorders>
            <w:shd w:val="clear" w:color="auto" w:fill="CCEEFF"/>
          </w:tcPr>
          <w:p>
            <w:pPr>
              <w:ind w:left="700"/>
              <w:spacing w:after="0"/>
              <w:rPr>
                <w:sz w:val="20"/>
                <w:szCs w:val="20"/>
                <w:color w:val="auto"/>
              </w:rPr>
            </w:pPr>
            <w:r>
              <w:rPr>
                <w:rFonts w:ascii="Arial" w:cs="Arial" w:eastAsia="Arial" w:hAnsi="Arial"/>
                <w:sz w:val="18"/>
                <w:szCs w:val="18"/>
                <w:color w:val="auto"/>
              </w:rPr>
              <w:t>Other comprehensive income (loss)</w:t>
            </w:r>
          </w:p>
        </w:tc>
        <w:tc>
          <w:tcPr>
            <w:tcW w:w="220" w:type="dxa"/>
            <w:vAlign w:val="bottom"/>
            <w:tcBorders>
              <w:bottom w:val="single" w:sz="8" w:color="CCEEFF"/>
            </w:tcBorders>
            <w:shd w:val="clear" w:color="auto" w:fill="CCEEFF"/>
          </w:tcPr>
          <w:p>
            <w:pPr>
              <w:spacing w:after="0"/>
              <w:rPr>
                <w:sz w:val="22"/>
                <w:szCs w:val="22"/>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(496)</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7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1,813</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(2,938)</w:t>
            </w:r>
          </w:p>
        </w:tc>
      </w:tr>
      <w:tr>
        <w:trPr>
          <w:trHeight w:val="237"/>
        </w:trPr>
        <w:tc>
          <w:tcPr>
            <w:tcW w:w="7660" w:type="dxa"/>
            <w:vAlign w:val="bottom"/>
          </w:tcPr>
          <w:p>
            <w:pPr>
              <w:ind w:left="20"/>
              <w:spacing w:after="0"/>
              <w:rPr>
                <w:sz w:val="20"/>
                <w:szCs w:val="20"/>
                <w:color w:val="auto"/>
              </w:rPr>
            </w:pPr>
            <w:r>
              <w:rPr>
                <w:rFonts w:ascii="Arial" w:cs="Arial" w:eastAsia="Arial" w:hAnsi="Arial"/>
                <w:sz w:val="18"/>
                <w:szCs w:val="18"/>
                <w:b w:val="1"/>
                <w:bCs w:val="1"/>
                <w:color w:val="auto"/>
              </w:rPr>
              <w:t>Comprehensive income (loss)</w:t>
            </w:r>
          </w:p>
        </w:tc>
        <w:tc>
          <w:tcPr>
            <w:tcW w:w="22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(281)</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1,580</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(1,679)</w:t>
            </w:r>
          </w:p>
        </w:tc>
      </w:tr>
      <w:tr>
        <w:trPr>
          <w:trHeight w:val="27"/>
        </w:trPr>
        <w:tc>
          <w:tcPr>
            <w:tcW w:w="766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70"/>
        </w:trPr>
        <w:tc>
          <w:tcPr>
            <w:tcW w:w="76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Dividend on preferred stock</w:t>
            </w:r>
          </w:p>
        </w:tc>
        <w:tc>
          <w:tcPr>
            <w:tcW w:w="22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w:t>
            </w:r>
          </w:p>
        </w:tc>
      </w:tr>
      <w:tr>
        <w:trPr>
          <w:trHeight w:val="297"/>
        </w:trPr>
        <w:tc>
          <w:tcPr>
            <w:tcW w:w="7660" w:type="dxa"/>
            <w:vAlign w:val="bottom"/>
            <w:tcBorders>
              <w:bottom w:val="single" w:sz="8" w:color="CCEEFF"/>
            </w:tcBorders>
          </w:tcPr>
          <w:p>
            <w:pPr>
              <w:ind w:left="20"/>
              <w:spacing w:after="0"/>
              <w:rPr>
                <w:sz w:val="20"/>
                <w:szCs w:val="20"/>
                <w:color w:val="auto"/>
              </w:rPr>
            </w:pPr>
            <w:r>
              <w:rPr>
                <w:rFonts w:ascii="Arial" w:cs="Arial" w:eastAsia="Arial" w:hAnsi="Arial"/>
                <w:sz w:val="18"/>
                <w:szCs w:val="18"/>
                <w:b w:val="1"/>
                <w:bCs w:val="1"/>
                <w:color w:val="auto"/>
              </w:rPr>
              <w:t>Comprehensive income (loss) available (attributable) to common stockholders</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(309)</w:t>
            </w:r>
          </w:p>
        </w:tc>
        <w:tc>
          <w:tcPr>
            <w:tcW w:w="120" w:type="dxa"/>
            <w:vAlign w:val="bottom"/>
            <w:tcBorders>
              <w:bottom w:val="single" w:sz="8" w:color="CCEEFF"/>
            </w:tcBorders>
          </w:tcPr>
          <w:p>
            <w:pPr>
              <w:spacing w:after="0"/>
              <w:rPr>
                <w:sz w:val="24"/>
                <w:szCs w:val="24"/>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7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1,557</w:t>
            </w:r>
          </w:p>
        </w:tc>
        <w:tc>
          <w:tcPr>
            <w:tcW w:w="120" w:type="dxa"/>
            <w:vAlign w:val="bottom"/>
            <w:tcBorders>
              <w:bottom w:val="single" w:sz="8" w:color="CCEEFF"/>
            </w:tcBorders>
          </w:tcPr>
          <w:p>
            <w:pPr>
              <w:spacing w:after="0"/>
              <w:rPr>
                <w:sz w:val="24"/>
                <w:szCs w:val="24"/>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(1,693)</w:t>
            </w:r>
          </w:p>
        </w:tc>
      </w:tr>
      <w:tr>
        <w:trPr>
          <w:trHeight w:val="311"/>
        </w:trPr>
        <w:tc>
          <w:tcPr>
            <w:tcW w:w="766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r>
      <w:tr>
        <w:trPr>
          <w:trHeight w:val="304"/>
        </w:trPr>
        <w:tc>
          <w:tcPr>
            <w:tcW w:w="7660" w:type="dxa"/>
            <w:vAlign w:val="bottom"/>
            <w:tcBorders>
              <w:bottom w:val="single" w:sz="8" w:color="CCEEFF"/>
            </w:tcBorders>
          </w:tcPr>
          <w:p>
            <w:pPr>
              <w:ind w:left="20"/>
              <w:spacing w:after="0"/>
              <w:rPr>
                <w:sz w:val="20"/>
                <w:szCs w:val="20"/>
                <w:color w:val="auto"/>
              </w:rPr>
            </w:pPr>
            <w:r>
              <w:rPr>
                <w:rFonts w:ascii="Arial" w:cs="Arial" w:eastAsia="Arial" w:hAnsi="Arial"/>
                <w:sz w:val="18"/>
                <w:szCs w:val="18"/>
                <w:b w:val="1"/>
                <w:bCs w:val="1"/>
                <w:color w:val="auto"/>
              </w:rPr>
              <w:t>Weighted average number of common shares outstanding - basic and diluted</w:t>
            </w:r>
          </w:p>
        </w:tc>
        <w:tc>
          <w:tcPr>
            <w:tcW w:w="2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348.6</w:t>
            </w:r>
          </w:p>
        </w:tc>
        <w:tc>
          <w:tcPr>
            <w:tcW w:w="12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353.3</w:t>
            </w:r>
          </w:p>
        </w:tc>
        <w:tc>
          <w:tcPr>
            <w:tcW w:w="12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379.1</w:t>
            </w:r>
          </w:p>
        </w:tc>
      </w:tr>
      <w:tr>
        <w:trPr>
          <w:trHeight w:val="251"/>
        </w:trPr>
        <w:tc>
          <w:tcPr>
            <w:tcW w:w="7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income (loss) per common share - basic and diluted</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0.54</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(0.72)</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3.28</w:t>
            </w:r>
          </w:p>
        </w:tc>
      </w:tr>
      <w:tr>
        <w:trPr>
          <w:trHeight w:val="20"/>
        </w:trPr>
        <w:tc>
          <w:tcPr>
            <w:tcW w:w="76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52"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76</w:t>
      </w:r>
    </w:p>
    <w:p>
      <w:pPr>
        <w:sectPr>
          <w:pgSz w:w="11900" w:h="16838" w:orient="portrait"/>
          <w:cols w:equalWidth="0" w:num="1">
            <w:col w:w="10840"/>
          </w:cols>
          <w:pgMar w:left="540" w:top="580" w:right="519" w:bottom="1440" w:gutter="0" w:footer="0" w:header="0"/>
        </w:sectPr>
      </w:pPr>
    </w:p>
    <w:bookmarkStart w:id="77" w:name="page78"/>
    <w:bookmarkEnd w:id="77"/>
    <w:p>
      <w:pPr>
        <w:jc w:val="center"/>
        <w:ind w:right="-19"/>
        <w:spacing w:after="0"/>
        <w:rPr>
          <w:sz w:val="20"/>
          <w:szCs w:val="20"/>
          <w:color w:val="auto"/>
        </w:rPr>
      </w:pPr>
      <w:r>
        <w:rPr>
          <w:rFonts w:ascii="Arial" w:cs="Arial" w:eastAsia="Arial" w:hAnsi="Arial"/>
          <w:sz w:val="18"/>
          <w:szCs w:val="18"/>
          <w:b w:val="1"/>
          <w:bCs w:val="1"/>
          <w:color w:val="auto"/>
        </w:rPr>
        <w:t>AMERICAN CAPITAL AGENCY CORP.</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CONSOLIDATED STATEMENT OF STOCKHOLDERS' EQUITY</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millions)</w:t>
      </w:r>
    </w:p>
    <w:p>
      <w:pPr>
        <w:spacing w:after="0" w:line="35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660" w:type="dxa"/>
            <w:vAlign w:val="bottom"/>
          </w:tcPr>
          <w:p>
            <w:pPr>
              <w:spacing w:after="0"/>
              <w:rPr>
                <w:sz w:val="14"/>
                <w:szCs w:val="14"/>
                <w:color w:val="auto"/>
              </w:rPr>
            </w:pPr>
          </w:p>
        </w:tc>
        <w:tc>
          <w:tcPr>
            <w:tcW w:w="1340" w:type="dxa"/>
            <w:vAlign w:val="bottom"/>
            <w:gridSpan w:val="4"/>
            <w:vMerge w:val="restart"/>
          </w:tcPr>
          <w:p>
            <w:pPr>
              <w:jc w:val="right"/>
              <w:ind w:right="90"/>
              <w:spacing w:after="0"/>
              <w:rPr>
                <w:sz w:val="20"/>
                <w:szCs w:val="20"/>
                <w:color w:val="auto"/>
              </w:rPr>
            </w:pPr>
            <w:r>
              <w:rPr>
                <w:rFonts w:ascii="Arial" w:cs="Arial" w:eastAsia="Arial" w:hAnsi="Arial"/>
                <w:sz w:val="14"/>
                <w:szCs w:val="14"/>
                <w:b w:val="1"/>
                <w:bCs w:val="1"/>
                <w:color w:val="auto"/>
              </w:rPr>
              <w:t>Preferred Stock</w:t>
            </w:r>
          </w:p>
        </w:tc>
        <w:tc>
          <w:tcPr>
            <w:tcW w:w="100" w:type="dxa"/>
            <w:vAlign w:val="bottom"/>
            <w:vMerge w:val="restart"/>
          </w:tcPr>
          <w:p>
            <w:pPr>
              <w:spacing w:after="0"/>
              <w:rPr>
                <w:sz w:val="14"/>
                <w:szCs w:val="14"/>
                <w:color w:val="auto"/>
              </w:rPr>
            </w:pPr>
          </w:p>
        </w:tc>
        <w:tc>
          <w:tcPr>
            <w:tcW w:w="1280" w:type="dxa"/>
            <w:vAlign w:val="bottom"/>
            <w:gridSpan w:val="3"/>
            <w:vMerge w:val="restart"/>
          </w:tcPr>
          <w:p>
            <w:pPr>
              <w:jc w:val="right"/>
              <w:spacing w:after="0"/>
              <w:rPr>
                <w:sz w:val="20"/>
                <w:szCs w:val="20"/>
                <w:color w:val="auto"/>
              </w:rPr>
            </w:pPr>
            <w:r>
              <w:rPr>
                <w:rFonts w:ascii="Arial" w:cs="Arial" w:eastAsia="Arial" w:hAnsi="Arial"/>
                <w:sz w:val="14"/>
                <w:szCs w:val="14"/>
                <w:b w:val="1"/>
                <w:bCs w:val="1"/>
                <w:color w:val="auto"/>
              </w:rPr>
              <w:t>Common Stock</w:t>
            </w: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6"/>
              </w:rPr>
              <w:t>Additional</w:t>
            </w:r>
          </w:p>
        </w:tc>
        <w:tc>
          <w:tcPr>
            <w:tcW w:w="1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3"/>
              </w:rPr>
              <w:t>Accumulated</w:t>
            </w:r>
          </w:p>
        </w:tc>
        <w:tc>
          <w:tcPr>
            <w:tcW w:w="2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3660" w:type="dxa"/>
            <w:vAlign w:val="bottom"/>
          </w:tcPr>
          <w:p>
            <w:pPr>
              <w:spacing w:after="0"/>
              <w:rPr>
                <w:sz w:val="13"/>
                <w:szCs w:val="13"/>
                <w:color w:val="auto"/>
              </w:rPr>
            </w:pPr>
          </w:p>
        </w:tc>
        <w:tc>
          <w:tcPr>
            <w:tcW w:w="1340" w:type="dxa"/>
            <w:vAlign w:val="bottom"/>
            <w:tcBorders>
              <w:bottom w:val="single" w:sz="8" w:color="auto"/>
            </w:tcBorders>
            <w:gridSpan w:val="4"/>
            <w:vMerge w:val="continue"/>
          </w:tcPr>
          <w:p>
            <w:pPr>
              <w:spacing w:after="0"/>
              <w:rPr>
                <w:sz w:val="13"/>
                <w:szCs w:val="13"/>
                <w:color w:val="auto"/>
              </w:rPr>
            </w:pPr>
          </w:p>
        </w:tc>
        <w:tc>
          <w:tcPr>
            <w:tcW w:w="100" w:type="dxa"/>
            <w:vAlign w:val="bottom"/>
            <w:vMerge w:val="continue"/>
          </w:tcPr>
          <w:p>
            <w:pPr>
              <w:spacing w:after="0"/>
              <w:rPr>
                <w:sz w:val="13"/>
                <w:szCs w:val="13"/>
                <w:color w:val="auto"/>
              </w:rPr>
            </w:pPr>
          </w:p>
        </w:tc>
        <w:tc>
          <w:tcPr>
            <w:tcW w:w="1280" w:type="dxa"/>
            <w:vAlign w:val="bottom"/>
            <w:tcBorders>
              <w:bottom w:val="single" w:sz="8" w:color="auto"/>
            </w:tcBorders>
            <w:gridSpan w:val="3"/>
            <w:vMerge w:val="continue"/>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gridSpan w:val="2"/>
            <w:vMerge w:val="continue"/>
          </w:tcPr>
          <w:p>
            <w:pPr>
              <w:spacing w:after="0"/>
              <w:rPr>
                <w:sz w:val="13"/>
                <w:szCs w:val="13"/>
                <w:color w:val="auto"/>
              </w:rPr>
            </w:pPr>
          </w:p>
        </w:tc>
        <w:tc>
          <w:tcPr>
            <w:tcW w:w="1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20" w:type="dxa"/>
            <w:vAlign w:val="bottom"/>
            <w:gridSpan w:val="2"/>
          </w:tcPr>
          <w:p>
            <w:pPr>
              <w:jc w:val="center"/>
              <w:ind w:right="260"/>
              <w:spacing w:after="0" w:line="158" w:lineRule="exact"/>
              <w:rPr>
                <w:sz w:val="20"/>
                <w:szCs w:val="20"/>
                <w:color w:val="auto"/>
              </w:rPr>
            </w:pPr>
            <w:r>
              <w:rPr>
                <w:rFonts w:ascii="Arial" w:cs="Arial" w:eastAsia="Arial" w:hAnsi="Arial"/>
                <w:sz w:val="14"/>
                <w:szCs w:val="14"/>
                <w:b w:val="1"/>
                <w:bCs w:val="1"/>
                <w:color w:val="auto"/>
                <w:w w:val="96"/>
              </w:rPr>
              <w:t>Other</w:t>
            </w:r>
          </w:p>
        </w:tc>
        <w:tc>
          <w:tcPr>
            <w:tcW w:w="2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9"/>
        </w:trPr>
        <w:tc>
          <w:tcPr>
            <w:tcW w:w="3660" w:type="dxa"/>
            <w:vAlign w:val="bottom"/>
          </w:tcPr>
          <w:p>
            <w:pPr>
              <w:spacing w:after="0"/>
              <w:rPr>
                <w:sz w:val="10"/>
                <w:szCs w:val="10"/>
                <w:color w:val="auto"/>
              </w:rPr>
            </w:pPr>
          </w:p>
        </w:tc>
        <w:tc>
          <w:tcPr>
            <w:tcW w:w="6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Shares</w:t>
            </w:r>
          </w:p>
        </w:tc>
        <w:tc>
          <w:tcPr>
            <w:tcW w:w="780" w:type="dxa"/>
            <w:vAlign w:val="bottom"/>
            <w:gridSpan w:val="3"/>
            <w:vMerge w:val="restart"/>
          </w:tcPr>
          <w:p>
            <w:pPr>
              <w:ind w:left="80"/>
              <w:spacing w:after="0"/>
              <w:rPr>
                <w:sz w:val="20"/>
                <w:szCs w:val="20"/>
                <w:color w:val="auto"/>
              </w:rPr>
            </w:pPr>
            <w:r>
              <w:rPr>
                <w:rFonts w:ascii="Arial" w:cs="Arial" w:eastAsia="Arial" w:hAnsi="Arial"/>
                <w:sz w:val="14"/>
                <w:szCs w:val="14"/>
                <w:b w:val="1"/>
                <w:bCs w:val="1"/>
                <w:color w:val="auto"/>
              </w:rPr>
              <w:t>Amount</w:t>
            </w:r>
          </w:p>
        </w:tc>
        <w:tc>
          <w:tcPr>
            <w:tcW w:w="90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Shares</w:t>
            </w:r>
          </w:p>
        </w:tc>
        <w:tc>
          <w:tcPr>
            <w:tcW w:w="780" w:type="dxa"/>
            <w:vAlign w:val="bottom"/>
            <w:gridSpan w:val="3"/>
            <w:vMerge w:val="restart"/>
          </w:tcPr>
          <w:p>
            <w:pPr>
              <w:ind w:left="80"/>
              <w:spacing w:after="0"/>
              <w:rPr>
                <w:sz w:val="20"/>
                <w:szCs w:val="20"/>
                <w:color w:val="auto"/>
              </w:rPr>
            </w:pPr>
            <w:r>
              <w:rPr>
                <w:rFonts w:ascii="Arial" w:cs="Arial" w:eastAsia="Arial" w:hAnsi="Arial"/>
                <w:sz w:val="14"/>
                <w:szCs w:val="14"/>
                <w:b w:val="1"/>
                <w:bCs w:val="1"/>
                <w:color w:val="auto"/>
              </w:rPr>
              <w:t>Amount</w:t>
            </w:r>
          </w:p>
        </w:tc>
        <w:tc>
          <w:tcPr>
            <w:tcW w:w="120" w:type="dxa"/>
            <w:vAlign w:val="bottom"/>
          </w:tcPr>
          <w:p>
            <w:pPr>
              <w:spacing w:after="0"/>
              <w:rPr>
                <w:sz w:val="10"/>
                <w:szCs w:val="10"/>
                <w:color w:val="auto"/>
              </w:rPr>
            </w:pPr>
          </w:p>
        </w:tc>
        <w:tc>
          <w:tcPr>
            <w:tcW w:w="880" w:type="dxa"/>
            <w:vAlign w:val="bottom"/>
            <w:gridSpan w:val="2"/>
          </w:tcPr>
          <w:p>
            <w:pPr>
              <w:jc w:val="center"/>
              <w:ind w:right="220"/>
              <w:spacing w:after="0" w:line="119" w:lineRule="exact"/>
              <w:rPr>
                <w:sz w:val="20"/>
                <w:szCs w:val="20"/>
                <w:color w:val="auto"/>
              </w:rPr>
            </w:pPr>
            <w:r>
              <w:rPr>
                <w:rFonts w:ascii="Arial" w:cs="Arial" w:eastAsia="Arial" w:hAnsi="Arial"/>
                <w:sz w:val="13"/>
                <w:szCs w:val="13"/>
                <w:b w:val="1"/>
                <w:bCs w:val="1"/>
                <w:color w:val="auto"/>
              </w:rPr>
              <w:t>Paid-in</w:t>
            </w:r>
          </w:p>
        </w:tc>
        <w:tc>
          <w:tcPr>
            <w:tcW w:w="180" w:type="dxa"/>
            <w:vAlign w:val="bottom"/>
          </w:tcPr>
          <w:p>
            <w:pPr>
              <w:spacing w:after="0"/>
              <w:rPr>
                <w:sz w:val="10"/>
                <w:szCs w:val="10"/>
                <w:color w:val="auto"/>
              </w:rPr>
            </w:pPr>
          </w:p>
        </w:tc>
        <w:tc>
          <w:tcPr>
            <w:tcW w:w="960" w:type="dxa"/>
            <w:vAlign w:val="bottom"/>
            <w:gridSpan w:val="2"/>
          </w:tcPr>
          <w:p>
            <w:pPr>
              <w:jc w:val="center"/>
              <w:ind w:right="320"/>
              <w:spacing w:after="0" w:line="119" w:lineRule="exact"/>
              <w:rPr>
                <w:sz w:val="20"/>
                <w:szCs w:val="20"/>
                <w:color w:val="auto"/>
              </w:rPr>
            </w:pPr>
            <w:r>
              <w:rPr>
                <w:rFonts w:ascii="Arial" w:cs="Arial" w:eastAsia="Arial" w:hAnsi="Arial"/>
                <w:sz w:val="13"/>
                <w:szCs w:val="13"/>
                <w:b w:val="1"/>
                <w:bCs w:val="1"/>
                <w:color w:val="auto"/>
              </w:rPr>
              <w:t>Retained</w:t>
            </w:r>
          </w:p>
        </w:tc>
        <w:tc>
          <w:tcPr>
            <w:tcW w:w="140" w:type="dxa"/>
            <w:vAlign w:val="bottom"/>
          </w:tcPr>
          <w:p>
            <w:pPr>
              <w:spacing w:after="0"/>
              <w:rPr>
                <w:sz w:val="10"/>
                <w:szCs w:val="10"/>
                <w:color w:val="auto"/>
              </w:rPr>
            </w:pPr>
          </w:p>
        </w:tc>
        <w:tc>
          <w:tcPr>
            <w:tcW w:w="1220" w:type="dxa"/>
            <w:vAlign w:val="bottom"/>
            <w:gridSpan w:val="2"/>
          </w:tcPr>
          <w:p>
            <w:pPr>
              <w:jc w:val="center"/>
              <w:ind w:right="260"/>
              <w:spacing w:after="0" w:line="119" w:lineRule="exact"/>
              <w:rPr>
                <w:sz w:val="20"/>
                <w:szCs w:val="20"/>
                <w:color w:val="auto"/>
              </w:rPr>
            </w:pPr>
            <w:r>
              <w:rPr>
                <w:rFonts w:ascii="Arial" w:cs="Arial" w:eastAsia="Arial" w:hAnsi="Arial"/>
                <w:sz w:val="13"/>
                <w:szCs w:val="13"/>
                <w:b w:val="1"/>
                <w:bCs w:val="1"/>
                <w:color w:val="auto"/>
                <w:w w:val="98"/>
              </w:rPr>
              <w:t>Comprehensive</w:t>
            </w:r>
          </w:p>
        </w:tc>
        <w:tc>
          <w:tcPr>
            <w:tcW w:w="260" w:type="dxa"/>
            <w:vAlign w:val="bottom"/>
          </w:tcPr>
          <w:p>
            <w:pPr>
              <w:spacing w:after="0"/>
              <w:rPr>
                <w:sz w:val="10"/>
                <w:szCs w:val="10"/>
                <w:color w:val="auto"/>
              </w:rPr>
            </w:pPr>
          </w:p>
        </w:tc>
        <w:tc>
          <w:tcPr>
            <w:tcW w:w="860" w:type="dxa"/>
            <w:vAlign w:val="bottom"/>
            <w:vMerge w:val="restart"/>
          </w:tcPr>
          <w:p>
            <w:pPr>
              <w:jc w:val="right"/>
              <w:ind w:right="311"/>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3660" w:type="dxa"/>
            <w:vAlign w:val="bottom"/>
          </w:tcPr>
          <w:p>
            <w:pPr>
              <w:spacing w:after="0"/>
              <w:rPr>
                <w:sz w:val="16"/>
                <w:szCs w:val="16"/>
                <w:color w:val="auto"/>
              </w:rPr>
            </w:pPr>
          </w:p>
        </w:tc>
        <w:tc>
          <w:tcPr>
            <w:tcW w:w="660" w:type="dxa"/>
            <w:vAlign w:val="bottom"/>
            <w:gridSpan w:val="2"/>
            <w:vMerge w:val="continue"/>
          </w:tcPr>
          <w:p>
            <w:pPr>
              <w:spacing w:after="0"/>
              <w:rPr>
                <w:sz w:val="16"/>
                <w:szCs w:val="16"/>
                <w:color w:val="auto"/>
              </w:rPr>
            </w:pPr>
          </w:p>
        </w:tc>
        <w:tc>
          <w:tcPr>
            <w:tcW w:w="780" w:type="dxa"/>
            <w:vAlign w:val="bottom"/>
            <w:gridSpan w:val="3"/>
            <w:vMerge w:val="continue"/>
          </w:tcPr>
          <w:p>
            <w:pPr>
              <w:spacing w:after="0"/>
              <w:rPr>
                <w:sz w:val="16"/>
                <w:szCs w:val="16"/>
                <w:color w:val="auto"/>
              </w:rPr>
            </w:pPr>
          </w:p>
        </w:tc>
        <w:tc>
          <w:tcPr>
            <w:tcW w:w="900" w:type="dxa"/>
            <w:vAlign w:val="bottom"/>
            <w:gridSpan w:val="2"/>
            <w:vMerge w:val="continue"/>
          </w:tcPr>
          <w:p>
            <w:pPr>
              <w:spacing w:after="0"/>
              <w:rPr>
                <w:sz w:val="16"/>
                <w:szCs w:val="16"/>
                <w:color w:val="auto"/>
              </w:rPr>
            </w:pPr>
          </w:p>
        </w:tc>
        <w:tc>
          <w:tcPr>
            <w:tcW w:w="780" w:type="dxa"/>
            <w:vAlign w:val="bottom"/>
            <w:gridSpan w:val="3"/>
            <w:vMerge w:val="continue"/>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8"/>
              </w:rPr>
              <w:t>Capital</w:t>
            </w:r>
          </w:p>
        </w:tc>
        <w:tc>
          <w:tcPr>
            <w:tcW w:w="180" w:type="dxa"/>
            <w:vAlign w:val="bottom"/>
          </w:tcPr>
          <w:p>
            <w:pPr>
              <w:spacing w:after="0"/>
              <w:rPr>
                <w:sz w:val="16"/>
                <w:szCs w:val="16"/>
                <w:color w:val="auto"/>
              </w:rPr>
            </w:pPr>
          </w:p>
        </w:tc>
        <w:tc>
          <w:tcPr>
            <w:tcW w:w="9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3"/>
              </w:rPr>
              <w:t>Deficit</w:t>
            </w:r>
          </w:p>
        </w:tc>
        <w:tc>
          <w:tcPr>
            <w:tcW w:w="140" w:type="dxa"/>
            <w:vAlign w:val="bottom"/>
          </w:tcPr>
          <w:p>
            <w:pPr>
              <w:spacing w:after="0"/>
              <w:rPr>
                <w:sz w:val="16"/>
                <w:szCs w:val="16"/>
                <w:color w:val="auto"/>
              </w:rPr>
            </w:pPr>
          </w:p>
        </w:tc>
        <w:tc>
          <w:tcPr>
            <w:tcW w:w="12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2"/>
              </w:rPr>
              <w:t>Income (Loss)</w:t>
            </w:r>
          </w:p>
        </w:tc>
        <w:tc>
          <w:tcPr>
            <w:tcW w:w="260" w:type="dxa"/>
            <w:vAlign w:val="bottom"/>
          </w:tcPr>
          <w:p>
            <w:pPr>
              <w:spacing w:after="0"/>
              <w:rPr>
                <w:sz w:val="16"/>
                <w:szCs w:val="16"/>
                <w:color w:val="auto"/>
              </w:rPr>
            </w:pPr>
          </w:p>
        </w:tc>
        <w:tc>
          <w:tcPr>
            <w:tcW w:w="8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36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December 31 2012</w:t>
            </w:r>
          </w:p>
        </w:tc>
        <w:tc>
          <w:tcPr>
            <w:tcW w:w="540" w:type="dxa"/>
            <w:vAlign w:val="bottom"/>
            <w:tcBorders>
              <w:top w:val="single" w:sz="8" w:color="auto"/>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48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780" w:type="dxa"/>
            <w:vAlign w:val="bottom"/>
            <w:tcBorders>
              <w:top w:val="single" w:sz="8" w:color="auto"/>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338.9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80" w:type="dxa"/>
            <w:vAlign w:val="bottom"/>
            <w:tcBorders>
              <w:top w:val="single" w:sz="8" w:color="auto"/>
              <w:bottom w:val="single" w:sz="8" w:color="CCEEFF"/>
            </w:tcBorders>
            <w:shd w:val="clear" w:color="auto" w:fill="CCEEFF"/>
          </w:tcPr>
          <w:p>
            <w:pPr>
              <w:jc w:val="right"/>
              <w:ind w:right="196"/>
              <w:spacing w:after="0"/>
              <w:rPr>
                <w:sz w:val="20"/>
                <w:szCs w:val="20"/>
                <w:color w:val="auto"/>
              </w:rPr>
            </w:pPr>
            <w:r>
              <w:rPr>
                <w:rFonts w:ascii="Arial" w:cs="Arial" w:eastAsia="Arial" w:hAnsi="Arial"/>
                <w:sz w:val="18"/>
                <w:szCs w:val="18"/>
                <w:color w:val="auto"/>
                <w:w w:val="79"/>
              </w:rPr>
              <w:t>$</w:t>
            </w:r>
          </w:p>
        </w:tc>
        <w:tc>
          <w:tcPr>
            <w:tcW w:w="28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9,460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(289)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1,555</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10,896</w:t>
            </w:r>
          </w:p>
        </w:tc>
        <w:tc>
          <w:tcPr>
            <w:tcW w:w="0" w:type="dxa"/>
            <w:vAlign w:val="bottom"/>
          </w:tcPr>
          <w:p>
            <w:pPr>
              <w:spacing w:after="0"/>
              <w:rPr>
                <w:sz w:val="1"/>
                <w:szCs w:val="1"/>
                <w:color w:val="auto"/>
              </w:rPr>
            </w:pPr>
          </w:p>
        </w:tc>
      </w:tr>
      <w:tr>
        <w:trPr>
          <w:trHeight w:val="243"/>
        </w:trPr>
        <w:tc>
          <w:tcPr>
            <w:tcW w:w="3660" w:type="dxa"/>
            <w:vAlign w:val="bottom"/>
          </w:tcPr>
          <w:p>
            <w:pPr>
              <w:ind w:left="540"/>
              <w:spacing w:after="0"/>
              <w:rPr>
                <w:sz w:val="20"/>
                <w:szCs w:val="20"/>
                <w:color w:val="auto"/>
              </w:rPr>
            </w:pPr>
            <w:r>
              <w:rPr>
                <w:rFonts w:ascii="Arial" w:cs="Arial" w:eastAsia="Arial" w:hAnsi="Arial"/>
                <w:sz w:val="18"/>
                <w:szCs w:val="18"/>
                <w:color w:val="auto"/>
              </w:rPr>
              <w:t>Net income</w:t>
            </w:r>
          </w:p>
        </w:tc>
        <w:tc>
          <w:tcPr>
            <w:tcW w:w="6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400" w:type="dxa"/>
            <w:vAlign w:val="bottom"/>
            <w:gridSpan w:val="2"/>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1"/>
                <w:szCs w:val="21"/>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860" w:type="dxa"/>
            <w:vAlign w:val="bottom"/>
          </w:tcPr>
          <w:p>
            <w:pPr>
              <w:jc w:val="right"/>
              <w:ind w:right="152"/>
              <w:spacing w:after="0"/>
              <w:rPr>
                <w:sz w:val="20"/>
                <w:szCs w:val="20"/>
                <w:color w:val="auto"/>
              </w:rPr>
            </w:pPr>
            <w:r>
              <w:rPr>
                <w:rFonts w:ascii="Arial" w:cs="Arial" w:eastAsia="Arial" w:hAnsi="Arial"/>
                <w:sz w:val="18"/>
                <w:szCs w:val="18"/>
                <w:color w:val="auto"/>
              </w:rPr>
              <w:t>1,259</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860" w:type="dxa"/>
            <w:vAlign w:val="bottom"/>
          </w:tcPr>
          <w:p>
            <w:pPr>
              <w:jc w:val="right"/>
              <w:ind w:right="11"/>
              <w:spacing w:after="0"/>
              <w:rPr>
                <w:sz w:val="20"/>
                <w:szCs w:val="20"/>
                <w:color w:val="auto"/>
              </w:rPr>
            </w:pPr>
            <w:r>
              <w:rPr>
                <w:rFonts w:ascii="Arial" w:cs="Arial" w:eastAsia="Arial" w:hAnsi="Arial"/>
                <w:sz w:val="18"/>
                <w:szCs w:val="18"/>
                <w:color w:val="auto"/>
              </w:rPr>
              <w:t>1,259</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Other comprehensive income (loss):</w:t>
            </w:r>
          </w:p>
        </w:tc>
        <w:tc>
          <w:tcPr>
            <w:tcW w:w="5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3660" w:type="dxa"/>
            <w:vAlign w:val="bottom"/>
          </w:tcPr>
          <w:p>
            <w:pPr>
              <w:ind w:left="380"/>
              <w:spacing w:after="0"/>
              <w:rPr>
                <w:sz w:val="20"/>
                <w:szCs w:val="20"/>
                <w:color w:val="auto"/>
              </w:rPr>
            </w:pPr>
            <w:r>
              <w:rPr>
                <w:rFonts w:ascii="Arial" w:cs="Arial" w:eastAsia="Arial" w:hAnsi="Arial"/>
                <w:sz w:val="18"/>
                <w:szCs w:val="18"/>
                <w:color w:val="auto"/>
              </w:rPr>
              <w:t>Unrealized loss on available-for-sale</w:t>
            </w:r>
          </w:p>
        </w:tc>
        <w:tc>
          <w:tcPr>
            <w:tcW w:w="5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60" w:type="dxa"/>
            <w:vAlign w:val="bottom"/>
          </w:tcPr>
          <w:p>
            <w:pPr>
              <w:ind w:left="380"/>
              <w:spacing w:after="0"/>
              <w:rPr>
                <w:sz w:val="20"/>
                <w:szCs w:val="20"/>
                <w:color w:val="auto"/>
              </w:rPr>
            </w:pPr>
            <w:r>
              <w:rPr>
                <w:rFonts w:ascii="Arial" w:cs="Arial" w:eastAsia="Arial" w:hAnsi="Arial"/>
                <w:sz w:val="18"/>
                <w:szCs w:val="18"/>
                <w:color w:val="auto"/>
              </w:rPr>
              <w:t>securities, net</w:t>
            </w:r>
          </w:p>
        </w:tc>
        <w:tc>
          <w:tcPr>
            <w:tcW w:w="6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0"/>
                <w:szCs w:val="20"/>
                <w:color w:val="auto"/>
              </w:rPr>
            </w:pPr>
          </w:p>
        </w:tc>
        <w:tc>
          <w:tcPr>
            <w:tcW w:w="400" w:type="dxa"/>
            <w:vAlign w:val="bottom"/>
            <w:gridSpan w:val="2"/>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0"/>
                <w:szCs w:val="20"/>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9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(3,127)</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(3,127)</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3660" w:type="dxa"/>
            <w:vAlign w:val="bottom"/>
            <w:shd w:val="clear" w:color="auto" w:fill="CCEEFF"/>
          </w:tcPr>
          <w:p>
            <w:pPr>
              <w:ind w:left="380"/>
              <w:spacing w:after="0"/>
              <w:rPr>
                <w:sz w:val="20"/>
                <w:szCs w:val="20"/>
                <w:color w:val="auto"/>
              </w:rPr>
            </w:pPr>
            <w:r>
              <w:rPr>
                <w:rFonts w:ascii="Arial" w:cs="Arial" w:eastAsia="Arial" w:hAnsi="Arial"/>
                <w:sz w:val="18"/>
                <w:szCs w:val="18"/>
                <w:color w:val="auto"/>
                <w:w w:val="97"/>
              </w:rPr>
              <w:t>Unrealized gain on derivative instruments,</w:t>
            </w:r>
          </w:p>
        </w:tc>
        <w:tc>
          <w:tcPr>
            <w:tcW w:w="5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36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net</w:t>
            </w:r>
          </w:p>
        </w:tc>
        <w:tc>
          <w:tcPr>
            <w:tcW w:w="6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5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189</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189</w:t>
            </w:r>
          </w:p>
        </w:tc>
        <w:tc>
          <w:tcPr>
            <w:tcW w:w="0" w:type="dxa"/>
            <w:vAlign w:val="bottom"/>
          </w:tcPr>
          <w:p>
            <w:pPr>
              <w:spacing w:after="0"/>
              <w:rPr>
                <w:sz w:val="1"/>
                <w:szCs w:val="1"/>
                <w:color w:val="auto"/>
              </w:rPr>
            </w:pPr>
          </w:p>
        </w:tc>
      </w:tr>
      <w:tr>
        <w:trPr>
          <w:trHeight w:val="243"/>
        </w:trPr>
        <w:tc>
          <w:tcPr>
            <w:tcW w:w="3660" w:type="dxa"/>
            <w:vAlign w:val="bottom"/>
          </w:tcPr>
          <w:p>
            <w:pPr>
              <w:ind w:left="540"/>
              <w:spacing w:after="0"/>
              <w:rPr>
                <w:sz w:val="20"/>
                <w:szCs w:val="20"/>
                <w:color w:val="auto"/>
              </w:rPr>
            </w:pPr>
            <w:r>
              <w:rPr>
                <w:rFonts w:ascii="Arial" w:cs="Arial" w:eastAsia="Arial" w:hAnsi="Arial"/>
                <w:sz w:val="18"/>
                <w:szCs w:val="18"/>
                <w:color w:val="auto"/>
              </w:rPr>
              <w:t>Issuance of common stock</w:t>
            </w:r>
          </w:p>
        </w:tc>
        <w:tc>
          <w:tcPr>
            <w:tcW w:w="6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780" w:type="dxa"/>
            <w:vAlign w:val="bottom"/>
          </w:tcPr>
          <w:p>
            <w:pPr>
              <w:jc w:val="right"/>
              <w:ind w:right="11"/>
              <w:spacing w:after="0"/>
              <w:rPr>
                <w:sz w:val="20"/>
                <w:szCs w:val="20"/>
                <w:color w:val="auto"/>
              </w:rPr>
            </w:pPr>
            <w:r>
              <w:rPr>
                <w:rFonts w:ascii="Arial" w:cs="Arial" w:eastAsia="Arial" w:hAnsi="Arial"/>
                <w:sz w:val="18"/>
                <w:szCs w:val="18"/>
                <w:color w:val="auto"/>
              </w:rPr>
              <w:t>57.5</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280" w:type="dxa"/>
            <w:vAlign w:val="bottom"/>
          </w:tcPr>
          <w:p>
            <w:pPr>
              <w:jc w:val="right"/>
              <w:ind w:right="10"/>
              <w:spacing w:after="0"/>
              <w:rPr>
                <w:sz w:val="20"/>
                <w:szCs w:val="20"/>
                <w:color w:val="auto"/>
              </w:rPr>
            </w:pPr>
            <w:r>
              <w:rPr>
                <w:rFonts w:ascii="Arial" w:cs="Arial" w:eastAsia="Arial" w:hAnsi="Arial"/>
                <w:sz w:val="18"/>
                <w:szCs w:val="18"/>
                <w:color w:val="auto"/>
              </w:rPr>
              <w:t>1</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color w:val="auto"/>
              </w:rPr>
              <w:t>1,802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860" w:type="dxa"/>
            <w:vAlign w:val="bottom"/>
          </w:tcPr>
          <w:p>
            <w:pPr>
              <w:jc w:val="right"/>
              <w:ind w:right="11"/>
              <w:spacing w:after="0"/>
              <w:rPr>
                <w:sz w:val="20"/>
                <w:szCs w:val="20"/>
                <w:color w:val="auto"/>
              </w:rPr>
            </w:pPr>
            <w:r>
              <w:rPr>
                <w:rFonts w:ascii="Arial" w:cs="Arial" w:eastAsia="Arial" w:hAnsi="Arial"/>
                <w:sz w:val="18"/>
                <w:szCs w:val="18"/>
                <w:color w:val="auto"/>
              </w:rPr>
              <w:t>1,803</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6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Repurchase of common stock</w:t>
            </w:r>
          </w:p>
        </w:tc>
        <w:tc>
          <w:tcPr>
            <w:tcW w:w="6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(40.2)</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(856)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(856)</w:t>
            </w:r>
          </w:p>
        </w:tc>
        <w:tc>
          <w:tcPr>
            <w:tcW w:w="0" w:type="dxa"/>
            <w:vAlign w:val="bottom"/>
          </w:tcPr>
          <w:p>
            <w:pPr>
              <w:spacing w:after="0"/>
              <w:rPr>
                <w:sz w:val="1"/>
                <w:szCs w:val="1"/>
                <w:color w:val="auto"/>
              </w:rPr>
            </w:pPr>
          </w:p>
        </w:tc>
      </w:tr>
      <w:tr>
        <w:trPr>
          <w:trHeight w:val="243"/>
        </w:trPr>
        <w:tc>
          <w:tcPr>
            <w:tcW w:w="3660" w:type="dxa"/>
            <w:vAlign w:val="bottom"/>
          </w:tcPr>
          <w:p>
            <w:pPr>
              <w:ind w:left="540"/>
              <w:spacing w:after="0"/>
              <w:rPr>
                <w:sz w:val="20"/>
                <w:szCs w:val="20"/>
                <w:color w:val="auto"/>
              </w:rPr>
            </w:pPr>
            <w:r>
              <w:rPr>
                <w:rFonts w:ascii="Arial" w:cs="Arial" w:eastAsia="Arial" w:hAnsi="Arial"/>
                <w:sz w:val="18"/>
                <w:szCs w:val="18"/>
                <w:color w:val="auto"/>
              </w:rPr>
              <w:t>Preferred dividends declared</w:t>
            </w:r>
          </w:p>
        </w:tc>
        <w:tc>
          <w:tcPr>
            <w:tcW w:w="6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400" w:type="dxa"/>
            <w:vAlign w:val="bottom"/>
            <w:gridSpan w:val="2"/>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1"/>
                <w:szCs w:val="21"/>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860" w:type="dxa"/>
            <w:vAlign w:val="bottom"/>
          </w:tcPr>
          <w:p>
            <w:pPr>
              <w:jc w:val="right"/>
              <w:ind w:right="92"/>
              <w:spacing w:after="0"/>
              <w:rPr>
                <w:sz w:val="20"/>
                <w:szCs w:val="20"/>
                <w:color w:val="auto"/>
              </w:rPr>
            </w:pPr>
            <w:r>
              <w:rPr>
                <w:rFonts w:ascii="Arial" w:cs="Arial" w:eastAsia="Arial" w:hAnsi="Arial"/>
                <w:sz w:val="18"/>
                <w:szCs w:val="18"/>
                <w:color w:val="auto"/>
              </w:rPr>
              <w:t>(14)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66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Common dividends declared</w:t>
            </w:r>
          </w:p>
        </w:tc>
        <w:tc>
          <w:tcPr>
            <w:tcW w:w="6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3"/>
                <w:szCs w:val="23"/>
                <w:color w:val="auto"/>
              </w:rPr>
            </w:pPr>
          </w:p>
        </w:tc>
        <w:tc>
          <w:tcPr>
            <w:tcW w:w="5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(1,453)</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(1,453)</w:t>
            </w:r>
          </w:p>
        </w:tc>
        <w:tc>
          <w:tcPr>
            <w:tcW w:w="0" w:type="dxa"/>
            <w:vAlign w:val="bottom"/>
          </w:tcPr>
          <w:p>
            <w:pPr>
              <w:spacing w:after="0"/>
              <w:rPr>
                <w:sz w:val="1"/>
                <w:szCs w:val="1"/>
                <w:color w:val="auto"/>
              </w:rPr>
            </w:pPr>
          </w:p>
        </w:tc>
      </w:tr>
      <w:tr>
        <w:trPr>
          <w:trHeight w:val="237"/>
        </w:trPr>
        <w:tc>
          <w:tcPr>
            <w:tcW w:w="3660" w:type="dxa"/>
            <w:vAlign w:val="bottom"/>
          </w:tcPr>
          <w:p>
            <w:pPr>
              <w:ind w:left="40"/>
              <w:spacing w:after="0"/>
              <w:rPr>
                <w:sz w:val="20"/>
                <w:szCs w:val="20"/>
                <w:color w:val="auto"/>
              </w:rPr>
            </w:pPr>
            <w:r>
              <w:rPr>
                <w:rFonts w:ascii="Arial" w:cs="Arial" w:eastAsia="Arial" w:hAnsi="Arial"/>
                <w:sz w:val="18"/>
                <w:szCs w:val="18"/>
                <w:b w:val="1"/>
                <w:bCs w:val="1"/>
                <w:color w:val="auto"/>
              </w:rPr>
              <w:t>Balance, December 31, 2013</w:t>
            </w:r>
          </w:p>
        </w:tc>
        <w:tc>
          <w:tcPr>
            <w:tcW w:w="5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6.9</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4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167</w:t>
            </w:r>
          </w:p>
        </w:tc>
        <w:tc>
          <w:tcPr>
            <w:tcW w:w="100" w:type="dxa"/>
            <w:vAlign w:val="bottom"/>
          </w:tcPr>
          <w:p>
            <w:pPr>
              <w:spacing w:after="0"/>
              <w:rPr>
                <w:sz w:val="20"/>
                <w:szCs w:val="20"/>
                <w:color w:val="auto"/>
              </w:rPr>
            </w:pPr>
          </w:p>
        </w:tc>
        <w:tc>
          <w:tcPr>
            <w:tcW w:w="7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356.2</w:t>
            </w:r>
          </w:p>
        </w:tc>
        <w:tc>
          <w:tcPr>
            <w:tcW w:w="12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2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w:t>
            </w:r>
          </w:p>
        </w:tc>
        <w:tc>
          <w:tcPr>
            <w:tcW w:w="12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10,406</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92"/>
              <w:spacing w:after="0"/>
              <w:rPr>
                <w:sz w:val="20"/>
                <w:szCs w:val="20"/>
                <w:color w:val="auto"/>
              </w:rPr>
            </w:pPr>
            <w:r>
              <w:rPr>
                <w:rFonts w:ascii="Arial" w:cs="Arial" w:eastAsia="Arial" w:hAnsi="Arial"/>
                <w:sz w:val="18"/>
                <w:szCs w:val="18"/>
                <w:color w:val="auto"/>
              </w:rPr>
              <w:t>(497)</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(1,383)</w:t>
            </w:r>
          </w:p>
        </w:tc>
        <w:tc>
          <w:tcPr>
            <w:tcW w:w="12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8,697</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Net loss</w:t>
            </w:r>
          </w:p>
        </w:tc>
        <w:tc>
          <w:tcPr>
            <w:tcW w:w="6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(233)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(233)</w:t>
            </w:r>
          </w:p>
        </w:tc>
        <w:tc>
          <w:tcPr>
            <w:tcW w:w="0" w:type="dxa"/>
            <w:vAlign w:val="bottom"/>
          </w:tcPr>
          <w:p>
            <w:pPr>
              <w:spacing w:after="0"/>
              <w:rPr>
                <w:sz w:val="1"/>
                <w:szCs w:val="1"/>
                <w:color w:val="auto"/>
              </w:rPr>
            </w:pPr>
          </w:p>
        </w:tc>
      </w:tr>
      <w:tr>
        <w:trPr>
          <w:trHeight w:val="243"/>
        </w:trPr>
        <w:tc>
          <w:tcPr>
            <w:tcW w:w="3660" w:type="dxa"/>
            <w:vAlign w:val="bottom"/>
          </w:tcPr>
          <w:p>
            <w:pPr>
              <w:ind w:left="540"/>
              <w:spacing w:after="0"/>
              <w:rPr>
                <w:sz w:val="20"/>
                <w:szCs w:val="20"/>
                <w:color w:val="auto"/>
              </w:rPr>
            </w:pPr>
            <w:r>
              <w:rPr>
                <w:rFonts w:ascii="Arial" w:cs="Arial" w:eastAsia="Arial" w:hAnsi="Arial"/>
                <w:sz w:val="18"/>
                <w:szCs w:val="18"/>
                <w:color w:val="auto"/>
              </w:rPr>
              <w:t>Other comprehensive income:</w:t>
            </w:r>
          </w:p>
        </w:tc>
        <w:tc>
          <w:tcPr>
            <w:tcW w:w="5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3660" w:type="dxa"/>
            <w:vAlign w:val="bottom"/>
            <w:shd w:val="clear" w:color="auto" w:fill="CCEEFF"/>
          </w:tcPr>
          <w:p>
            <w:pPr>
              <w:ind w:left="380"/>
              <w:spacing w:after="0"/>
              <w:rPr>
                <w:sz w:val="20"/>
                <w:szCs w:val="20"/>
                <w:color w:val="auto"/>
              </w:rPr>
            </w:pPr>
            <w:r>
              <w:rPr>
                <w:rFonts w:ascii="Arial" w:cs="Arial" w:eastAsia="Arial" w:hAnsi="Arial"/>
                <w:sz w:val="18"/>
                <w:szCs w:val="18"/>
                <w:color w:val="auto"/>
              </w:rPr>
              <w:t>Unrealized gain on available-for-sale</w:t>
            </w:r>
          </w:p>
        </w:tc>
        <w:tc>
          <w:tcPr>
            <w:tcW w:w="5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36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securities, net</w:t>
            </w:r>
          </w:p>
        </w:tc>
        <w:tc>
          <w:tcPr>
            <w:tcW w:w="6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5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1,657</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1,657</w:t>
            </w:r>
          </w:p>
        </w:tc>
        <w:tc>
          <w:tcPr>
            <w:tcW w:w="0" w:type="dxa"/>
            <w:vAlign w:val="bottom"/>
          </w:tcPr>
          <w:p>
            <w:pPr>
              <w:spacing w:after="0"/>
              <w:rPr>
                <w:sz w:val="1"/>
                <w:szCs w:val="1"/>
                <w:color w:val="auto"/>
              </w:rPr>
            </w:pPr>
          </w:p>
        </w:tc>
      </w:tr>
      <w:tr>
        <w:trPr>
          <w:trHeight w:val="229"/>
        </w:trPr>
        <w:tc>
          <w:tcPr>
            <w:tcW w:w="3660" w:type="dxa"/>
            <w:vAlign w:val="bottom"/>
          </w:tcPr>
          <w:p>
            <w:pPr>
              <w:ind w:left="380"/>
              <w:spacing w:after="0"/>
              <w:rPr>
                <w:sz w:val="20"/>
                <w:szCs w:val="20"/>
                <w:color w:val="auto"/>
              </w:rPr>
            </w:pPr>
            <w:r>
              <w:rPr>
                <w:rFonts w:ascii="Arial" w:cs="Arial" w:eastAsia="Arial" w:hAnsi="Arial"/>
                <w:sz w:val="18"/>
                <w:szCs w:val="18"/>
                <w:color w:val="auto"/>
                <w:w w:val="97"/>
              </w:rPr>
              <w:t>Unrealized gain on derivative instruments,</w:t>
            </w:r>
          </w:p>
        </w:tc>
        <w:tc>
          <w:tcPr>
            <w:tcW w:w="5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60" w:type="dxa"/>
            <w:vAlign w:val="bottom"/>
          </w:tcPr>
          <w:p>
            <w:pPr>
              <w:ind w:left="380"/>
              <w:spacing w:after="0"/>
              <w:rPr>
                <w:sz w:val="20"/>
                <w:szCs w:val="20"/>
                <w:color w:val="auto"/>
              </w:rPr>
            </w:pPr>
            <w:r>
              <w:rPr>
                <w:rFonts w:ascii="Arial" w:cs="Arial" w:eastAsia="Arial" w:hAnsi="Arial"/>
                <w:sz w:val="18"/>
                <w:szCs w:val="18"/>
                <w:color w:val="auto"/>
              </w:rPr>
              <w:t>net</w:t>
            </w:r>
          </w:p>
        </w:tc>
        <w:tc>
          <w:tcPr>
            <w:tcW w:w="6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0"/>
                <w:szCs w:val="20"/>
                <w:color w:val="auto"/>
              </w:rPr>
            </w:pPr>
          </w:p>
        </w:tc>
        <w:tc>
          <w:tcPr>
            <w:tcW w:w="400" w:type="dxa"/>
            <w:vAlign w:val="bottom"/>
            <w:gridSpan w:val="2"/>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0"/>
                <w:szCs w:val="20"/>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9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100" w:type="dxa"/>
            <w:vAlign w:val="bottom"/>
          </w:tcPr>
          <w:p>
            <w:pPr>
              <w:jc w:val="right"/>
              <w:ind w:right="13"/>
              <w:spacing w:after="0"/>
              <w:rPr>
                <w:sz w:val="20"/>
                <w:szCs w:val="20"/>
                <w:color w:val="auto"/>
              </w:rPr>
            </w:pPr>
            <w:r>
              <w:rPr>
                <w:rFonts w:ascii="Arial" w:cs="Arial" w:eastAsia="Arial" w:hAnsi="Arial"/>
                <w:sz w:val="18"/>
                <w:szCs w:val="18"/>
                <w:color w:val="auto"/>
              </w:rPr>
              <w:t>156</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jc w:val="right"/>
              <w:ind w:right="11"/>
              <w:spacing w:after="0"/>
              <w:rPr>
                <w:sz w:val="20"/>
                <w:szCs w:val="20"/>
                <w:color w:val="auto"/>
              </w:rPr>
            </w:pPr>
            <w:r>
              <w:rPr>
                <w:rFonts w:ascii="Arial" w:cs="Arial" w:eastAsia="Arial" w:hAnsi="Arial"/>
                <w:sz w:val="18"/>
                <w:szCs w:val="18"/>
                <w:color w:val="auto"/>
              </w:rPr>
              <w:t>156</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6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Issuance of preferred stock</w:t>
            </w:r>
          </w:p>
        </w:tc>
        <w:tc>
          <w:tcPr>
            <w:tcW w:w="6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169</w:t>
            </w:r>
          </w:p>
        </w:tc>
        <w:tc>
          <w:tcPr>
            <w:tcW w:w="1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169</w:t>
            </w:r>
          </w:p>
        </w:tc>
        <w:tc>
          <w:tcPr>
            <w:tcW w:w="0" w:type="dxa"/>
            <w:vAlign w:val="bottom"/>
          </w:tcPr>
          <w:p>
            <w:pPr>
              <w:spacing w:after="0"/>
              <w:rPr>
                <w:sz w:val="1"/>
                <w:szCs w:val="1"/>
                <w:color w:val="auto"/>
              </w:rPr>
            </w:pPr>
          </w:p>
        </w:tc>
      </w:tr>
      <w:tr>
        <w:trPr>
          <w:trHeight w:val="243"/>
        </w:trPr>
        <w:tc>
          <w:tcPr>
            <w:tcW w:w="3660" w:type="dxa"/>
            <w:vAlign w:val="bottom"/>
          </w:tcPr>
          <w:p>
            <w:pPr>
              <w:ind w:left="540"/>
              <w:spacing w:after="0"/>
              <w:rPr>
                <w:sz w:val="20"/>
                <w:szCs w:val="20"/>
                <w:color w:val="auto"/>
              </w:rPr>
            </w:pPr>
            <w:r>
              <w:rPr>
                <w:rFonts w:ascii="Arial" w:cs="Arial" w:eastAsia="Arial" w:hAnsi="Arial"/>
                <w:sz w:val="18"/>
                <w:szCs w:val="18"/>
                <w:color w:val="auto"/>
              </w:rPr>
              <w:t>Repurchase of common stock</w:t>
            </w:r>
          </w:p>
        </w:tc>
        <w:tc>
          <w:tcPr>
            <w:tcW w:w="6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(3.4)</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400" w:type="dxa"/>
            <w:vAlign w:val="bottom"/>
            <w:gridSpan w:val="2"/>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(74)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(74)</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6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Preferred dividends declared</w:t>
            </w:r>
          </w:p>
        </w:tc>
        <w:tc>
          <w:tcPr>
            <w:tcW w:w="6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(23)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43"/>
        </w:trPr>
        <w:tc>
          <w:tcPr>
            <w:tcW w:w="3660" w:type="dxa"/>
            <w:vAlign w:val="bottom"/>
          </w:tcPr>
          <w:p>
            <w:pPr>
              <w:ind w:left="540"/>
              <w:spacing w:after="0"/>
              <w:rPr>
                <w:sz w:val="20"/>
                <w:szCs w:val="20"/>
                <w:color w:val="auto"/>
              </w:rPr>
            </w:pPr>
            <w:r>
              <w:rPr>
                <w:rFonts w:ascii="Arial" w:cs="Arial" w:eastAsia="Arial" w:hAnsi="Arial"/>
                <w:sz w:val="18"/>
                <w:szCs w:val="18"/>
                <w:color w:val="auto"/>
              </w:rPr>
              <w:t>Common dividends declared</w:t>
            </w:r>
          </w:p>
        </w:tc>
        <w:tc>
          <w:tcPr>
            <w:tcW w:w="6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400" w:type="dxa"/>
            <w:vAlign w:val="bottom"/>
            <w:gridSpan w:val="2"/>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1"/>
                <w:szCs w:val="21"/>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860" w:type="dxa"/>
            <w:vAlign w:val="bottom"/>
          </w:tcPr>
          <w:p>
            <w:pPr>
              <w:jc w:val="right"/>
              <w:ind w:right="92"/>
              <w:spacing w:after="0"/>
              <w:rPr>
                <w:sz w:val="20"/>
                <w:szCs w:val="20"/>
                <w:color w:val="auto"/>
              </w:rPr>
            </w:pPr>
            <w:r>
              <w:rPr>
                <w:rFonts w:ascii="Arial" w:cs="Arial" w:eastAsia="Arial" w:hAnsi="Arial"/>
                <w:sz w:val="18"/>
                <w:szCs w:val="18"/>
                <w:color w:val="auto"/>
              </w:rPr>
              <w:t>(921)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(921)</w:t>
            </w:r>
          </w:p>
        </w:tc>
        <w:tc>
          <w:tcPr>
            <w:tcW w:w="0" w:type="dxa"/>
            <w:vAlign w:val="bottom"/>
          </w:tcPr>
          <w:p>
            <w:pPr>
              <w:spacing w:after="0"/>
              <w:rPr>
                <w:sz w:val="1"/>
                <w:szCs w:val="1"/>
                <w:color w:val="auto"/>
              </w:rPr>
            </w:pPr>
          </w:p>
        </w:tc>
      </w:tr>
      <w:tr>
        <w:trPr>
          <w:trHeight w:val="27"/>
        </w:trPr>
        <w:tc>
          <w:tcPr>
            <w:tcW w:w="366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December 31, 2014</w:t>
            </w:r>
          </w:p>
        </w:tc>
        <w:tc>
          <w:tcPr>
            <w:tcW w:w="5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6.9</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336</w:t>
            </w:r>
          </w:p>
        </w:tc>
        <w:tc>
          <w:tcPr>
            <w:tcW w:w="1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352.8</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10,332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(1,674)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430</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9,428</w:t>
            </w:r>
          </w:p>
        </w:tc>
        <w:tc>
          <w:tcPr>
            <w:tcW w:w="0" w:type="dxa"/>
            <w:vAlign w:val="bottom"/>
          </w:tcPr>
          <w:p>
            <w:pPr>
              <w:spacing w:after="0"/>
              <w:rPr>
                <w:sz w:val="1"/>
                <w:szCs w:val="1"/>
                <w:color w:val="auto"/>
              </w:rPr>
            </w:pPr>
          </w:p>
        </w:tc>
      </w:tr>
      <w:tr>
        <w:trPr>
          <w:trHeight w:val="243"/>
        </w:trPr>
        <w:tc>
          <w:tcPr>
            <w:tcW w:w="3660" w:type="dxa"/>
            <w:vAlign w:val="bottom"/>
          </w:tcPr>
          <w:p>
            <w:pPr>
              <w:ind w:left="380"/>
              <w:spacing w:after="0"/>
              <w:rPr>
                <w:sz w:val="20"/>
                <w:szCs w:val="20"/>
                <w:color w:val="auto"/>
              </w:rPr>
            </w:pPr>
            <w:r>
              <w:rPr>
                <w:rFonts w:ascii="Arial" w:cs="Arial" w:eastAsia="Arial" w:hAnsi="Arial"/>
                <w:sz w:val="18"/>
                <w:szCs w:val="18"/>
                <w:color w:val="auto"/>
              </w:rPr>
              <w:t>Net income</w:t>
            </w:r>
          </w:p>
        </w:tc>
        <w:tc>
          <w:tcPr>
            <w:tcW w:w="6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400" w:type="dxa"/>
            <w:vAlign w:val="bottom"/>
            <w:gridSpan w:val="2"/>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1"/>
                <w:szCs w:val="21"/>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860" w:type="dxa"/>
            <w:vAlign w:val="bottom"/>
          </w:tcPr>
          <w:p>
            <w:pPr>
              <w:jc w:val="right"/>
              <w:ind w:right="152"/>
              <w:spacing w:after="0"/>
              <w:rPr>
                <w:sz w:val="20"/>
                <w:szCs w:val="20"/>
                <w:color w:val="auto"/>
              </w:rPr>
            </w:pPr>
            <w:r>
              <w:rPr>
                <w:rFonts w:ascii="Arial" w:cs="Arial" w:eastAsia="Arial" w:hAnsi="Arial"/>
                <w:sz w:val="18"/>
                <w:szCs w:val="18"/>
                <w:color w:val="auto"/>
              </w:rPr>
              <w:t>215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860" w:type="dxa"/>
            <w:vAlign w:val="bottom"/>
          </w:tcPr>
          <w:p>
            <w:pPr>
              <w:jc w:val="right"/>
              <w:ind w:right="11"/>
              <w:spacing w:after="0"/>
              <w:rPr>
                <w:sz w:val="20"/>
                <w:szCs w:val="20"/>
                <w:color w:val="auto"/>
              </w:rPr>
            </w:pPr>
            <w:r>
              <w:rPr>
                <w:rFonts w:ascii="Arial" w:cs="Arial" w:eastAsia="Arial" w:hAnsi="Arial"/>
                <w:sz w:val="18"/>
                <w:szCs w:val="18"/>
                <w:color w:val="auto"/>
              </w:rPr>
              <w:t>215</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Other comprehensive income (loss):</w:t>
            </w:r>
          </w:p>
        </w:tc>
        <w:tc>
          <w:tcPr>
            <w:tcW w:w="5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3660" w:type="dxa"/>
            <w:vAlign w:val="bottom"/>
          </w:tcPr>
          <w:p>
            <w:pPr>
              <w:ind w:left="380"/>
              <w:spacing w:after="0"/>
              <w:rPr>
                <w:sz w:val="20"/>
                <w:szCs w:val="20"/>
                <w:color w:val="auto"/>
              </w:rPr>
            </w:pPr>
            <w:r>
              <w:rPr>
                <w:rFonts w:ascii="Arial" w:cs="Arial" w:eastAsia="Arial" w:hAnsi="Arial"/>
                <w:sz w:val="18"/>
                <w:szCs w:val="18"/>
                <w:color w:val="auto"/>
              </w:rPr>
              <w:t>Unrealized loss on available-for-sale</w:t>
            </w:r>
          </w:p>
        </w:tc>
        <w:tc>
          <w:tcPr>
            <w:tcW w:w="5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60" w:type="dxa"/>
            <w:vAlign w:val="bottom"/>
          </w:tcPr>
          <w:p>
            <w:pPr>
              <w:ind w:left="380"/>
              <w:spacing w:after="0"/>
              <w:rPr>
                <w:sz w:val="20"/>
                <w:szCs w:val="20"/>
                <w:color w:val="auto"/>
              </w:rPr>
            </w:pPr>
            <w:r>
              <w:rPr>
                <w:rFonts w:ascii="Arial" w:cs="Arial" w:eastAsia="Arial" w:hAnsi="Arial"/>
                <w:sz w:val="18"/>
                <w:szCs w:val="18"/>
                <w:color w:val="auto"/>
              </w:rPr>
              <w:t>securities, net</w:t>
            </w:r>
          </w:p>
        </w:tc>
        <w:tc>
          <w:tcPr>
            <w:tcW w:w="6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0"/>
                <w:szCs w:val="20"/>
                <w:color w:val="auto"/>
              </w:rPr>
            </w:pPr>
          </w:p>
        </w:tc>
        <w:tc>
          <w:tcPr>
            <w:tcW w:w="400" w:type="dxa"/>
            <w:vAlign w:val="bottom"/>
            <w:gridSpan w:val="2"/>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0"/>
                <w:szCs w:val="20"/>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9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(597)</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(597)</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3660" w:type="dxa"/>
            <w:vAlign w:val="bottom"/>
            <w:shd w:val="clear" w:color="auto" w:fill="CCEEFF"/>
          </w:tcPr>
          <w:p>
            <w:pPr>
              <w:ind w:left="380"/>
              <w:spacing w:after="0"/>
              <w:rPr>
                <w:sz w:val="20"/>
                <w:szCs w:val="20"/>
                <w:color w:val="auto"/>
              </w:rPr>
            </w:pPr>
            <w:r>
              <w:rPr>
                <w:rFonts w:ascii="Arial" w:cs="Arial" w:eastAsia="Arial" w:hAnsi="Arial"/>
                <w:sz w:val="18"/>
                <w:szCs w:val="18"/>
                <w:color w:val="auto"/>
                <w:w w:val="97"/>
              </w:rPr>
              <w:t>Unrealized gain on derivative instruments,</w:t>
            </w:r>
          </w:p>
        </w:tc>
        <w:tc>
          <w:tcPr>
            <w:tcW w:w="5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36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net</w:t>
            </w:r>
          </w:p>
        </w:tc>
        <w:tc>
          <w:tcPr>
            <w:tcW w:w="6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5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101</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101</w:t>
            </w:r>
          </w:p>
        </w:tc>
        <w:tc>
          <w:tcPr>
            <w:tcW w:w="0" w:type="dxa"/>
            <w:vAlign w:val="bottom"/>
          </w:tcPr>
          <w:p>
            <w:pPr>
              <w:spacing w:after="0"/>
              <w:rPr>
                <w:sz w:val="1"/>
                <w:szCs w:val="1"/>
                <w:color w:val="auto"/>
              </w:rPr>
            </w:pPr>
          </w:p>
        </w:tc>
      </w:tr>
      <w:tr>
        <w:trPr>
          <w:trHeight w:val="243"/>
        </w:trPr>
        <w:tc>
          <w:tcPr>
            <w:tcW w:w="3660" w:type="dxa"/>
            <w:vAlign w:val="bottom"/>
          </w:tcPr>
          <w:p>
            <w:pPr>
              <w:ind w:left="540"/>
              <w:spacing w:after="0"/>
              <w:rPr>
                <w:sz w:val="20"/>
                <w:szCs w:val="20"/>
                <w:color w:val="auto"/>
              </w:rPr>
            </w:pPr>
            <w:r>
              <w:rPr>
                <w:rFonts w:ascii="Arial" w:cs="Arial" w:eastAsia="Arial" w:hAnsi="Arial"/>
                <w:sz w:val="18"/>
                <w:szCs w:val="18"/>
                <w:color w:val="auto"/>
              </w:rPr>
              <w:t>Repurchase of common stock</w:t>
            </w:r>
          </w:p>
        </w:tc>
        <w:tc>
          <w:tcPr>
            <w:tcW w:w="6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(15.3)</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w w:val="99"/>
              </w:rPr>
              <w:t>(1)</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(284)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(285)</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6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Preferred dividends declared</w:t>
            </w:r>
          </w:p>
        </w:tc>
        <w:tc>
          <w:tcPr>
            <w:tcW w:w="6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(28)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243"/>
        </w:trPr>
        <w:tc>
          <w:tcPr>
            <w:tcW w:w="3660" w:type="dxa"/>
            <w:vAlign w:val="bottom"/>
          </w:tcPr>
          <w:p>
            <w:pPr>
              <w:ind w:left="540"/>
              <w:spacing w:after="0"/>
              <w:rPr>
                <w:sz w:val="20"/>
                <w:szCs w:val="20"/>
                <w:color w:val="auto"/>
              </w:rPr>
            </w:pPr>
            <w:r>
              <w:rPr>
                <w:rFonts w:ascii="Arial" w:cs="Arial" w:eastAsia="Arial" w:hAnsi="Arial"/>
                <w:sz w:val="18"/>
                <w:szCs w:val="18"/>
                <w:color w:val="auto"/>
              </w:rPr>
              <w:t>Common dividends declared</w:t>
            </w:r>
          </w:p>
        </w:tc>
        <w:tc>
          <w:tcPr>
            <w:tcW w:w="6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400" w:type="dxa"/>
            <w:vAlign w:val="bottom"/>
            <w:gridSpan w:val="2"/>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1"/>
                <w:szCs w:val="21"/>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860" w:type="dxa"/>
            <w:vAlign w:val="bottom"/>
          </w:tcPr>
          <w:p>
            <w:pPr>
              <w:jc w:val="right"/>
              <w:ind w:right="92"/>
              <w:spacing w:after="0"/>
              <w:rPr>
                <w:sz w:val="20"/>
                <w:szCs w:val="20"/>
                <w:color w:val="auto"/>
              </w:rPr>
            </w:pPr>
            <w:r>
              <w:rPr>
                <w:rFonts w:ascii="Arial" w:cs="Arial" w:eastAsia="Arial" w:hAnsi="Arial"/>
                <w:sz w:val="18"/>
                <w:szCs w:val="18"/>
                <w:color w:val="auto"/>
              </w:rPr>
              <w:t>(863)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(863)</w:t>
            </w:r>
          </w:p>
        </w:tc>
        <w:tc>
          <w:tcPr>
            <w:tcW w:w="0" w:type="dxa"/>
            <w:vAlign w:val="bottom"/>
          </w:tcPr>
          <w:p>
            <w:pPr>
              <w:spacing w:after="0"/>
              <w:rPr>
                <w:sz w:val="1"/>
                <w:szCs w:val="1"/>
                <w:color w:val="auto"/>
              </w:rPr>
            </w:pPr>
          </w:p>
        </w:tc>
      </w:tr>
      <w:tr>
        <w:trPr>
          <w:trHeight w:val="27"/>
        </w:trPr>
        <w:tc>
          <w:tcPr>
            <w:tcW w:w="366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3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December 31, 2015</w:t>
            </w:r>
          </w:p>
        </w:tc>
        <w:tc>
          <w:tcPr>
            <w:tcW w:w="54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6.9</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4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336</w:t>
            </w:r>
          </w:p>
        </w:tc>
        <w:tc>
          <w:tcPr>
            <w:tcW w:w="10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337.5</w:t>
            </w:r>
          </w:p>
        </w:tc>
        <w:tc>
          <w:tcPr>
            <w:tcW w:w="12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96"/>
              <w:spacing w:after="0"/>
              <w:rPr>
                <w:sz w:val="20"/>
                <w:szCs w:val="20"/>
                <w:color w:val="auto"/>
              </w:rPr>
            </w:pPr>
            <w:r>
              <w:rPr>
                <w:rFonts w:ascii="Arial" w:cs="Arial" w:eastAsia="Arial" w:hAnsi="Arial"/>
                <w:sz w:val="18"/>
                <w:szCs w:val="18"/>
                <w:color w:val="auto"/>
                <w:w w:val="79"/>
              </w:rPr>
              <w:t>$</w:t>
            </w:r>
          </w:p>
        </w:tc>
        <w:tc>
          <w:tcPr>
            <w:tcW w:w="2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w:t>
            </w:r>
          </w:p>
        </w:tc>
        <w:tc>
          <w:tcPr>
            <w:tcW w:w="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10,048</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auto"/>
            </w:tcBorders>
            <w:shd w:val="clear" w:color="auto" w:fill="CCEEFF"/>
          </w:tcPr>
          <w:p>
            <w:pPr>
              <w:jc w:val="right"/>
              <w:ind w:right="92"/>
              <w:spacing w:after="0"/>
              <w:rPr>
                <w:sz w:val="20"/>
                <w:szCs w:val="20"/>
                <w:color w:val="auto"/>
              </w:rPr>
            </w:pPr>
            <w:r>
              <w:rPr>
                <w:rFonts w:ascii="Arial" w:cs="Arial" w:eastAsia="Arial" w:hAnsi="Arial"/>
                <w:sz w:val="18"/>
                <w:szCs w:val="18"/>
                <w:color w:val="auto"/>
              </w:rPr>
              <w:t>(2,350)</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1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7,971</w:t>
            </w:r>
          </w:p>
        </w:tc>
        <w:tc>
          <w:tcPr>
            <w:tcW w:w="0" w:type="dxa"/>
            <w:vAlign w:val="bottom"/>
          </w:tcPr>
          <w:p>
            <w:pPr>
              <w:spacing w:after="0"/>
              <w:rPr>
                <w:sz w:val="1"/>
                <w:szCs w:val="1"/>
                <w:color w:val="auto"/>
              </w:rPr>
            </w:pPr>
          </w:p>
        </w:tc>
      </w:tr>
      <w:tr>
        <w:trPr>
          <w:trHeight w:val="20"/>
        </w:trPr>
        <w:tc>
          <w:tcPr>
            <w:tcW w:w="366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77</w:t>
      </w:r>
    </w:p>
    <w:p>
      <w:pPr>
        <w:sectPr>
          <w:pgSz w:w="11900" w:h="16838" w:orient="portrait"/>
          <w:cols w:equalWidth="0" w:num="1">
            <w:col w:w="11400"/>
          </w:cols>
          <w:pgMar w:left="240" w:top="121" w:right="259" w:bottom="1440" w:gutter="0" w:footer="0" w:header="0"/>
        </w:sectPr>
      </w:pPr>
    </w:p>
    <w:bookmarkStart w:id="78" w:name="page79"/>
    <w:bookmarkEnd w:id="78"/>
    <w:p>
      <w:pPr>
        <w:jc w:val="center"/>
        <w:ind w:right="20"/>
        <w:spacing w:after="0"/>
        <w:rPr>
          <w:sz w:val="20"/>
          <w:szCs w:val="20"/>
          <w:color w:val="auto"/>
        </w:rPr>
      </w:pPr>
      <w:r>
        <w:rPr>
          <w:rFonts w:ascii="Arial" w:cs="Arial" w:eastAsia="Arial" w:hAnsi="Arial"/>
          <w:sz w:val="18"/>
          <w:szCs w:val="18"/>
          <w:b w:val="1"/>
          <w:bCs w:val="1"/>
          <w:color w:val="auto"/>
        </w:rPr>
        <w:t>AMERICAN CAPITAL AGENCY CORP.</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ind w:right="60"/>
        <w:spacing w:after="0"/>
        <w:rPr>
          <w:sz w:val="20"/>
          <w:szCs w:val="20"/>
          <w:color w:val="auto"/>
        </w:rPr>
      </w:pPr>
      <w:r>
        <w:rPr>
          <w:rFonts w:ascii="Arial" w:cs="Arial" w:eastAsia="Arial" w:hAnsi="Arial"/>
          <w:sz w:val="18"/>
          <w:szCs w:val="18"/>
          <w:b w:val="1"/>
          <w:bCs w:val="1"/>
          <w:color w:val="auto"/>
        </w:rPr>
        <w:t>(in millions)</w:t>
      </w:r>
    </w:p>
    <w:p>
      <w:pPr>
        <w:spacing w:after="0" w:line="378"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73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840" w:type="dxa"/>
            <w:vAlign w:val="bottom"/>
            <w:gridSpan w:val="6"/>
          </w:tcPr>
          <w:p>
            <w:pPr>
              <w:jc w:val="right"/>
              <w:spacing w:after="0"/>
              <w:rPr>
                <w:sz w:val="20"/>
                <w:szCs w:val="20"/>
                <w:color w:val="auto"/>
              </w:rPr>
            </w:pPr>
            <w:r>
              <w:rPr>
                <w:rFonts w:ascii="Arial" w:cs="Arial" w:eastAsia="Arial" w:hAnsi="Arial"/>
                <w:sz w:val="16"/>
                <w:szCs w:val="16"/>
                <w:b w:val="1"/>
                <w:bCs w:val="1"/>
                <w:color w:val="auto"/>
              </w:rPr>
              <w:t>For the year ended December 31,</w:t>
            </w:r>
          </w:p>
        </w:tc>
        <w:tc>
          <w:tcPr>
            <w:tcW w:w="820" w:type="dxa"/>
            <w:vAlign w:val="bottom"/>
          </w:tcPr>
          <w:p>
            <w:pPr>
              <w:spacing w:after="0"/>
              <w:rPr>
                <w:sz w:val="17"/>
                <w:szCs w:val="17"/>
                <w:color w:val="auto"/>
              </w:rPr>
            </w:pPr>
          </w:p>
        </w:tc>
      </w:tr>
      <w:tr>
        <w:trPr>
          <w:trHeight w:val="22"/>
        </w:trPr>
        <w:tc>
          <w:tcPr>
            <w:tcW w:w="73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r>
        <w:trPr>
          <w:trHeight w:val="242"/>
        </w:trPr>
        <w:tc>
          <w:tcPr>
            <w:tcW w:w="73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401"/>
              <w:spacing w:after="0"/>
              <w:rPr>
                <w:sz w:val="20"/>
                <w:szCs w:val="20"/>
                <w:color w:val="auto"/>
              </w:rPr>
            </w:pPr>
            <w:r>
              <w:rPr>
                <w:rFonts w:ascii="Arial" w:cs="Arial" w:eastAsia="Arial" w:hAnsi="Arial"/>
                <w:sz w:val="16"/>
                <w:szCs w:val="16"/>
                <w:b w:val="1"/>
                <w:bCs w:val="1"/>
                <w:color w:val="auto"/>
              </w:rPr>
              <w:t>2015</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381"/>
              <w:spacing w:after="0"/>
              <w:rPr>
                <w:sz w:val="20"/>
                <w:szCs w:val="20"/>
                <w:color w:val="auto"/>
              </w:rPr>
            </w:pPr>
            <w:r>
              <w:rPr>
                <w:rFonts w:ascii="Arial" w:cs="Arial" w:eastAsia="Arial" w:hAnsi="Arial"/>
                <w:sz w:val="16"/>
                <w:szCs w:val="16"/>
                <w:b w:val="1"/>
                <w:bCs w:val="1"/>
                <w:color w:val="auto"/>
              </w:rPr>
              <w:t>2014</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ind w:right="381"/>
              <w:spacing w:after="0"/>
              <w:rPr>
                <w:sz w:val="20"/>
                <w:szCs w:val="20"/>
                <w:color w:val="auto"/>
              </w:rPr>
            </w:pPr>
            <w:r>
              <w:rPr>
                <w:rFonts w:ascii="Arial" w:cs="Arial" w:eastAsia="Arial" w:hAnsi="Arial"/>
                <w:sz w:val="16"/>
                <w:szCs w:val="16"/>
                <w:b w:val="1"/>
                <w:bCs w:val="1"/>
                <w:color w:val="auto"/>
                <w:w w:val="95"/>
              </w:rPr>
              <w:t>2013</w:t>
            </w:r>
          </w:p>
        </w:tc>
      </w:tr>
      <w:tr>
        <w:trPr>
          <w:trHeight w:val="22"/>
        </w:trPr>
        <w:tc>
          <w:tcPr>
            <w:tcW w:w="732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r>
        <w:trPr>
          <w:trHeight w:val="244"/>
        </w:trPr>
        <w:tc>
          <w:tcPr>
            <w:tcW w:w="7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Operating activities:</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r>
      <w:tr>
        <w:trPr>
          <w:trHeight w:val="249"/>
        </w:trPr>
        <w:tc>
          <w:tcPr>
            <w:tcW w:w="7320" w:type="dxa"/>
            <w:vAlign w:val="bottom"/>
          </w:tcPr>
          <w:p>
            <w:pPr>
              <w:ind w:left="20"/>
              <w:spacing w:after="0"/>
              <w:rPr>
                <w:sz w:val="20"/>
                <w:szCs w:val="20"/>
                <w:color w:val="auto"/>
              </w:rPr>
            </w:pPr>
            <w:r>
              <w:rPr>
                <w:rFonts w:ascii="Arial" w:cs="Arial" w:eastAsia="Arial" w:hAnsi="Arial"/>
                <w:sz w:val="16"/>
                <w:szCs w:val="16"/>
                <w:color w:val="auto"/>
              </w:rPr>
              <w:t>Net income (loss)</w:t>
            </w:r>
          </w:p>
        </w:tc>
        <w:tc>
          <w:tcPr>
            <w:tcW w:w="300" w:type="dxa"/>
            <w:vAlign w:val="bottom"/>
          </w:tcPr>
          <w:p>
            <w:pPr>
              <w:jc w:val="right"/>
              <w:ind w:right="101"/>
              <w:spacing w:after="0"/>
              <w:rPr>
                <w:sz w:val="20"/>
                <w:szCs w:val="20"/>
                <w:color w:val="auto"/>
              </w:rPr>
            </w:pPr>
            <w:r>
              <w:rPr>
                <w:rFonts w:ascii="Arial" w:cs="Arial" w:eastAsia="Arial" w:hAnsi="Arial"/>
                <w:sz w:val="16"/>
                <w:szCs w:val="16"/>
                <w:color w:val="auto"/>
              </w:rPr>
              <w:t>$</w:t>
            </w:r>
          </w:p>
        </w:tc>
        <w:tc>
          <w:tcPr>
            <w:tcW w:w="980" w:type="dxa"/>
            <w:vAlign w:val="bottom"/>
          </w:tcPr>
          <w:p>
            <w:pPr>
              <w:jc w:val="right"/>
              <w:ind w:right="41"/>
              <w:spacing w:after="0"/>
              <w:rPr>
                <w:sz w:val="20"/>
                <w:szCs w:val="20"/>
                <w:color w:val="auto"/>
              </w:rPr>
            </w:pPr>
            <w:r>
              <w:rPr>
                <w:rFonts w:ascii="Arial" w:cs="Arial" w:eastAsia="Arial" w:hAnsi="Arial"/>
                <w:sz w:val="16"/>
                <w:szCs w:val="16"/>
                <w:color w:val="auto"/>
              </w:rPr>
              <w:t>215</w:t>
            </w:r>
          </w:p>
        </w:tc>
        <w:tc>
          <w:tcPr>
            <w:tcW w:w="100" w:type="dxa"/>
            <w:vAlign w:val="bottom"/>
          </w:tcPr>
          <w:p>
            <w:pPr>
              <w:spacing w:after="0"/>
              <w:rPr>
                <w:sz w:val="21"/>
                <w:szCs w:val="21"/>
                <w:color w:val="auto"/>
              </w:rPr>
            </w:pPr>
          </w:p>
        </w:tc>
        <w:tc>
          <w:tcPr>
            <w:tcW w:w="280" w:type="dxa"/>
            <w:vAlign w:val="bottom"/>
          </w:tcPr>
          <w:p>
            <w:pPr>
              <w:jc w:val="right"/>
              <w:ind w:right="81"/>
              <w:spacing w:after="0"/>
              <w:rPr>
                <w:sz w:val="20"/>
                <w:szCs w:val="20"/>
                <w:color w:val="auto"/>
              </w:rPr>
            </w:pPr>
            <w:r>
              <w:rPr>
                <w:rFonts w:ascii="Arial" w:cs="Arial" w:eastAsia="Arial" w:hAnsi="Arial"/>
                <w:sz w:val="16"/>
                <w:szCs w:val="16"/>
                <w:color w:val="auto"/>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(233)</w:t>
            </w:r>
          </w:p>
        </w:tc>
        <w:tc>
          <w:tcPr>
            <w:tcW w:w="100" w:type="dxa"/>
            <w:vAlign w:val="bottom"/>
          </w:tcPr>
          <w:p>
            <w:pPr>
              <w:spacing w:after="0"/>
              <w:rPr>
                <w:sz w:val="21"/>
                <w:szCs w:val="21"/>
                <w:color w:val="auto"/>
              </w:rPr>
            </w:pPr>
          </w:p>
        </w:tc>
        <w:tc>
          <w:tcPr>
            <w:tcW w:w="420" w:type="dxa"/>
            <w:vAlign w:val="bottom"/>
          </w:tcPr>
          <w:p>
            <w:pPr>
              <w:jc w:val="right"/>
              <w:ind w:right="241"/>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ind w:right="41"/>
              <w:spacing w:after="0"/>
              <w:rPr>
                <w:sz w:val="20"/>
                <w:szCs w:val="20"/>
                <w:color w:val="auto"/>
              </w:rPr>
            </w:pPr>
            <w:r>
              <w:rPr>
                <w:rFonts w:ascii="Arial" w:cs="Arial" w:eastAsia="Arial" w:hAnsi="Arial"/>
                <w:sz w:val="16"/>
                <w:szCs w:val="16"/>
                <w:color w:val="auto"/>
              </w:rPr>
              <w:t>1,259</w:t>
            </w:r>
          </w:p>
        </w:tc>
      </w:tr>
      <w:tr>
        <w:trPr>
          <w:trHeight w:val="22"/>
        </w:trPr>
        <w:tc>
          <w:tcPr>
            <w:tcW w:w="7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50"/>
        </w:trPr>
        <w:tc>
          <w:tcPr>
            <w:tcW w:w="7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Adjustments to reconcile net income (loss) to net cash provided by operating activities:</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r>
      <w:tr>
        <w:trPr>
          <w:trHeight w:val="249"/>
        </w:trPr>
        <w:tc>
          <w:tcPr>
            <w:tcW w:w="7320" w:type="dxa"/>
            <w:vAlign w:val="bottom"/>
          </w:tcPr>
          <w:p>
            <w:pPr>
              <w:ind w:left="380"/>
              <w:spacing w:after="0"/>
              <w:rPr>
                <w:sz w:val="20"/>
                <w:szCs w:val="20"/>
                <w:color w:val="auto"/>
              </w:rPr>
            </w:pPr>
            <w:r>
              <w:rPr>
                <w:rFonts w:ascii="Arial" w:cs="Arial" w:eastAsia="Arial" w:hAnsi="Arial"/>
                <w:sz w:val="16"/>
                <w:szCs w:val="16"/>
                <w:color w:val="auto"/>
              </w:rPr>
              <w:t>Amortization of premiums and discounts on securities, net</w:t>
            </w:r>
          </w:p>
        </w:tc>
        <w:tc>
          <w:tcPr>
            <w:tcW w:w="300" w:type="dxa"/>
            <w:vAlign w:val="bottom"/>
          </w:tcPr>
          <w:p>
            <w:pPr>
              <w:spacing w:after="0"/>
              <w:rPr>
                <w:sz w:val="21"/>
                <w:szCs w:val="21"/>
                <w:color w:val="auto"/>
              </w:rPr>
            </w:pPr>
          </w:p>
        </w:tc>
        <w:tc>
          <w:tcPr>
            <w:tcW w:w="980" w:type="dxa"/>
            <w:vAlign w:val="bottom"/>
          </w:tcPr>
          <w:p>
            <w:pPr>
              <w:jc w:val="right"/>
              <w:ind w:right="41"/>
              <w:spacing w:after="0"/>
              <w:rPr>
                <w:sz w:val="20"/>
                <w:szCs w:val="20"/>
                <w:color w:val="auto"/>
              </w:rPr>
            </w:pPr>
            <w:r>
              <w:rPr>
                <w:rFonts w:ascii="Arial" w:cs="Arial" w:eastAsia="Arial" w:hAnsi="Arial"/>
                <w:sz w:val="16"/>
                <w:szCs w:val="16"/>
                <w:color w:val="auto"/>
              </w:rPr>
              <w:t>408</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41"/>
              <w:spacing w:after="0"/>
              <w:rPr>
                <w:sz w:val="20"/>
                <w:szCs w:val="20"/>
                <w:color w:val="auto"/>
              </w:rPr>
            </w:pPr>
            <w:r>
              <w:rPr>
                <w:rFonts w:ascii="Arial" w:cs="Arial" w:eastAsia="Arial" w:hAnsi="Arial"/>
                <w:sz w:val="16"/>
                <w:szCs w:val="16"/>
                <w:color w:val="auto"/>
              </w:rPr>
              <w:t>472</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ind w:right="41"/>
              <w:spacing w:after="0"/>
              <w:rPr>
                <w:sz w:val="20"/>
                <w:szCs w:val="20"/>
                <w:color w:val="auto"/>
              </w:rPr>
            </w:pPr>
            <w:r>
              <w:rPr>
                <w:rFonts w:ascii="Arial" w:cs="Arial" w:eastAsia="Arial" w:hAnsi="Arial"/>
                <w:sz w:val="16"/>
                <w:szCs w:val="16"/>
                <w:color w:val="auto"/>
              </w:rPr>
              <w:t>517</w:t>
            </w:r>
          </w:p>
        </w:tc>
      </w:tr>
      <w:tr>
        <w:trPr>
          <w:trHeight w:val="22"/>
        </w:trPr>
        <w:tc>
          <w:tcPr>
            <w:tcW w:w="7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183"/>
        </w:trPr>
        <w:tc>
          <w:tcPr>
            <w:tcW w:w="7320" w:type="dxa"/>
            <w:vAlign w:val="bottom"/>
            <w:shd w:val="clear" w:color="auto" w:fill="CCEEFF"/>
          </w:tcPr>
          <w:p>
            <w:pPr>
              <w:ind w:left="380"/>
              <w:spacing w:after="0"/>
              <w:rPr>
                <w:sz w:val="20"/>
                <w:szCs w:val="20"/>
                <w:color w:val="auto"/>
              </w:rPr>
            </w:pPr>
            <w:r>
              <w:rPr>
                <w:rFonts w:ascii="Arial" w:cs="Arial" w:eastAsia="Arial" w:hAnsi="Arial"/>
                <w:sz w:val="16"/>
                <w:szCs w:val="16"/>
                <w:color w:val="auto"/>
                <w:w w:val="92"/>
              </w:rPr>
              <w:t>Amortization of accumulated other comprehensive loss on interest rate swaps de-designated as qualifying</w:t>
            </w:r>
          </w:p>
        </w:tc>
        <w:tc>
          <w:tcPr>
            <w:tcW w:w="300" w:type="dxa"/>
            <w:vAlign w:val="bottom"/>
            <w:shd w:val="clear" w:color="auto" w:fill="CCEEFF"/>
          </w:tcPr>
          <w:p>
            <w:pPr>
              <w:spacing w:after="0"/>
              <w:rPr>
                <w:sz w:val="15"/>
                <w:szCs w:val="15"/>
                <w:color w:val="auto"/>
              </w:rPr>
            </w:pPr>
          </w:p>
        </w:tc>
        <w:tc>
          <w:tcPr>
            <w:tcW w:w="9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420" w:type="dxa"/>
            <w:vAlign w:val="bottom"/>
            <w:shd w:val="clear" w:color="auto" w:fill="CCEEFF"/>
          </w:tcPr>
          <w:p>
            <w:pPr>
              <w:spacing w:after="0"/>
              <w:rPr>
                <w:sz w:val="15"/>
                <w:szCs w:val="15"/>
                <w:color w:val="auto"/>
              </w:rPr>
            </w:pPr>
          </w:p>
        </w:tc>
        <w:tc>
          <w:tcPr>
            <w:tcW w:w="820" w:type="dxa"/>
            <w:vAlign w:val="bottom"/>
            <w:shd w:val="clear" w:color="auto" w:fill="CCEEFF"/>
          </w:tcPr>
          <w:p>
            <w:pPr>
              <w:spacing w:after="0"/>
              <w:rPr>
                <w:sz w:val="15"/>
                <w:szCs w:val="15"/>
                <w:color w:val="auto"/>
              </w:rPr>
            </w:pPr>
          </w:p>
        </w:tc>
      </w:tr>
      <w:tr>
        <w:trPr>
          <w:trHeight w:val="202"/>
        </w:trPr>
        <w:tc>
          <w:tcPr>
            <w:tcW w:w="73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hedges</w:t>
            </w:r>
          </w:p>
        </w:tc>
        <w:tc>
          <w:tcPr>
            <w:tcW w:w="300" w:type="dxa"/>
            <w:vAlign w:val="bottom"/>
            <w:tcBorders>
              <w:bottom w:val="single" w:sz="8" w:color="CCEEFF"/>
            </w:tcBorders>
            <w:shd w:val="clear" w:color="auto" w:fill="CCEEFF"/>
          </w:tcPr>
          <w:p>
            <w:pPr>
              <w:spacing w:after="0"/>
              <w:rPr>
                <w:sz w:val="17"/>
                <w:szCs w:val="17"/>
                <w:color w:val="auto"/>
              </w:rPr>
            </w:pPr>
          </w:p>
        </w:tc>
        <w:tc>
          <w:tcPr>
            <w:tcW w:w="9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101</w:t>
            </w:r>
          </w:p>
        </w:tc>
        <w:tc>
          <w:tcPr>
            <w:tcW w:w="100" w:type="dxa"/>
            <w:vAlign w:val="bottom"/>
            <w:tcBorders>
              <w:bottom w:val="single" w:sz="8" w:color="CCEEFF"/>
            </w:tcBorders>
            <w:shd w:val="clear" w:color="auto" w:fill="CCEEFF"/>
          </w:tcPr>
          <w:p>
            <w:pPr>
              <w:spacing w:after="0"/>
              <w:rPr>
                <w:sz w:val="17"/>
                <w:szCs w:val="17"/>
                <w:color w:val="auto"/>
              </w:rPr>
            </w:pPr>
          </w:p>
        </w:tc>
        <w:tc>
          <w:tcPr>
            <w:tcW w:w="280" w:type="dxa"/>
            <w:vAlign w:val="bottom"/>
            <w:tcBorders>
              <w:bottom w:val="single" w:sz="8" w:color="CCEEFF"/>
            </w:tcBorders>
            <w:shd w:val="clear" w:color="auto" w:fill="CCEEFF"/>
          </w:tcPr>
          <w:p>
            <w:pPr>
              <w:spacing w:after="0"/>
              <w:rPr>
                <w:sz w:val="17"/>
                <w:szCs w:val="17"/>
                <w:color w:val="auto"/>
              </w:rPr>
            </w:pPr>
          </w:p>
        </w:tc>
        <w:tc>
          <w:tcPr>
            <w:tcW w:w="9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156</w:t>
            </w:r>
          </w:p>
        </w:tc>
        <w:tc>
          <w:tcPr>
            <w:tcW w:w="100" w:type="dxa"/>
            <w:vAlign w:val="bottom"/>
            <w:tcBorders>
              <w:bottom w:val="single" w:sz="8" w:color="CCEEFF"/>
            </w:tcBorders>
            <w:shd w:val="clear" w:color="auto" w:fill="CCEEFF"/>
          </w:tcPr>
          <w:p>
            <w:pPr>
              <w:spacing w:after="0"/>
              <w:rPr>
                <w:sz w:val="17"/>
                <w:szCs w:val="17"/>
                <w:color w:val="auto"/>
              </w:rPr>
            </w:pPr>
          </w:p>
        </w:tc>
        <w:tc>
          <w:tcPr>
            <w:tcW w:w="420" w:type="dxa"/>
            <w:vAlign w:val="bottom"/>
            <w:tcBorders>
              <w:bottom w:val="single" w:sz="8" w:color="CCEEFF"/>
            </w:tcBorders>
            <w:shd w:val="clear" w:color="auto" w:fill="CCEEFF"/>
          </w:tcPr>
          <w:p>
            <w:pPr>
              <w:spacing w:after="0"/>
              <w:rPr>
                <w:sz w:val="17"/>
                <w:szCs w:val="17"/>
                <w:color w:val="auto"/>
              </w:rPr>
            </w:pPr>
          </w:p>
        </w:tc>
        <w:tc>
          <w:tcPr>
            <w:tcW w:w="8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189</w:t>
            </w:r>
          </w:p>
        </w:tc>
      </w:tr>
      <w:tr>
        <w:trPr>
          <w:trHeight w:val="249"/>
        </w:trPr>
        <w:tc>
          <w:tcPr>
            <w:tcW w:w="7320" w:type="dxa"/>
            <w:vAlign w:val="bottom"/>
          </w:tcPr>
          <w:p>
            <w:pPr>
              <w:ind w:left="380"/>
              <w:spacing w:after="0"/>
              <w:rPr>
                <w:sz w:val="20"/>
                <w:szCs w:val="20"/>
                <w:color w:val="auto"/>
              </w:rPr>
            </w:pPr>
            <w:r>
              <w:rPr>
                <w:rFonts w:ascii="Arial" w:cs="Arial" w:eastAsia="Arial" w:hAnsi="Arial"/>
                <w:sz w:val="16"/>
                <w:szCs w:val="16"/>
                <w:color w:val="auto"/>
              </w:rPr>
              <w:t>(Gain) loss on sale of agency securities, net</w:t>
            </w:r>
          </w:p>
        </w:tc>
        <w:tc>
          <w:tcPr>
            <w:tcW w:w="300" w:type="dxa"/>
            <w:vAlign w:val="bottom"/>
          </w:tcPr>
          <w:p>
            <w:pPr>
              <w:spacing w:after="0"/>
              <w:rPr>
                <w:sz w:val="21"/>
                <w:szCs w:val="21"/>
                <w:color w:val="auto"/>
              </w:rPr>
            </w:pPr>
          </w:p>
        </w:tc>
        <w:tc>
          <w:tcPr>
            <w:tcW w:w="980" w:type="dxa"/>
            <w:vAlign w:val="bottom"/>
          </w:tcPr>
          <w:p>
            <w:pPr>
              <w:jc w:val="right"/>
              <w:ind w:right="41"/>
              <w:spacing w:after="0"/>
              <w:rPr>
                <w:sz w:val="20"/>
                <w:szCs w:val="20"/>
                <w:color w:val="auto"/>
              </w:rPr>
            </w:pPr>
            <w:r>
              <w:rPr>
                <w:rFonts w:ascii="Arial" w:cs="Arial" w:eastAsia="Arial" w:hAnsi="Arial"/>
                <w:sz w:val="16"/>
                <w:szCs w:val="16"/>
                <w:color w:val="auto"/>
              </w:rPr>
              <w:t>23</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(51)</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ind w:right="41"/>
              <w:spacing w:after="0"/>
              <w:rPr>
                <w:sz w:val="20"/>
                <w:szCs w:val="20"/>
                <w:color w:val="auto"/>
              </w:rPr>
            </w:pPr>
            <w:r>
              <w:rPr>
                <w:rFonts w:ascii="Arial" w:cs="Arial" w:eastAsia="Arial" w:hAnsi="Arial"/>
                <w:sz w:val="16"/>
                <w:szCs w:val="16"/>
                <w:color w:val="auto"/>
              </w:rPr>
              <w:t>1,408</w:t>
            </w:r>
          </w:p>
        </w:tc>
      </w:tr>
      <w:tr>
        <w:trPr>
          <w:trHeight w:val="22"/>
        </w:trPr>
        <w:tc>
          <w:tcPr>
            <w:tcW w:w="7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50"/>
        </w:trPr>
        <w:tc>
          <w:tcPr>
            <w:tcW w:w="73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(Gain) loss on derivative instruments and other securities, net</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759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1,243</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(1,191)</w:t>
            </w:r>
          </w:p>
        </w:tc>
      </w:tr>
      <w:tr>
        <w:trPr>
          <w:trHeight w:val="249"/>
        </w:trPr>
        <w:tc>
          <w:tcPr>
            <w:tcW w:w="7320" w:type="dxa"/>
            <w:vAlign w:val="bottom"/>
          </w:tcPr>
          <w:p>
            <w:pPr>
              <w:ind w:left="380"/>
              <w:spacing w:after="0"/>
              <w:rPr>
                <w:sz w:val="20"/>
                <w:szCs w:val="20"/>
                <w:color w:val="auto"/>
              </w:rPr>
            </w:pPr>
            <w:r>
              <w:rPr>
                <w:rFonts w:ascii="Arial" w:cs="Arial" w:eastAsia="Arial" w:hAnsi="Arial"/>
                <w:sz w:val="16"/>
                <w:szCs w:val="16"/>
                <w:color w:val="auto"/>
              </w:rPr>
              <w:t>(Increase) decrease in other assets</w:t>
            </w:r>
          </w:p>
        </w:tc>
        <w:tc>
          <w:tcPr>
            <w:tcW w:w="300" w:type="dxa"/>
            <w:vAlign w:val="bottom"/>
          </w:tcPr>
          <w:p>
            <w:pPr>
              <w:spacing w:after="0"/>
              <w:rPr>
                <w:sz w:val="21"/>
                <w:szCs w:val="21"/>
                <w:color w:val="auto"/>
              </w:rPr>
            </w:pPr>
          </w:p>
        </w:tc>
        <w:tc>
          <w:tcPr>
            <w:tcW w:w="980" w:type="dxa"/>
            <w:vAlign w:val="bottom"/>
          </w:tcPr>
          <w:p>
            <w:pPr>
              <w:jc w:val="right"/>
              <w:ind w:right="1"/>
              <w:spacing w:after="0"/>
              <w:rPr>
                <w:sz w:val="20"/>
                <w:szCs w:val="20"/>
                <w:color w:val="auto"/>
              </w:rPr>
            </w:pPr>
            <w:r>
              <w:rPr>
                <w:rFonts w:ascii="Arial" w:cs="Arial" w:eastAsia="Arial" w:hAnsi="Arial"/>
                <w:sz w:val="16"/>
                <w:szCs w:val="16"/>
                <w:color w:val="auto"/>
              </w:rPr>
              <w:t>(83)</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41"/>
              <w:spacing w:after="0"/>
              <w:rPr>
                <w:sz w:val="20"/>
                <w:szCs w:val="20"/>
                <w:color w:val="auto"/>
              </w:rPr>
            </w:pPr>
            <w:r>
              <w:rPr>
                <w:rFonts w:ascii="Arial" w:cs="Arial" w:eastAsia="Arial" w:hAnsi="Arial"/>
                <w:sz w:val="16"/>
                <w:szCs w:val="16"/>
                <w:color w:val="auto"/>
              </w:rPr>
              <w:t>55</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(24)</w:t>
            </w:r>
          </w:p>
        </w:tc>
      </w:tr>
      <w:tr>
        <w:trPr>
          <w:trHeight w:val="22"/>
        </w:trPr>
        <w:tc>
          <w:tcPr>
            <w:tcW w:w="7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50"/>
        </w:trPr>
        <w:tc>
          <w:tcPr>
            <w:tcW w:w="73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Increase (decrease) in accounts payable and other accrued liabilities</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325</w:t>
            </w:r>
          </w:p>
        </w:tc>
      </w:tr>
      <w:tr>
        <w:trPr>
          <w:trHeight w:val="249"/>
        </w:trPr>
        <w:tc>
          <w:tcPr>
            <w:tcW w:w="7320" w:type="dxa"/>
            <w:vAlign w:val="bottom"/>
          </w:tcPr>
          <w:p>
            <w:pPr>
              <w:ind w:left="380"/>
              <w:spacing w:after="0"/>
              <w:rPr>
                <w:sz w:val="20"/>
                <w:szCs w:val="20"/>
                <w:color w:val="auto"/>
              </w:rPr>
            </w:pPr>
            <w:r>
              <w:rPr>
                <w:rFonts w:ascii="Arial" w:cs="Arial" w:eastAsia="Arial" w:hAnsi="Arial"/>
                <w:sz w:val="16"/>
                <w:szCs w:val="16"/>
                <w:color w:val="auto"/>
              </w:rPr>
              <w:t>Accretion of discounts on debt of consolidated variable interest entities</w:t>
            </w:r>
          </w:p>
        </w:tc>
        <w:tc>
          <w:tcPr>
            <w:tcW w:w="300" w:type="dxa"/>
            <w:vAlign w:val="bottom"/>
          </w:tcPr>
          <w:p>
            <w:pPr>
              <w:spacing w:after="0"/>
              <w:rPr>
                <w:sz w:val="21"/>
                <w:szCs w:val="21"/>
                <w:color w:val="auto"/>
              </w:rPr>
            </w:pPr>
          </w:p>
        </w:tc>
        <w:tc>
          <w:tcPr>
            <w:tcW w:w="980" w:type="dxa"/>
            <w:vAlign w:val="bottom"/>
          </w:tcPr>
          <w:p>
            <w:pPr>
              <w:jc w:val="right"/>
              <w:ind w:right="41"/>
              <w:spacing w:after="0"/>
              <w:rPr>
                <w:sz w:val="20"/>
                <w:szCs w:val="20"/>
                <w:color w:val="auto"/>
              </w:rPr>
            </w:pPr>
            <w:r>
              <w:rPr>
                <w:rFonts w:ascii="Arial" w:cs="Arial" w:eastAsia="Arial" w:hAnsi="Arial"/>
                <w:sz w:val="16"/>
                <w:szCs w:val="16"/>
                <w:color w:val="auto"/>
              </w:rPr>
              <w:t>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(2)</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ind w:right="41"/>
              <w:spacing w:after="0"/>
              <w:rPr>
                <w:sz w:val="20"/>
                <w:szCs w:val="20"/>
                <w:color w:val="auto"/>
              </w:rPr>
            </w:pPr>
            <w:r>
              <w:rPr>
                <w:rFonts w:ascii="Arial" w:cs="Arial" w:eastAsia="Arial" w:hAnsi="Arial"/>
                <w:sz w:val="16"/>
                <w:szCs w:val="16"/>
                <w:color w:val="auto"/>
              </w:rPr>
              <w:t>18</w:t>
            </w:r>
          </w:p>
        </w:tc>
      </w:tr>
      <w:tr>
        <w:trPr>
          <w:trHeight w:val="22"/>
        </w:trPr>
        <w:tc>
          <w:tcPr>
            <w:tcW w:w="732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r>
        <w:trPr>
          <w:trHeight w:val="250"/>
        </w:trPr>
        <w:tc>
          <w:tcPr>
            <w:tcW w:w="7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Net cash provided by operating activities</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1,428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1,622</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2,501</w:t>
            </w:r>
          </w:p>
        </w:tc>
      </w:tr>
      <w:tr>
        <w:trPr>
          <w:trHeight w:val="242"/>
        </w:trPr>
        <w:tc>
          <w:tcPr>
            <w:tcW w:w="7320" w:type="dxa"/>
            <w:vAlign w:val="bottom"/>
          </w:tcPr>
          <w:p>
            <w:pPr>
              <w:ind w:left="20"/>
              <w:spacing w:after="0"/>
              <w:rPr>
                <w:sz w:val="20"/>
                <w:szCs w:val="20"/>
                <w:color w:val="auto"/>
              </w:rPr>
            </w:pPr>
            <w:r>
              <w:rPr>
                <w:rFonts w:ascii="Arial" w:cs="Arial" w:eastAsia="Arial" w:hAnsi="Arial"/>
                <w:sz w:val="16"/>
                <w:szCs w:val="16"/>
                <w:b w:val="1"/>
                <w:bCs w:val="1"/>
                <w:color w:val="auto"/>
              </w:rPr>
              <w:t>Investing activities:</w:t>
            </w:r>
          </w:p>
        </w:tc>
        <w:tc>
          <w:tcPr>
            <w:tcW w:w="300" w:type="dxa"/>
            <w:vAlign w:val="bottom"/>
            <w:tcBorders>
              <w:top w:val="single" w:sz="8" w:color="auto"/>
            </w:tcBorders>
          </w:tcPr>
          <w:p>
            <w:pPr>
              <w:spacing w:after="0"/>
              <w:rPr>
                <w:sz w:val="21"/>
                <w:szCs w:val="21"/>
                <w:color w:val="auto"/>
              </w:rPr>
            </w:pPr>
          </w:p>
        </w:tc>
        <w:tc>
          <w:tcPr>
            <w:tcW w:w="980" w:type="dxa"/>
            <w:vAlign w:val="bottom"/>
            <w:tcBorders>
              <w:top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Borders>
              <w:top w:val="single" w:sz="8" w:color="auto"/>
            </w:tcBorders>
          </w:tcPr>
          <w:p>
            <w:pPr>
              <w:spacing w:after="0"/>
              <w:rPr>
                <w:sz w:val="21"/>
                <w:szCs w:val="21"/>
                <w:color w:val="auto"/>
              </w:rPr>
            </w:pPr>
          </w:p>
        </w:tc>
        <w:tc>
          <w:tcPr>
            <w:tcW w:w="960" w:type="dxa"/>
            <w:vAlign w:val="bottom"/>
            <w:tcBorders>
              <w:top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420" w:type="dxa"/>
            <w:vAlign w:val="bottom"/>
            <w:tcBorders>
              <w:top w:val="single" w:sz="8" w:color="auto"/>
            </w:tcBorders>
          </w:tcPr>
          <w:p>
            <w:pPr>
              <w:spacing w:after="0"/>
              <w:rPr>
                <w:sz w:val="21"/>
                <w:szCs w:val="21"/>
                <w:color w:val="auto"/>
              </w:rPr>
            </w:pPr>
          </w:p>
        </w:tc>
        <w:tc>
          <w:tcPr>
            <w:tcW w:w="820" w:type="dxa"/>
            <w:vAlign w:val="bottom"/>
            <w:tcBorders>
              <w:top w:val="single" w:sz="8" w:color="auto"/>
            </w:tcBorders>
          </w:tcPr>
          <w:p>
            <w:pPr>
              <w:spacing w:after="0"/>
              <w:rPr>
                <w:sz w:val="21"/>
                <w:szCs w:val="21"/>
                <w:color w:val="auto"/>
              </w:rPr>
            </w:pPr>
          </w:p>
        </w:tc>
      </w:tr>
      <w:tr>
        <w:trPr>
          <w:trHeight w:val="22"/>
        </w:trPr>
        <w:tc>
          <w:tcPr>
            <w:tcW w:w="7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50"/>
        </w:trPr>
        <w:tc>
          <w:tcPr>
            <w:tcW w:w="73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Purchases of agency securities</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(32,770)</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(26,349)</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(76,892)</w:t>
            </w:r>
          </w:p>
        </w:tc>
      </w:tr>
      <w:tr>
        <w:trPr>
          <w:trHeight w:val="249"/>
        </w:trPr>
        <w:tc>
          <w:tcPr>
            <w:tcW w:w="7320" w:type="dxa"/>
            <w:vAlign w:val="bottom"/>
          </w:tcPr>
          <w:p>
            <w:pPr>
              <w:ind w:left="380"/>
              <w:spacing w:after="0"/>
              <w:rPr>
                <w:sz w:val="20"/>
                <w:szCs w:val="20"/>
                <w:color w:val="auto"/>
              </w:rPr>
            </w:pPr>
            <w:r>
              <w:rPr>
                <w:rFonts w:ascii="Arial" w:cs="Arial" w:eastAsia="Arial" w:hAnsi="Arial"/>
                <w:sz w:val="16"/>
                <w:szCs w:val="16"/>
                <w:color w:val="auto"/>
              </w:rPr>
              <w:t>Purchases of non-agency securities</w:t>
            </w:r>
          </w:p>
        </w:tc>
        <w:tc>
          <w:tcPr>
            <w:tcW w:w="300" w:type="dxa"/>
            <w:vAlign w:val="bottom"/>
          </w:tcPr>
          <w:p>
            <w:pPr>
              <w:spacing w:after="0"/>
              <w:rPr>
                <w:sz w:val="21"/>
                <w:szCs w:val="21"/>
                <w:color w:val="auto"/>
              </w:rPr>
            </w:pPr>
          </w:p>
        </w:tc>
        <w:tc>
          <w:tcPr>
            <w:tcW w:w="980" w:type="dxa"/>
            <w:vAlign w:val="bottom"/>
          </w:tcPr>
          <w:p>
            <w:pPr>
              <w:jc w:val="right"/>
              <w:ind w:right="1"/>
              <w:spacing w:after="0"/>
              <w:rPr>
                <w:sz w:val="20"/>
                <w:szCs w:val="20"/>
                <w:color w:val="auto"/>
              </w:rPr>
            </w:pPr>
            <w:r>
              <w:rPr>
                <w:rFonts w:ascii="Arial" w:cs="Arial" w:eastAsia="Arial" w:hAnsi="Arial"/>
                <w:sz w:val="16"/>
                <w:szCs w:val="16"/>
                <w:color w:val="auto"/>
              </w:rPr>
              <w:t>(116)</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420" w:type="dxa"/>
            <w:vAlign w:val="bottom"/>
          </w:tcPr>
          <w:p>
            <w:pPr>
              <w:spacing w:after="0"/>
              <w:rPr>
                <w:sz w:val="21"/>
                <w:szCs w:val="21"/>
                <w:color w:val="auto"/>
              </w:rPr>
            </w:pPr>
          </w:p>
        </w:tc>
        <w:tc>
          <w:tcPr>
            <w:tcW w:w="820" w:type="dxa"/>
            <w:vAlign w:val="bottom"/>
          </w:tcPr>
          <w:p>
            <w:pPr>
              <w:jc w:val="right"/>
              <w:ind w:right="41"/>
              <w:spacing w:after="0"/>
              <w:rPr>
                <w:sz w:val="20"/>
                <w:szCs w:val="20"/>
                <w:color w:val="auto"/>
              </w:rPr>
            </w:pPr>
            <w:r>
              <w:rPr>
                <w:rFonts w:ascii="Arial" w:cs="Arial" w:eastAsia="Arial" w:hAnsi="Arial"/>
                <w:sz w:val="16"/>
                <w:szCs w:val="16"/>
                <w:color w:val="auto"/>
              </w:rPr>
              <w:t>—</w:t>
            </w:r>
          </w:p>
        </w:tc>
      </w:tr>
      <w:tr>
        <w:trPr>
          <w:trHeight w:val="22"/>
        </w:trPr>
        <w:tc>
          <w:tcPr>
            <w:tcW w:w="7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50"/>
        </w:trPr>
        <w:tc>
          <w:tcPr>
            <w:tcW w:w="73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Proceeds from sale of agency securities</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27,794</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30,587</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79,456</w:t>
            </w:r>
          </w:p>
        </w:tc>
      </w:tr>
      <w:tr>
        <w:trPr>
          <w:trHeight w:val="249"/>
        </w:trPr>
        <w:tc>
          <w:tcPr>
            <w:tcW w:w="7320" w:type="dxa"/>
            <w:vAlign w:val="bottom"/>
          </w:tcPr>
          <w:p>
            <w:pPr>
              <w:ind w:left="380"/>
              <w:spacing w:after="0"/>
              <w:rPr>
                <w:sz w:val="20"/>
                <w:szCs w:val="20"/>
                <w:color w:val="auto"/>
              </w:rPr>
            </w:pPr>
            <w:r>
              <w:rPr>
                <w:rFonts w:ascii="Arial" w:cs="Arial" w:eastAsia="Arial" w:hAnsi="Arial"/>
                <w:sz w:val="16"/>
                <w:szCs w:val="16"/>
                <w:color w:val="auto"/>
              </w:rPr>
              <w:t>Principal collections on securities</w:t>
            </w:r>
          </w:p>
        </w:tc>
        <w:tc>
          <w:tcPr>
            <w:tcW w:w="300" w:type="dxa"/>
            <w:vAlign w:val="bottom"/>
          </w:tcPr>
          <w:p>
            <w:pPr>
              <w:spacing w:after="0"/>
              <w:rPr>
                <w:sz w:val="21"/>
                <w:szCs w:val="21"/>
                <w:color w:val="auto"/>
              </w:rPr>
            </w:pPr>
          </w:p>
        </w:tc>
        <w:tc>
          <w:tcPr>
            <w:tcW w:w="980" w:type="dxa"/>
            <w:vAlign w:val="bottom"/>
          </w:tcPr>
          <w:p>
            <w:pPr>
              <w:jc w:val="right"/>
              <w:ind w:right="41"/>
              <w:spacing w:after="0"/>
              <w:rPr>
                <w:sz w:val="20"/>
                <w:szCs w:val="20"/>
                <w:color w:val="auto"/>
              </w:rPr>
            </w:pPr>
            <w:r>
              <w:rPr>
                <w:rFonts w:ascii="Arial" w:cs="Arial" w:eastAsia="Arial" w:hAnsi="Arial"/>
                <w:sz w:val="16"/>
                <w:szCs w:val="16"/>
                <w:color w:val="auto"/>
              </w:rPr>
              <w:t>7,922</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41"/>
              <w:spacing w:after="0"/>
              <w:rPr>
                <w:sz w:val="20"/>
                <w:szCs w:val="20"/>
                <w:color w:val="auto"/>
              </w:rPr>
            </w:pPr>
            <w:r>
              <w:rPr>
                <w:rFonts w:ascii="Arial" w:cs="Arial" w:eastAsia="Arial" w:hAnsi="Arial"/>
                <w:sz w:val="16"/>
                <w:szCs w:val="16"/>
                <w:color w:val="auto"/>
              </w:rPr>
              <w:t>7,358</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ind w:right="41"/>
              <w:spacing w:after="0"/>
              <w:rPr>
                <w:sz w:val="20"/>
                <w:szCs w:val="20"/>
                <w:color w:val="auto"/>
              </w:rPr>
            </w:pPr>
            <w:r>
              <w:rPr>
                <w:rFonts w:ascii="Arial" w:cs="Arial" w:eastAsia="Arial" w:hAnsi="Arial"/>
                <w:sz w:val="16"/>
                <w:szCs w:val="16"/>
                <w:color w:val="auto"/>
              </w:rPr>
              <w:t>10,589</w:t>
            </w:r>
          </w:p>
        </w:tc>
      </w:tr>
      <w:tr>
        <w:trPr>
          <w:trHeight w:val="22"/>
        </w:trPr>
        <w:tc>
          <w:tcPr>
            <w:tcW w:w="7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50"/>
        </w:trPr>
        <w:tc>
          <w:tcPr>
            <w:tcW w:w="73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Purchases of U.S. Treasury securities</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(49,724)</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(51,511)</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(68,261)</w:t>
            </w:r>
          </w:p>
        </w:tc>
      </w:tr>
      <w:tr>
        <w:trPr>
          <w:trHeight w:val="249"/>
        </w:trPr>
        <w:tc>
          <w:tcPr>
            <w:tcW w:w="7320" w:type="dxa"/>
            <w:vAlign w:val="bottom"/>
          </w:tcPr>
          <w:p>
            <w:pPr>
              <w:ind w:left="380"/>
              <w:spacing w:after="0"/>
              <w:rPr>
                <w:sz w:val="20"/>
                <w:szCs w:val="20"/>
                <w:color w:val="auto"/>
              </w:rPr>
            </w:pPr>
            <w:r>
              <w:rPr>
                <w:rFonts w:ascii="Arial" w:cs="Arial" w:eastAsia="Arial" w:hAnsi="Arial"/>
                <w:sz w:val="16"/>
                <w:szCs w:val="16"/>
                <w:color w:val="auto"/>
              </w:rPr>
              <w:t>Proceeds from sale of U.S. Treasury securities</w:t>
            </w:r>
          </w:p>
        </w:tc>
        <w:tc>
          <w:tcPr>
            <w:tcW w:w="300" w:type="dxa"/>
            <w:vAlign w:val="bottom"/>
          </w:tcPr>
          <w:p>
            <w:pPr>
              <w:spacing w:after="0"/>
              <w:rPr>
                <w:sz w:val="21"/>
                <w:szCs w:val="21"/>
                <w:color w:val="auto"/>
              </w:rPr>
            </w:pPr>
          </w:p>
        </w:tc>
        <w:tc>
          <w:tcPr>
            <w:tcW w:w="980" w:type="dxa"/>
            <w:vAlign w:val="bottom"/>
          </w:tcPr>
          <w:p>
            <w:pPr>
              <w:jc w:val="right"/>
              <w:ind w:right="41"/>
              <w:spacing w:after="0"/>
              <w:rPr>
                <w:sz w:val="20"/>
                <w:szCs w:val="20"/>
                <w:color w:val="auto"/>
              </w:rPr>
            </w:pPr>
            <w:r>
              <w:rPr>
                <w:rFonts w:ascii="Arial" w:cs="Arial" w:eastAsia="Arial" w:hAnsi="Arial"/>
                <w:sz w:val="16"/>
                <w:szCs w:val="16"/>
                <w:color w:val="auto"/>
              </w:rPr>
              <w:t>48,354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41"/>
              <w:spacing w:after="0"/>
              <w:rPr>
                <w:sz w:val="20"/>
                <w:szCs w:val="20"/>
                <w:color w:val="auto"/>
              </w:rPr>
            </w:pPr>
            <w:r>
              <w:rPr>
                <w:rFonts w:ascii="Arial" w:cs="Arial" w:eastAsia="Arial" w:hAnsi="Arial"/>
                <w:sz w:val="16"/>
                <w:szCs w:val="16"/>
                <w:color w:val="auto"/>
              </w:rPr>
              <w:t>56,068</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ind w:right="41"/>
              <w:spacing w:after="0"/>
              <w:rPr>
                <w:sz w:val="20"/>
                <w:szCs w:val="20"/>
                <w:color w:val="auto"/>
              </w:rPr>
            </w:pPr>
            <w:r>
              <w:rPr>
                <w:rFonts w:ascii="Arial" w:cs="Arial" w:eastAsia="Arial" w:hAnsi="Arial"/>
                <w:sz w:val="16"/>
                <w:szCs w:val="16"/>
                <w:color w:val="auto"/>
              </w:rPr>
              <w:t>54,952</w:t>
            </w:r>
          </w:p>
        </w:tc>
      </w:tr>
      <w:tr>
        <w:trPr>
          <w:trHeight w:val="22"/>
        </w:trPr>
        <w:tc>
          <w:tcPr>
            <w:tcW w:w="7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50"/>
        </w:trPr>
        <w:tc>
          <w:tcPr>
            <w:tcW w:w="73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Net proceeds from (payments on) reverse repurchase agreements</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3,505</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(3,337)</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9,937</w:t>
            </w:r>
          </w:p>
        </w:tc>
      </w:tr>
      <w:tr>
        <w:trPr>
          <w:trHeight w:val="249"/>
        </w:trPr>
        <w:tc>
          <w:tcPr>
            <w:tcW w:w="7320" w:type="dxa"/>
            <w:vAlign w:val="bottom"/>
          </w:tcPr>
          <w:p>
            <w:pPr>
              <w:ind w:left="380"/>
              <w:spacing w:after="0"/>
              <w:rPr>
                <w:sz w:val="20"/>
                <w:szCs w:val="20"/>
                <w:color w:val="auto"/>
              </w:rPr>
            </w:pPr>
            <w:r>
              <w:rPr>
                <w:rFonts w:ascii="Arial" w:cs="Arial" w:eastAsia="Arial" w:hAnsi="Arial"/>
                <w:sz w:val="16"/>
                <w:szCs w:val="16"/>
                <w:color w:val="auto"/>
              </w:rPr>
              <w:t>Net proceeds from (payments on) other derivative instruments</w:t>
            </w:r>
          </w:p>
        </w:tc>
        <w:tc>
          <w:tcPr>
            <w:tcW w:w="300" w:type="dxa"/>
            <w:vAlign w:val="bottom"/>
          </w:tcPr>
          <w:p>
            <w:pPr>
              <w:spacing w:after="0"/>
              <w:rPr>
                <w:sz w:val="21"/>
                <w:szCs w:val="21"/>
                <w:color w:val="auto"/>
              </w:rPr>
            </w:pPr>
          </w:p>
        </w:tc>
        <w:tc>
          <w:tcPr>
            <w:tcW w:w="980" w:type="dxa"/>
            <w:vAlign w:val="bottom"/>
          </w:tcPr>
          <w:p>
            <w:pPr>
              <w:jc w:val="right"/>
              <w:ind w:right="1"/>
              <w:spacing w:after="0"/>
              <w:rPr>
                <w:sz w:val="20"/>
                <w:szCs w:val="20"/>
                <w:color w:val="auto"/>
              </w:rPr>
            </w:pPr>
            <w:r>
              <w:rPr>
                <w:rFonts w:ascii="Arial" w:cs="Arial" w:eastAsia="Arial" w:hAnsi="Arial"/>
                <w:sz w:val="16"/>
                <w:szCs w:val="16"/>
                <w:color w:val="auto"/>
              </w:rPr>
              <w:t>(300)</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41"/>
              <w:spacing w:after="0"/>
              <w:rPr>
                <w:sz w:val="20"/>
                <w:szCs w:val="20"/>
                <w:color w:val="auto"/>
              </w:rPr>
            </w:pPr>
            <w:r>
              <w:rPr>
                <w:rFonts w:ascii="Arial" w:cs="Arial" w:eastAsia="Arial" w:hAnsi="Arial"/>
                <w:sz w:val="16"/>
                <w:szCs w:val="16"/>
                <w:color w:val="auto"/>
              </w:rPr>
              <w:t>313</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(1,007)</w:t>
            </w:r>
          </w:p>
        </w:tc>
      </w:tr>
      <w:tr>
        <w:trPr>
          <w:trHeight w:val="22"/>
        </w:trPr>
        <w:tc>
          <w:tcPr>
            <w:tcW w:w="7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50"/>
        </w:trPr>
        <w:tc>
          <w:tcPr>
            <w:tcW w:w="73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Purchases of REIT equity securities</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(11)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(234)</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(197)</w:t>
            </w:r>
          </w:p>
        </w:tc>
      </w:tr>
      <w:tr>
        <w:trPr>
          <w:trHeight w:val="249"/>
        </w:trPr>
        <w:tc>
          <w:tcPr>
            <w:tcW w:w="7320" w:type="dxa"/>
            <w:vAlign w:val="bottom"/>
          </w:tcPr>
          <w:p>
            <w:pPr>
              <w:ind w:left="380"/>
              <w:spacing w:after="0"/>
              <w:rPr>
                <w:sz w:val="20"/>
                <w:szCs w:val="20"/>
                <w:color w:val="auto"/>
              </w:rPr>
            </w:pPr>
            <w:r>
              <w:rPr>
                <w:rFonts w:ascii="Arial" w:cs="Arial" w:eastAsia="Arial" w:hAnsi="Arial"/>
                <w:sz w:val="16"/>
                <w:szCs w:val="16"/>
                <w:color w:val="auto"/>
              </w:rPr>
              <w:t>Proceeds from sale of REIT equity securities</w:t>
            </w:r>
          </w:p>
        </w:tc>
        <w:tc>
          <w:tcPr>
            <w:tcW w:w="300" w:type="dxa"/>
            <w:vAlign w:val="bottom"/>
          </w:tcPr>
          <w:p>
            <w:pPr>
              <w:spacing w:after="0"/>
              <w:rPr>
                <w:sz w:val="21"/>
                <w:szCs w:val="21"/>
                <w:color w:val="auto"/>
              </w:rPr>
            </w:pPr>
          </w:p>
        </w:tc>
        <w:tc>
          <w:tcPr>
            <w:tcW w:w="980" w:type="dxa"/>
            <w:vAlign w:val="bottom"/>
          </w:tcPr>
          <w:p>
            <w:pPr>
              <w:jc w:val="right"/>
              <w:ind w:right="41"/>
              <w:spacing w:after="0"/>
              <w:rPr>
                <w:sz w:val="20"/>
                <w:szCs w:val="20"/>
                <w:color w:val="auto"/>
              </w:rPr>
            </w:pPr>
            <w:r>
              <w:rPr>
                <w:rFonts w:ascii="Arial" w:cs="Arial" w:eastAsia="Arial" w:hAnsi="Arial"/>
                <w:sz w:val="16"/>
                <w:szCs w:val="16"/>
                <w:color w:val="auto"/>
              </w:rPr>
              <w:t>35</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41"/>
              <w:spacing w:after="0"/>
              <w:rPr>
                <w:sz w:val="20"/>
                <w:szCs w:val="20"/>
                <w:color w:val="auto"/>
              </w:rPr>
            </w:pPr>
            <w:r>
              <w:rPr>
                <w:rFonts w:ascii="Arial" w:cs="Arial" w:eastAsia="Arial" w:hAnsi="Arial"/>
                <w:sz w:val="16"/>
                <w:szCs w:val="16"/>
                <w:color w:val="auto"/>
              </w:rPr>
              <w:t>416</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ind w:right="41"/>
              <w:spacing w:after="0"/>
              <w:rPr>
                <w:sz w:val="20"/>
                <w:szCs w:val="20"/>
                <w:color w:val="auto"/>
              </w:rPr>
            </w:pPr>
            <w:r>
              <w:rPr>
                <w:rFonts w:ascii="Arial" w:cs="Arial" w:eastAsia="Arial" w:hAnsi="Arial"/>
                <w:sz w:val="16"/>
                <w:szCs w:val="16"/>
                <w:color w:val="auto"/>
              </w:rPr>
              <w:t>—</w:t>
            </w:r>
          </w:p>
        </w:tc>
      </w:tr>
      <w:tr>
        <w:trPr>
          <w:trHeight w:val="22"/>
        </w:trPr>
        <w:tc>
          <w:tcPr>
            <w:tcW w:w="7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50"/>
        </w:trPr>
        <w:tc>
          <w:tcPr>
            <w:tcW w:w="73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(Increase) decrease in restricted cash and cash equivalents</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(568)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(612)</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298</w:t>
            </w:r>
          </w:p>
        </w:tc>
      </w:tr>
      <w:tr>
        <w:trPr>
          <w:trHeight w:val="249"/>
        </w:trPr>
        <w:tc>
          <w:tcPr>
            <w:tcW w:w="7320" w:type="dxa"/>
            <w:vAlign w:val="bottom"/>
          </w:tcPr>
          <w:p>
            <w:pPr>
              <w:ind w:left="380"/>
              <w:spacing w:after="0"/>
              <w:rPr>
                <w:sz w:val="20"/>
                <w:szCs w:val="20"/>
                <w:color w:val="auto"/>
              </w:rPr>
            </w:pPr>
            <w:r>
              <w:rPr>
                <w:rFonts w:ascii="Arial" w:cs="Arial" w:eastAsia="Arial" w:hAnsi="Arial"/>
                <w:sz w:val="16"/>
                <w:szCs w:val="16"/>
                <w:color w:val="auto"/>
              </w:rPr>
              <w:t>Other investing cash flows, net</w:t>
            </w:r>
          </w:p>
        </w:tc>
        <w:tc>
          <w:tcPr>
            <w:tcW w:w="300" w:type="dxa"/>
            <w:vAlign w:val="bottom"/>
          </w:tcPr>
          <w:p>
            <w:pPr>
              <w:spacing w:after="0"/>
              <w:rPr>
                <w:sz w:val="21"/>
                <w:szCs w:val="21"/>
                <w:color w:val="auto"/>
              </w:rPr>
            </w:pPr>
          </w:p>
        </w:tc>
        <w:tc>
          <w:tcPr>
            <w:tcW w:w="980" w:type="dxa"/>
            <w:vAlign w:val="bottom"/>
          </w:tcPr>
          <w:p>
            <w:pPr>
              <w:jc w:val="right"/>
              <w:ind w:right="1"/>
              <w:spacing w:after="0"/>
              <w:rPr>
                <w:sz w:val="20"/>
                <w:szCs w:val="20"/>
                <w:color w:val="auto"/>
              </w:rPr>
            </w:pPr>
            <w:r>
              <w:rPr>
                <w:rFonts w:ascii="Arial" w:cs="Arial" w:eastAsia="Arial" w:hAnsi="Arial"/>
                <w:sz w:val="16"/>
                <w:szCs w:val="16"/>
                <w:color w:val="auto"/>
              </w:rPr>
              <w:t>(28)</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(350)</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ind w:right="41"/>
              <w:spacing w:after="0"/>
              <w:rPr>
                <w:sz w:val="20"/>
                <w:szCs w:val="20"/>
                <w:color w:val="auto"/>
              </w:rPr>
            </w:pPr>
            <w:r>
              <w:rPr>
                <w:rFonts w:ascii="Arial" w:cs="Arial" w:eastAsia="Arial" w:hAnsi="Arial"/>
                <w:sz w:val="16"/>
                <w:szCs w:val="16"/>
                <w:color w:val="auto"/>
              </w:rPr>
              <w:t>—</w:t>
            </w:r>
          </w:p>
        </w:tc>
      </w:tr>
      <w:tr>
        <w:trPr>
          <w:trHeight w:val="22"/>
        </w:trPr>
        <w:tc>
          <w:tcPr>
            <w:tcW w:w="732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r>
        <w:trPr>
          <w:trHeight w:val="250"/>
        </w:trPr>
        <w:tc>
          <w:tcPr>
            <w:tcW w:w="7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Net cash provided by investing activities</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4,093</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12,349</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8,875</w:t>
            </w:r>
          </w:p>
        </w:tc>
      </w:tr>
      <w:tr>
        <w:trPr>
          <w:trHeight w:val="242"/>
        </w:trPr>
        <w:tc>
          <w:tcPr>
            <w:tcW w:w="7320" w:type="dxa"/>
            <w:vAlign w:val="bottom"/>
          </w:tcPr>
          <w:p>
            <w:pPr>
              <w:ind w:left="20"/>
              <w:spacing w:after="0"/>
              <w:rPr>
                <w:sz w:val="20"/>
                <w:szCs w:val="20"/>
                <w:color w:val="auto"/>
              </w:rPr>
            </w:pPr>
            <w:r>
              <w:rPr>
                <w:rFonts w:ascii="Arial" w:cs="Arial" w:eastAsia="Arial" w:hAnsi="Arial"/>
                <w:sz w:val="16"/>
                <w:szCs w:val="16"/>
                <w:b w:val="1"/>
                <w:bCs w:val="1"/>
                <w:color w:val="auto"/>
              </w:rPr>
              <w:t>Financing activities:</w:t>
            </w:r>
          </w:p>
        </w:tc>
        <w:tc>
          <w:tcPr>
            <w:tcW w:w="300" w:type="dxa"/>
            <w:vAlign w:val="bottom"/>
            <w:tcBorders>
              <w:top w:val="single" w:sz="8" w:color="auto"/>
            </w:tcBorders>
          </w:tcPr>
          <w:p>
            <w:pPr>
              <w:spacing w:after="0"/>
              <w:rPr>
                <w:sz w:val="21"/>
                <w:szCs w:val="21"/>
                <w:color w:val="auto"/>
              </w:rPr>
            </w:pPr>
          </w:p>
        </w:tc>
        <w:tc>
          <w:tcPr>
            <w:tcW w:w="980" w:type="dxa"/>
            <w:vAlign w:val="bottom"/>
            <w:tcBorders>
              <w:top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Borders>
              <w:top w:val="single" w:sz="8" w:color="auto"/>
            </w:tcBorders>
          </w:tcPr>
          <w:p>
            <w:pPr>
              <w:spacing w:after="0"/>
              <w:rPr>
                <w:sz w:val="21"/>
                <w:szCs w:val="21"/>
                <w:color w:val="auto"/>
              </w:rPr>
            </w:pPr>
          </w:p>
        </w:tc>
        <w:tc>
          <w:tcPr>
            <w:tcW w:w="960" w:type="dxa"/>
            <w:vAlign w:val="bottom"/>
            <w:tcBorders>
              <w:top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420" w:type="dxa"/>
            <w:vAlign w:val="bottom"/>
            <w:tcBorders>
              <w:top w:val="single" w:sz="8" w:color="auto"/>
            </w:tcBorders>
          </w:tcPr>
          <w:p>
            <w:pPr>
              <w:spacing w:after="0"/>
              <w:rPr>
                <w:sz w:val="21"/>
                <w:szCs w:val="21"/>
                <w:color w:val="auto"/>
              </w:rPr>
            </w:pPr>
          </w:p>
        </w:tc>
        <w:tc>
          <w:tcPr>
            <w:tcW w:w="820" w:type="dxa"/>
            <w:vAlign w:val="bottom"/>
            <w:tcBorders>
              <w:top w:val="single" w:sz="8" w:color="auto"/>
            </w:tcBorders>
          </w:tcPr>
          <w:p>
            <w:pPr>
              <w:spacing w:after="0"/>
              <w:rPr>
                <w:sz w:val="21"/>
                <w:szCs w:val="21"/>
                <w:color w:val="auto"/>
              </w:rPr>
            </w:pPr>
          </w:p>
        </w:tc>
      </w:tr>
      <w:tr>
        <w:trPr>
          <w:trHeight w:val="22"/>
        </w:trPr>
        <w:tc>
          <w:tcPr>
            <w:tcW w:w="7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50"/>
        </w:trPr>
        <w:tc>
          <w:tcPr>
            <w:tcW w:w="73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Proceeds from repurchase arrangements</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380,580</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291,736</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564,971</w:t>
            </w:r>
          </w:p>
        </w:tc>
      </w:tr>
      <w:tr>
        <w:trPr>
          <w:trHeight w:val="249"/>
        </w:trPr>
        <w:tc>
          <w:tcPr>
            <w:tcW w:w="7320" w:type="dxa"/>
            <w:vAlign w:val="bottom"/>
          </w:tcPr>
          <w:p>
            <w:pPr>
              <w:ind w:left="380"/>
              <w:spacing w:after="0"/>
              <w:rPr>
                <w:sz w:val="20"/>
                <w:szCs w:val="20"/>
                <w:color w:val="auto"/>
              </w:rPr>
            </w:pPr>
            <w:r>
              <w:rPr>
                <w:rFonts w:ascii="Arial" w:cs="Arial" w:eastAsia="Arial" w:hAnsi="Arial"/>
                <w:sz w:val="16"/>
                <w:szCs w:val="16"/>
                <w:color w:val="auto"/>
              </w:rPr>
              <w:t>Repayments on repurchase agreements</w:t>
            </w:r>
          </w:p>
        </w:tc>
        <w:tc>
          <w:tcPr>
            <w:tcW w:w="300" w:type="dxa"/>
            <w:vAlign w:val="bottom"/>
          </w:tcPr>
          <w:p>
            <w:pPr>
              <w:spacing w:after="0"/>
              <w:rPr>
                <w:sz w:val="21"/>
                <w:szCs w:val="21"/>
                <w:color w:val="auto"/>
              </w:rPr>
            </w:pPr>
          </w:p>
        </w:tc>
        <w:tc>
          <w:tcPr>
            <w:tcW w:w="980" w:type="dxa"/>
            <w:vAlign w:val="bottom"/>
          </w:tcPr>
          <w:p>
            <w:pPr>
              <w:jc w:val="right"/>
              <w:ind w:right="1"/>
              <w:spacing w:after="0"/>
              <w:rPr>
                <w:sz w:val="20"/>
                <w:szCs w:val="20"/>
                <w:color w:val="auto"/>
              </w:rPr>
            </w:pPr>
            <w:r>
              <w:rPr>
                <w:rFonts w:ascii="Arial" w:cs="Arial" w:eastAsia="Arial" w:hAnsi="Arial"/>
                <w:sz w:val="16"/>
                <w:szCs w:val="16"/>
                <w:color w:val="auto"/>
              </w:rPr>
              <w:t>(389,122)</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(304,973)</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(575,916)</w:t>
            </w:r>
          </w:p>
        </w:tc>
      </w:tr>
      <w:tr>
        <w:trPr>
          <w:trHeight w:val="22"/>
        </w:trPr>
        <w:tc>
          <w:tcPr>
            <w:tcW w:w="7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50"/>
        </w:trPr>
        <w:tc>
          <w:tcPr>
            <w:tcW w:w="73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Proceeds from Federal Home Loan Bank advances</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12,957</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w:t>
            </w:r>
          </w:p>
        </w:tc>
      </w:tr>
      <w:tr>
        <w:trPr>
          <w:trHeight w:val="249"/>
        </w:trPr>
        <w:tc>
          <w:tcPr>
            <w:tcW w:w="7320" w:type="dxa"/>
            <w:vAlign w:val="bottom"/>
          </w:tcPr>
          <w:p>
            <w:pPr>
              <w:ind w:left="380"/>
              <w:spacing w:after="0"/>
              <w:rPr>
                <w:sz w:val="20"/>
                <w:szCs w:val="20"/>
                <w:color w:val="auto"/>
              </w:rPr>
            </w:pPr>
            <w:r>
              <w:rPr>
                <w:rFonts w:ascii="Arial" w:cs="Arial" w:eastAsia="Arial" w:hAnsi="Arial"/>
                <w:sz w:val="16"/>
                <w:szCs w:val="16"/>
                <w:color w:val="auto"/>
              </w:rPr>
              <w:t>Repayments on Federal Home Loan Bank advances</w:t>
            </w:r>
          </w:p>
        </w:tc>
        <w:tc>
          <w:tcPr>
            <w:tcW w:w="300" w:type="dxa"/>
            <w:vAlign w:val="bottom"/>
          </w:tcPr>
          <w:p>
            <w:pPr>
              <w:spacing w:after="0"/>
              <w:rPr>
                <w:sz w:val="21"/>
                <w:szCs w:val="21"/>
                <w:color w:val="auto"/>
              </w:rPr>
            </w:pPr>
          </w:p>
        </w:tc>
        <w:tc>
          <w:tcPr>
            <w:tcW w:w="980" w:type="dxa"/>
            <w:vAlign w:val="bottom"/>
          </w:tcPr>
          <w:p>
            <w:pPr>
              <w:jc w:val="right"/>
              <w:ind w:right="1"/>
              <w:spacing w:after="0"/>
              <w:rPr>
                <w:sz w:val="20"/>
                <w:szCs w:val="20"/>
                <w:color w:val="auto"/>
              </w:rPr>
            </w:pPr>
            <w:r>
              <w:rPr>
                <w:rFonts w:ascii="Arial" w:cs="Arial" w:eastAsia="Arial" w:hAnsi="Arial"/>
                <w:sz w:val="16"/>
                <w:szCs w:val="16"/>
                <w:color w:val="auto"/>
              </w:rPr>
              <w:t>(9,204)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420" w:type="dxa"/>
            <w:vAlign w:val="bottom"/>
          </w:tcPr>
          <w:p>
            <w:pPr>
              <w:spacing w:after="0"/>
              <w:rPr>
                <w:sz w:val="21"/>
                <w:szCs w:val="21"/>
                <w:color w:val="auto"/>
              </w:rPr>
            </w:pPr>
          </w:p>
        </w:tc>
        <w:tc>
          <w:tcPr>
            <w:tcW w:w="820" w:type="dxa"/>
            <w:vAlign w:val="bottom"/>
          </w:tcPr>
          <w:p>
            <w:pPr>
              <w:jc w:val="right"/>
              <w:ind w:right="41"/>
              <w:spacing w:after="0"/>
              <w:rPr>
                <w:sz w:val="20"/>
                <w:szCs w:val="20"/>
                <w:color w:val="auto"/>
              </w:rPr>
            </w:pPr>
            <w:r>
              <w:rPr>
                <w:rFonts w:ascii="Arial" w:cs="Arial" w:eastAsia="Arial" w:hAnsi="Arial"/>
                <w:sz w:val="16"/>
                <w:szCs w:val="16"/>
                <w:color w:val="auto"/>
              </w:rPr>
              <w:t>—</w:t>
            </w:r>
          </w:p>
        </w:tc>
      </w:tr>
      <w:tr>
        <w:trPr>
          <w:trHeight w:val="22"/>
        </w:trPr>
        <w:tc>
          <w:tcPr>
            <w:tcW w:w="7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50"/>
        </w:trPr>
        <w:tc>
          <w:tcPr>
            <w:tcW w:w="73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Proceeds from debt of consolidated variable interest entities</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203</w:t>
            </w:r>
          </w:p>
        </w:tc>
      </w:tr>
      <w:tr>
        <w:trPr>
          <w:trHeight w:val="249"/>
        </w:trPr>
        <w:tc>
          <w:tcPr>
            <w:tcW w:w="7320" w:type="dxa"/>
            <w:vAlign w:val="bottom"/>
          </w:tcPr>
          <w:p>
            <w:pPr>
              <w:ind w:left="380"/>
              <w:spacing w:after="0"/>
              <w:rPr>
                <w:sz w:val="20"/>
                <w:szCs w:val="20"/>
                <w:color w:val="auto"/>
              </w:rPr>
            </w:pPr>
            <w:r>
              <w:rPr>
                <w:rFonts w:ascii="Arial" w:cs="Arial" w:eastAsia="Arial" w:hAnsi="Arial"/>
                <w:sz w:val="16"/>
                <w:szCs w:val="16"/>
                <w:color w:val="auto"/>
              </w:rPr>
              <w:t>Repayments on debt of consolidated variable interest entities</w:t>
            </w:r>
          </w:p>
        </w:tc>
        <w:tc>
          <w:tcPr>
            <w:tcW w:w="300" w:type="dxa"/>
            <w:vAlign w:val="bottom"/>
          </w:tcPr>
          <w:p>
            <w:pPr>
              <w:spacing w:after="0"/>
              <w:rPr>
                <w:sz w:val="21"/>
                <w:szCs w:val="21"/>
                <w:color w:val="auto"/>
              </w:rPr>
            </w:pPr>
          </w:p>
        </w:tc>
        <w:tc>
          <w:tcPr>
            <w:tcW w:w="980" w:type="dxa"/>
            <w:vAlign w:val="bottom"/>
          </w:tcPr>
          <w:p>
            <w:pPr>
              <w:jc w:val="right"/>
              <w:ind w:right="1"/>
              <w:spacing w:after="0"/>
              <w:rPr>
                <w:sz w:val="20"/>
                <w:szCs w:val="20"/>
                <w:color w:val="auto"/>
              </w:rPr>
            </w:pPr>
            <w:r>
              <w:rPr>
                <w:rFonts w:ascii="Arial" w:cs="Arial" w:eastAsia="Arial" w:hAnsi="Arial"/>
                <w:sz w:val="16"/>
                <w:szCs w:val="16"/>
                <w:color w:val="auto"/>
              </w:rPr>
              <w:t>(155)</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(158)</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(209)</w:t>
            </w:r>
          </w:p>
        </w:tc>
      </w:tr>
      <w:tr>
        <w:trPr>
          <w:trHeight w:val="22"/>
        </w:trPr>
        <w:tc>
          <w:tcPr>
            <w:tcW w:w="7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50"/>
        </w:trPr>
        <w:tc>
          <w:tcPr>
            <w:tcW w:w="73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Net proceeds from preferred stock issuance</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169</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w:t>
            </w:r>
          </w:p>
        </w:tc>
      </w:tr>
      <w:tr>
        <w:trPr>
          <w:trHeight w:val="249"/>
        </w:trPr>
        <w:tc>
          <w:tcPr>
            <w:tcW w:w="7320" w:type="dxa"/>
            <w:vAlign w:val="bottom"/>
          </w:tcPr>
          <w:p>
            <w:pPr>
              <w:ind w:left="380"/>
              <w:spacing w:after="0"/>
              <w:rPr>
                <w:sz w:val="20"/>
                <w:szCs w:val="20"/>
                <w:color w:val="auto"/>
              </w:rPr>
            </w:pPr>
            <w:r>
              <w:rPr>
                <w:rFonts w:ascii="Arial" w:cs="Arial" w:eastAsia="Arial" w:hAnsi="Arial"/>
                <w:sz w:val="16"/>
                <w:szCs w:val="16"/>
                <w:color w:val="auto"/>
              </w:rPr>
              <w:t>Net proceeds from common stock issuance</w:t>
            </w:r>
          </w:p>
        </w:tc>
        <w:tc>
          <w:tcPr>
            <w:tcW w:w="300" w:type="dxa"/>
            <w:vAlign w:val="bottom"/>
          </w:tcPr>
          <w:p>
            <w:pPr>
              <w:spacing w:after="0"/>
              <w:rPr>
                <w:sz w:val="21"/>
                <w:szCs w:val="21"/>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1"/>
                <w:szCs w:val="21"/>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420" w:type="dxa"/>
            <w:vAlign w:val="bottom"/>
          </w:tcPr>
          <w:p>
            <w:pPr>
              <w:spacing w:after="0"/>
              <w:rPr>
                <w:sz w:val="21"/>
                <w:szCs w:val="21"/>
                <w:color w:val="auto"/>
              </w:rPr>
            </w:pPr>
          </w:p>
        </w:tc>
        <w:tc>
          <w:tcPr>
            <w:tcW w:w="820" w:type="dxa"/>
            <w:vAlign w:val="bottom"/>
          </w:tcPr>
          <w:p>
            <w:pPr>
              <w:jc w:val="right"/>
              <w:ind w:right="41"/>
              <w:spacing w:after="0"/>
              <w:rPr>
                <w:sz w:val="20"/>
                <w:szCs w:val="20"/>
                <w:color w:val="auto"/>
              </w:rPr>
            </w:pPr>
            <w:r>
              <w:rPr>
                <w:rFonts w:ascii="Arial" w:cs="Arial" w:eastAsia="Arial" w:hAnsi="Arial"/>
                <w:sz w:val="16"/>
                <w:szCs w:val="16"/>
                <w:color w:val="auto"/>
              </w:rPr>
              <w:t>1,803</w:t>
            </w:r>
          </w:p>
        </w:tc>
      </w:tr>
      <w:tr>
        <w:trPr>
          <w:trHeight w:val="22"/>
        </w:trPr>
        <w:tc>
          <w:tcPr>
            <w:tcW w:w="7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50"/>
        </w:trPr>
        <w:tc>
          <w:tcPr>
            <w:tcW w:w="73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Payments for common stock repurchases</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(285)</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(74)</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(856)</w:t>
            </w:r>
          </w:p>
        </w:tc>
      </w:tr>
      <w:tr>
        <w:trPr>
          <w:trHeight w:val="249"/>
        </w:trPr>
        <w:tc>
          <w:tcPr>
            <w:tcW w:w="7320" w:type="dxa"/>
            <w:vAlign w:val="bottom"/>
          </w:tcPr>
          <w:p>
            <w:pPr>
              <w:ind w:left="380"/>
              <w:spacing w:after="0"/>
              <w:rPr>
                <w:sz w:val="20"/>
                <w:szCs w:val="20"/>
                <w:color w:val="auto"/>
              </w:rPr>
            </w:pPr>
            <w:r>
              <w:rPr>
                <w:rFonts w:ascii="Arial" w:cs="Arial" w:eastAsia="Arial" w:hAnsi="Arial"/>
                <w:sz w:val="16"/>
                <w:szCs w:val="16"/>
                <w:color w:val="auto"/>
              </w:rPr>
              <w:t>Cash dividends paid</w:t>
            </w:r>
          </w:p>
        </w:tc>
        <w:tc>
          <w:tcPr>
            <w:tcW w:w="300" w:type="dxa"/>
            <w:vAlign w:val="bottom"/>
          </w:tcPr>
          <w:p>
            <w:pPr>
              <w:spacing w:after="0"/>
              <w:rPr>
                <w:sz w:val="21"/>
                <w:szCs w:val="21"/>
                <w:color w:val="auto"/>
              </w:rPr>
            </w:pPr>
          </w:p>
        </w:tc>
        <w:tc>
          <w:tcPr>
            <w:tcW w:w="980" w:type="dxa"/>
            <w:vAlign w:val="bottom"/>
          </w:tcPr>
          <w:p>
            <w:pPr>
              <w:jc w:val="right"/>
              <w:ind w:right="1"/>
              <w:spacing w:after="0"/>
              <w:rPr>
                <w:sz w:val="20"/>
                <w:szCs w:val="20"/>
                <w:color w:val="auto"/>
              </w:rPr>
            </w:pPr>
            <w:r>
              <w:rPr>
                <w:rFonts w:ascii="Arial" w:cs="Arial" w:eastAsia="Arial" w:hAnsi="Arial"/>
                <w:sz w:val="16"/>
                <w:szCs w:val="16"/>
                <w:color w:val="auto"/>
              </w:rPr>
              <w:t>(902)</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(1,094)</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(1,659)</w:t>
            </w:r>
          </w:p>
        </w:tc>
      </w:tr>
      <w:tr>
        <w:trPr>
          <w:trHeight w:val="22"/>
        </w:trPr>
        <w:tc>
          <w:tcPr>
            <w:tcW w:w="732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r>
        <w:trPr>
          <w:trHeight w:val="250"/>
        </w:trPr>
        <w:tc>
          <w:tcPr>
            <w:tcW w:w="7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Net cash used in financing activities</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(6,131)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(14,394)</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(11,663)</w:t>
            </w:r>
          </w:p>
        </w:tc>
      </w:tr>
      <w:tr>
        <w:trPr>
          <w:trHeight w:val="229"/>
        </w:trPr>
        <w:tc>
          <w:tcPr>
            <w:tcW w:w="7320" w:type="dxa"/>
            <w:vAlign w:val="bottom"/>
          </w:tcPr>
          <w:p>
            <w:pPr>
              <w:ind w:left="20"/>
              <w:spacing w:after="0"/>
              <w:rPr>
                <w:sz w:val="20"/>
                <w:szCs w:val="20"/>
                <w:color w:val="auto"/>
              </w:rPr>
            </w:pPr>
            <w:r>
              <w:rPr>
                <w:rFonts w:ascii="Arial" w:cs="Arial" w:eastAsia="Arial" w:hAnsi="Arial"/>
                <w:sz w:val="16"/>
                <w:szCs w:val="16"/>
                <w:color w:val="auto"/>
              </w:rPr>
              <w:t>Net change in cash and cash equivalents</w:t>
            </w:r>
          </w:p>
        </w:tc>
        <w:tc>
          <w:tcPr>
            <w:tcW w:w="300" w:type="dxa"/>
            <w:vAlign w:val="bottom"/>
            <w:tcBorders>
              <w:top w:val="single" w:sz="8" w:color="auto"/>
            </w:tcBorders>
          </w:tcPr>
          <w:p>
            <w:pPr>
              <w:spacing w:after="0"/>
              <w:rPr>
                <w:sz w:val="19"/>
                <w:szCs w:val="19"/>
                <w:color w:val="auto"/>
              </w:rPr>
            </w:pPr>
          </w:p>
        </w:tc>
        <w:tc>
          <w:tcPr>
            <w:tcW w:w="980" w:type="dxa"/>
            <w:vAlign w:val="bottom"/>
            <w:tcBorders>
              <w:top w:val="single" w:sz="8" w:color="auto"/>
            </w:tcBorders>
          </w:tcPr>
          <w:p>
            <w:pPr>
              <w:jc w:val="right"/>
              <w:ind w:right="1"/>
              <w:spacing w:after="0"/>
              <w:rPr>
                <w:sz w:val="20"/>
                <w:szCs w:val="20"/>
                <w:color w:val="auto"/>
              </w:rPr>
            </w:pPr>
            <w:r>
              <w:rPr>
                <w:rFonts w:ascii="Arial" w:cs="Arial" w:eastAsia="Arial" w:hAnsi="Arial"/>
                <w:sz w:val="16"/>
                <w:szCs w:val="16"/>
                <w:color w:val="auto"/>
              </w:rPr>
              <w:t>(610)</w:t>
            </w:r>
          </w:p>
        </w:tc>
        <w:tc>
          <w:tcPr>
            <w:tcW w:w="100" w:type="dxa"/>
            <w:vAlign w:val="bottom"/>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(423)</w:t>
            </w:r>
          </w:p>
        </w:tc>
        <w:tc>
          <w:tcPr>
            <w:tcW w:w="100" w:type="dxa"/>
            <w:vAlign w:val="bottom"/>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(287)</w:t>
            </w:r>
          </w:p>
        </w:tc>
      </w:tr>
      <w:tr>
        <w:trPr>
          <w:trHeight w:val="22"/>
        </w:trPr>
        <w:tc>
          <w:tcPr>
            <w:tcW w:w="7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70"/>
        </w:trPr>
        <w:tc>
          <w:tcPr>
            <w:tcW w:w="7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Cash and cash equivalents at beginning of period</w:t>
            </w:r>
          </w:p>
        </w:tc>
        <w:tc>
          <w:tcPr>
            <w:tcW w:w="30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1,720</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2,143</w:t>
            </w:r>
          </w:p>
        </w:tc>
        <w:tc>
          <w:tcPr>
            <w:tcW w:w="10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2,430</w:t>
            </w:r>
          </w:p>
        </w:tc>
      </w:tr>
      <w:tr>
        <w:trPr>
          <w:trHeight w:val="273"/>
        </w:trPr>
        <w:tc>
          <w:tcPr>
            <w:tcW w:w="732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Cash and cash equivalents at end of period</w:t>
            </w:r>
          </w:p>
        </w:tc>
        <w:tc>
          <w:tcPr>
            <w:tcW w:w="300" w:type="dxa"/>
            <w:vAlign w:val="bottom"/>
            <w:tcBorders>
              <w:top w:val="single" w:sz="8" w:color="auto"/>
              <w:bottom w:val="single" w:sz="8" w:color="auto"/>
            </w:tcBorders>
          </w:tcPr>
          <w:p>
            <w:pPr>
              <w:jc w:val="right"/>
              <w:ind w:right="101"/>
              <w:spacing w:after="0"/>
              <w:rPr>
                <w:sz w:val="20"/>
                <w:szCs w:val="20"/>
                <w:color w:val="auto"/>
              </w:rPr>
            </w:pPr>
            <w:r>
              <w:rPr>
                <w:rFonts w:ascii="Arial" w:cs="Arial" w:eastAsia="Arial" w:hAnsi="Arial"/>
                <w:sz w:val="16"/>
                <w:szCs w:val="16"/>
                <w:color w:val="auto"/>
              </w:rPr>
              <w:t>$</w:t>
            </w:r>
          </w:p>
        </w:tc>
        <w:tc>
          <w:tcPr>
            <w:tcW w:w="98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1,110</w:t>
            </w:r>
          </w:p>
        </w:tc>
        <w:tc>
          <w:tcPr>
            <w:tcW w:w="100" w:type="dxa"/>
            <w:vAlign w:val="bottom"/>
            <w:tcBorders>
              <w:bottom w:val="single" w:sz="8" w:color="CCEEFF"/>
            </w:tcBorders>
          </w:tcPr>
          <w:p>
            <w:pPr>
              <w:spacing w:after="0"/>
              <w:rPr>
                <w:sz w:val="23"/>
                <w:szCs w:val="23"/>
                <w:color w:val="auto"/>
              </w:rPr>
            </w:pPr>
          </w:p>
        </w:tc>
        <w:tc>
          <w:tcPr>
            <w:tcW w:w="280" w:type="dxa"/>
            <w:vAlign w:val="bottom"/>
            <w:tcBorders>
              <w:top w:val="single" w:sz="8" w:color="auto"/>
              <w:bottom w:val="single" w:sz="8" w:color="auto"/>
            </w:tcBorders>
          </w:tcPr>
          <w:p>
            <w:pPr>
              <w:jc w:val="right"/>
              <w:ind w:right="81"/>
              <w:spacing w:after="0"/>
              <w:rPr>
                <w:sz w:val="20"/>
                <w:szCs w:val="20"/>
                <w:color w:val="auto"/>
              </w:rPr>
            </w:pPr>
            <w:r>
              <w:rPr>
                <w:rFonts w:ascii="Arial" w:cs="Arial" w:eastAsia="Arial" w:hAnsi="Arial"/>
                <w:sz w:val="16"/>
                <w:szCs w:val="16"/>
                <w:color w:val="auto"/>
              </w:rPr>
              <w:t>$</w:t>
            </w:r>
          </w:p>
        </w:tc>
        <w:tc>
          <w:tcPr>
            <w:tcW w:w="96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1,720</w:t>
            </w:r>
          </w:p>
        </w:tc>
        <w:tc>
          <w:tcPr>
            <w:tcW w:w="100" w:type="dxa"/>
            <w:vAlign w:val="bottom"/>
            <w:tcBorders>
              <w:bottom w:val="single" w:sz="8" w:color="CCEEFF"/>
            </w:tcBorders>
          </w:tcPr>
          <w:p>
            <w:pPr>
              <w:spacing w:after="0"/>
              <w:rPr>
                <w:sz w:val="23"/>
                <w:szCs w:val="23"/>
                <w:color w:val="auto"/>
              </w:rPr>
            </w:pPr>
          </w:p>
        </w:tc>
        <w:tc>
          <w:tcPr>
            <w:tcW w:w="420" w:type="dxa"/>
            <w:vAlign w:val="bottom"/>
            <w:tcBorders>
              <w:top w:val="single" w:sz="8" w:color="auto"/>
              <w:bottom w:val="single" w:sz="8" w:color="auto"/>
            </w:tcBorders>
          </w:tcPr>
          <w:p>
            <w:pPr>
              <w:jc w:val="right"/>
              <w:ind w:right="241"/>
              <w:spacing w:after="0"/>
              <w:rPr>
                <w:sz w:val="20"/>
                <w:szCs w:val="20"/>
                <w:color w:val="auto"/>
              </w:rPr>
            </w:pPr>
            <w:r>
              <w:rPr>
                <w:rFonts w:ascii="Arial" w:cs="Arial" w:eastAsia="Arial" w:hAnsi="Arial"/>
                <w:sz w:val="16"/>
                <w:szCs w:val="16"/>
                <w:color w:val="auto"/>
                <w:w w:val="89"/>
              </w:rPr>
              <w:t>$</w:t>
            </w:r>
          </w:p>
        </w:tc>
        <w:tc>
          <w:tcPr>
            <w:tcW w:w="82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2,143</w:t>
            </w:r>
          </w:p>
        </w:tc>
      </w:tr>
      <w:tr>
        <w:trPr>
          <w:trHeight w:val="282"/>
        </w:trPr>
        <w:tc>
          <w:tcPr>
            <w:tcW w:w="73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r>
      <w:tr>
        <w:trPr>
          <w:trHeight w:val="249"/>
        </w:trPr>
        <w:tc>
          <w:tcPr>
            <w:tcW w:w="7320" w:type="dxa"/>
            <w:vAlign w:val="bottom"/>
          </w:tcPr>
          <w:p>
            <w:pPr>
              <w:ind w:left="20"/>
              <w:spacing w:after="0"/>
              <w:rPr>
                <w:sz w:val="20"/>
                <w:szCs w:val="20"/>
                <w:color w:val="auto"/>
              </w:rPr>
            </w:pPr>
            <w:r>
              <w:rPr>
                <w:rFonts w:ascii="Arial" w:cs="Arial" w:eastAsia="Arial" w:hAnsi="Arial"/>
                <w:sz w:val="16"/>
                <w:szCs w:val="16"/>
                <w:b w:val="1"/>
                <w:bCs w:val="1"/>
                <w:color w:val="auto"/>
              </w:rPr>
              <w:t>Supplemental disclosure to cash flow information:</w:t>
            </w:r>
          </w:p>
        </w:tc>
        <w:tc>
          <w:tcPr>
            <w:tcW w:w="3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spacing w:after="0"/>
              <w:rPr>
                <w:sz w:val="21"/>
                <w:szCs w:val="21"/>
                <w:color w:val="auto"/>
              </w:rPr>
            </w:pPr>
          </w:p>
        </w:tc>
      </w:tr>
      <w:tr>
        <w:trPr>
          <w:trHeight w:val="22"/>
        </w:trPr>
        <w:tc>
          <w:tcPr>
            <w:tcW w:w="7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r>
        <w:trPr>
          <w:trHeight w:val="253"/>
        </w:trPr>
        <w:tc>
          <w:tcPr>
            <w:tcW w:w="7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Interest paid</w:t>
            </w:r>
          </w:p>
        </w:tc>
        <w:tc>
          <w:tcPr>
            <w:tcW w:w="300" w:type="dxa"/>
            <w:vAlign w:val="bottom"/>
            <w:tcBorders>
              <w:bottom w:val="single" w:sz="8" w:color="auto"/>
            </w:tcBorders>
            <w:shd w:val="clear" w:color="auto" w:fill="CCEEFF"/>
          </w:tcPr>
          <w:p>
            <w:pPr>
              <w:jc w:val="right"/>
              <w:ind w:right="101"/>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auto"/>
            </w:tcBorders>
            <w:shd w:val="clear" w:color="auto" w:fill="CCEEFF"/>
          </w:tcPr>
          <w:p>
            <w:pPr>
              <w:jc w:val="right"/>
              <w:ind w:right="41"/>
              <w:spacing w:after="0"/>
              <w:rPr>
                <w:sz w:val="20"/>
                <w:szCs w:val="20"/>
                <w:color w:val="auto"/>
              </w:rPr>
            </w:pPr>
            <w:r>
              <w:rPr>
                <w:rFonts w:ascii="Arial" w:cs="Arial" w:eastAsia="Arial" w:hAnsi="Arial"/>
                <w:sz w:val="16"/>
                <w:szCs w:val="16"/>
                <w:color w:val="auto"/>
              </w:rPr>
              <w:t>215</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81"/>
              <w:spacing w:after="0"/>
              <w:rPr>
                <w:sz w:val="20"/>
                <w:szCs w:val="20"/>
                <w:color w:val="auto"/>
              </w:rPr>
            </w:pPr>
            <w:r>
              <w:rPr>
                <w:rFonts w:ascii="Arial" w:cs="Arial" w:eastAsia="Arial" w:hAnsi="Arial"/>
                <w:sz w:val="16"/>
                <w:szCs w:val="16"/>
                <w:color w:val="auto"/>
              </w:rPr>
              <w:t>$</w:t>
            </w:r>
          </w:p>
        </w:tc>
        <w:tc>
          <w:tcPr>
            <w:tcW w:w="960" w:type="dxa"/>
            <w:vAlign w:val="bottom"/>
            <w:tcBorders>
              <w:bottom w:val="single" w:sz="8" w:color="auto"/>
            </w:tcBorders>
            <w:shd w:val="clear" w:color="auto" w:fill="CCEEFF"/>
          </w:tcPr>
          <w:p>
            <w:pPr>
              <w:jc w:val="right"/>
              <w:ind w:right="41"/>
              <w:spacing w:after="0"/>
              <w:rPr>
                <w:sz w:val="20"/>
                <w:szCs w:val="20"/>
                <w:color w:val="auto"/>
              </w:rPr>
            </w:pPr>
            <w:r>
              <w:rPr>
                <w:rFonts w:ascii="Arial" w:cs="Arial" w:eastAsia="Arial" w:hAnsi="Arial"/>
                <w:sz w:val="16"/>
                <w:szCs w:val="16"/>
                <w:color w:val="auto"/>
              </w:rPr>
              <w:t>217</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jc w:val="right"/>
              <w:ind w:right="241"/>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shd w:val="clear" w:color="auto" w:fill="CCEEFF"/>
          </w:tcPr>
          <w:p>
            <w:pPr>
              <w:jc w:val="right"/>
              <w:ind w:right="41"/>
              <w:spacing w:after="0"/>
              <w:rPr>
                <w:sz w:val="20"/>
                <w:szCs w:val="20"/>
                <w:color w:val="auto"/>
              </w:rPr>
            </w:pPr>
            <w:r>
              <w:rPr>
                <w:rFonts w:ascii="Arial" w:cs="Arial" w:eastAsia="Arial" w:hAnsi="Arial"/>
                <w:sz w:val="16"/>
                <w:szCs w:val="16"/>
                <w:color w:val="auto"/>
              </w:rPr>
              <w:t>347</w:t>
            </w:r>
          </w:p>
        </w:tc>
      </w:tr>
      <w:tr>
        <w:trPr>
          <w:trHeight w:val="20"/>
        </w:trPr>
        <w:tc>
          <w:tcPr>
            <w:tcW w:w="73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r>
        <w:trPr>
          <w:trHeight w:val="210"/>
        </w:trPr>
        <w:tc>
          <w:tcPr>
            <w:tcW w:w="7320" w:type="dxa"/>
            <w:vAlign w:val="bottom"/>
          </w:tcPr>
          <w:p>
            <w:pPr>
              <w:ind w:left="20"/>
              <w:spacing w:after="0"/>
              <w:rPr>
                <w:sz w:val="20"/>
                <w:szCs w:val="20"/>
                <w:color w:val="auto"/>
              </w:rPr>
            </w:pPr>
            <w:r>
              <w:rPr>
                <w:rFonts w:ascii="Arial" w:cs="Arial" w:eastAsia="Arial" w:hAnsi="Arial"/>
                <w:sz w:val="16"/>
                <w:szCs w:val="16"/>
                <w:color w:val="auto"/>
              </w:rPr>
              <w:t>Taxes paid</w:t>
            </w:r>
          </w:p>
        </w:tc>
        <w:tc>
          <w:tcPr>
            <w:tcW w:w="300" w:type="dxa"/>
            <w:vAlign w:val="bottom"/>
            <w:tcBorders>
              <w:bottom w:val="single" w:sz="8" w:color="auto"/>
            </w:tcBorders>
          </w:tcPr>
          <w:p>
            <w:pPr>
              <w:jc w:val="right"/>
              <w:ind w:right="101"/>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auto"/>
            </w:tcBorders>
          </w:tcPr>
          <w:p>
            <w:pPr>
              <w:jc w:val="right"/>
              <w:ind w:right="41"/>
              <w:spacing w:after="0"/>
              <w:rPr>
                <w:sz w:val="20"/>
                <w:szCs w:val="20"/>
                <w:color w:val="auto"/>
              </w:rPr>
            </w:pPr>
            <w:r>
              <w:rPr>
                <w:rFonts w:ascii="Arial" w:cs="Arial" w:eastAsia="Arial" w:hAnsi="Arial"/>
                <w:sz w:val="16"/>
                <w:szCs w:val="16"/>
                <w:color w:val="auto"/>
              </w:rPr>
              <w:t>1</w:t>
            </w:r>
          </w:p>
        </w:tc>
        <w:tc>
          <w:tcPr>
            <w:tcW w:w="100" w:type="dxa"/>
            <w:vAlign w:val="bottom"/>
          </w:tcPr>
          <w:p>
            <w:pPr>
              <w:spacing w:after="0"/>
              <w:rPr>
                <w:sz w:val="18"/>
                <w:szCs w:val="18"/>
                <w:color w:val="auto"/>
              </w:rPr>
            </w:pPr>
          </w:p>
        </w:tc>
        <w:tc>
          <w:tcPr>
            <w:tcW w:w="280" w:type="dxa"/>
            <w:vAlign w:val="bottom"/>
            <w:tcBorders>
              <w:bottom w:val="single" w:sz="8" w:color="auto"/>
            </w:tcBorders>
          </w:tcPr>
          <w:p>
            <w:pPr>
              <w:jc w:val="right"/>
              <w:ind w:right="81"/>
              <w:spacing w:after="0"/>
              <w:rPr>
                <w:sz w:val="20"/>
                <w:szCs w:val="20"/>
                <w:color w:val="auto"/>
              </w:rPr>
            </w:pPr>
            <w:r>
              <w:rPr>
                <w:rFonts w:ascii="Arial" w:cs="Arial" w:eastAsia="Arial" w:hAnsi="Arial"/>
                <w:sz w:val="16"/>
                <w:szCs w:val="16"/>
                <w:color w:val="auto"/>
              </w:rPr>
              <w:t>$</w:t>
            </w:r>
          </w:p>
        </w:tc>
        <w:tc>
          <w:tcPr>
            <w:tcW w:w="960" w:type="dxa"/>
            <w:vAlign w:val="bottom"/>
            <w:tcBorders>
              <w:bottom w:val="single" w:sz="8" w:color="auto"/>
            </w:tcBorders>
          </w:tcPr>
          <w:p>
            <w:pPr>
              <w:jc w:val="right"/>
              <w:ind w:right="41"/>
              <w:spacing w:after="0"/>
              <w:rPr>
                <w:sz w:val="20"/>
                <w:szCs w:val="20"/>
                <w:color w:val="auto"/>
              </w:rPr>
            </w:pPr>
            <w:r>
              <w:rPr>
                <w:rFonts w:ascii="Arial" w:cs="Arial" w:eastAsia="Arial" w:hAnsi="Arial"/>
                <w:sz w:val="16"/>
                <w:szCs w:val="16"/>
                <w:color w:val="auto"/>
              </w:rPr>
              <w:t>3</w:t>
            </w:r>
          </w:p>
        </w:tc>
        <w:tc>
          <w:tcPr>
            <w:tcW w:w="100" w:type="dxa"/>
            <w:vAlign w:val="bottom"/>
          </w:tcPr>
          <w:p>
            <w:pPr>
              <w:spacing w:after="0"/>
              <w:rPr>
                <w:sz w:val="18"/>
                <w:szCs w:val="18"/>
                <w:color w:val="auto"/>
              </w:rPr>
            </w:pPr>
          </w:p>
        </w:tc>
        <w:tc>
          <w:tcPr>
            <w:tcW w:w="420" w:type="dxa"/>
            <w:vAlign w:val="bottom"/>
            <w:tcBorders>
              <w:bottom w:val="single" w:sz="8" w:color="auto"/>
            </w:tcBorders>
          </w:tcPr>
          <w:p>
            <w:pPr>
              <w:jc w:val="right"/>
              <w:ind w:right="241"/>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tcPr>
          <w:p>
            <w:pPr>
              <w:jc w:val="right"/>
              <w:ind w:right="41"/>
              <w:spacing w:after="0"/>
              <w:rPr>
                <w:sz w:val="20"/>
                <w:szCs w:val="20"/>
                <w:color w:val="auto"/>
              </w:rPr>
            </w:pPr>
            <w:r>
              <w:rPr>
                <w:rFonts w:ascii="Arial" w:cs="Arial" w:eastAsia="Arial" w:hAnsi="Arial"/>
                <w:sz w:val="16"/>
                <w:szCs w:val="16"/>
                <w:color w:val="auto"/>
              </w:rPr>
              <w:t>25</w:t>
            </w:r>
          </w:p>
        </w:tc>
      </w:tr>
      <w:tr>
        <w:trPr>
          <w:trHeight w:val="20"/>
        </w:trPr>
        <w:tc>
          <w:tcPr>
            <w:tcW w:w="73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See accompanying notes to consolidated financial statements.</w:t>
      </w:r>
    </w:p>
    <w:p>
      <w:pPr>
        <w:sectPr>
          <w:pgSz w:w="11900" w:h="16838" w:orient="portrait"/>
          <w:cols w:equalWidth="0" w:num="1">
            <w:col w:w="11280"/>
          </w:cols>
          <w:pgMar w:left="320" w:top="580" w:right="299" w:bottom="1440" w:gutter="0" w:footer="0" w:header="0"/>
        </w:sectPr>
      </w:pPr>
    </w:p>
    <w:p>
      <w:pPr>
        <w:spacing w:after="0" w:line="252" w:lineRule="exact"/>
        <w:rPr>
          <w:sz w:val="20"/>
          <w:szCs w:val="20"/>
          <w:color w:val="auto"/>
        </w:rPr>
      </w:pPr>
    </w:p>
    <w:p>
      <w:pPr>
        <w:jc w:val="center"/>
        <w:ind w:right="20"/>
        <w:spacing w:after="0"/>
        <w:rPr>
          <w:sz w:val="20"/>
          <w:szCs w:val="20"/>
          <w:color w:val="auto"/>
        </w:rPr>
      </w:pPr>
      <w:r>
        <w:rPr>
          <w:rFonts w:ascii="Arial" w:cs="Arial" w:eastAsia="Arial" w:hAnsi="Arial"/>
          <w:sz w:val="16"/>
          <w:szCs w:val="16"/>
          <w:color w:val="auto"/>
        </w:rPr>
        <w:t>78</w:t>
      </w:r>
    </w:p>
    <w:p>
      <w:pPr>
        <w:sectPr>
          <w:pgSz w:w="11900" w:h="16838" w:orient="portrait"/>
          <w:cols w:equalWidth="0" w:num="1">
            <w:col w:w="11280"/>
          </w:cols>
          <w:pgMar w:left="320" w:top="580" w:right="299" w:bottom="1440" w:gutter="0" w:footer="0" w:header="0"/>
          <w:type w:val="continuous"/>
        </w:sectPr>
      </w:pPr>
    </w:p>
    <w:bookmarkStart w:id="79" w:name="page80"/>
    <w:bookmarkEnd w:id="79"/>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9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Organization</w:t>
      </w:r>
    </w:p>
    <w:p>
      <w:pPr>
        <w:spacing w:after="0" w:line="175"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We were organized in Delaware on January 7, 2008, and commenced operations on May 20, 2008 following the completion of our initial public offering ("IPO"). Our common stock is traded on The NASDAQ Global Select Market under the symbol "AGNC."</w:t>
      </w:r>
    </w:p>
    <w:p>
      <w:pPr>
        <w:spacing w:after="0" w:line="116"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We are externally managed by American Capital AGNC Management, LLC (our "Manager"), an affiliate of American Capital, Ltd. ("American Capital").</w:t>
      </w:r>
    </w:p>
    <w:p>
      <w:pPr>
        <w:spacing w:after="0" w:line="116"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We operate so as to qualify to be taxed as a real estate investment trust ("REIT") under the Internal Revenue Code of 1986, as amended (the "Internal Revenue Code"). As a REIT, we are required to distribute annually 90% of our taxable net income. As long as we continue to qualify as a REIT, we will generally not be subject to U.S. federal or state corporate taxes on our taxable net income to the extent that we distribute all of our annual taxable net income to our stockholders. It is our intention to distribute 100% of our taxable net income, after application of available tax attributes, within the limits prescribed by the Internal Revenue Code, which may extend into the subsequent taxable year.</w:t>
      </w:r>
    </w:p>
    <w:p>
      <w:pPr>
        <w:spacing w:after="0" w:line="119"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We earn income primarily from investing on a leveraged basis in agency mortgage-backed securities ("agency MBS"). These investments consist of residential mortgage pass-through securities and collateralized mortgage obligations ("CMOs") for which the principal and interest payments are guaranteed by a government-sponsored enterprise, such as the Federal National Mortgage Association ("Fannie Mae") and the Federal Home Loan Mortgage Corporation ("Freddie Mac"), or by a U.S. Government agency, such as the Government National Mortgage Association ("Ginnie Mae") (collectively referred to as "GSEs"). We may also invest in other assets reasonably related to agency securities and up to 10% of our assets in AAA non-agency and commercial mortgage-backed securities (collectively referred to as "AAA non-agency MBS").</w:t>
      </w:r>
    </w:p>
    <w:p>
      <w:pPr>
        <w:spacing w:after="0" w:line="139"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Our principal objective is to generate attractive risk-adjusted returns for distribution to our stockholders through regular monthly dividends from the combination of our net interest income and net realized gains and losses on our investments and hedging activities while preserving our net asset value (also referred to as "net book value," "NAV" and "stockholders' equity"). We fund our investments primarily through short-term borrowings structured as repurchase agreements.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Summary of Significant Accounting Policies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of Presentation and Consolidation</w:t>
      </w:r>
    </w:p>
    <w:p>
      <w:pPr>
        <w:spacing w:after="0" w:line="171"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Our consolidated financial statements are prepared in accordance with accounting principles generally accepted in the United States ("GAAP"). Our consolidated financial statements include the accounts of all subsidiaries and variable interest entities for which we are the primary beneficiary. Significant intercompany accounts and transactions have been eliminated.</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171"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The preparation of financial statements in conformity with GAAP requires management to make estimates and assumptions that affect the reported amounts of assets and liabilities, disclosure of contingent assets and liabilities at the date of the financial statements and revenues and expenses during the period reported. Actual results could differ from those estimates.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Earnings per Share</w:t>
      </w:r>
    </w:p>
    <w:p>
      <w:pPr>
        <w:spacing w:after="0" w:line="171"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Basic earnings per share ("EPS") is computed by dividing net income (loss) available (attributable) to common stockholders by the weighted average number of common shares outstanding during the period. Diluted EPS assumes the conversion, exercise or issuance of all potential common stock equivalents unless the effect is to reduce a loss or increase the income per share.</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Accumulated Other Comprehensive Income (Loss)</w:t>
      </w:r>
    </w:p>
    <w:p>
      <w:pPr>
        <w:spacing w:after="0" w:line="171" w:lineRule="exact"/>
        <w:rPr>
          <w:sz w:val="20"/>
          <w:szCs w:val="20"/>
          <w:color w:val="auto"/>
        </w:rPr>
      </w:pPr>
    </w:p>
    <w:p>
      <w:pPr>
        <w:jc w:val="both"/>
        <w:ind w:firstLine="405"/>
        <w:spacing w:after="0" w:line="276" w:lineRule="auto"/>
        <w:rPr>
          <w:sz w:val="20"/>
          <w:szCs w:val="20"/>
          <w:color w:val="auto"/>
        </w:rPr>
      </w:pPr>
      <w:r>
        <w:rPr>
          <w:rFonts w:ascii="Arial" w:cs="Arial" w:eastAsia="Arial" w:hAnsi="Arial"/>
          <w:sz w:val="17"/>
          <w:szCs w:val="17"/>
          <w:color w:val="auto"/>
        </w:rPr>
        <w:t xml:space="preserve">Accounting Standards Codification ("ASC") Topic 220, </w:t>
      </w:r>
      <w:r>
        <w:rPr>
          <w:rFonts w:ascii="Arial" w:cs="Arial" w:eastAsia="Arial" w:hAnsi="Arial"/>
          <w:sz w:val="17"/>
          <w:szCs w:val="17"/>
          <w:i w:val="1"/>
          <w:iCs w:val="1"/>
          <w:color w:val="auto"/>
        </w:rPr>
        <w:t>Comprehensive Income</w:t>
      </w:r>
      <w:r>
        <w:rPr>
          <w:rFonts w:ascii="Arial" w:cs="Arial" w:eastAsia="Arial" w:hAnsi="Arial"/>
          <w:sz w:val="17"/>
          <w:szCs w:val="17"/>
          <w:color w:val="auto"/>
        </w:rPr>
        <w:t xml:space="preserve"> ("ASC 220"), divides comprehensive income into net income and other comprehensive income (loss) ("OCI"), which includes unrealized gains and losses on securities classified as available-for-sale and unrealized gains and losses on derivative financial instruments that are designated and qualify for cash flow hedge accounting under ASC Topic 815, </w:t>
      </w:r>
      <w:r>
        <w:rPr>
          <w:rFonts w:ascii="Arial" w:cs="Arial" w:eastAsia="Arial" w:hAnsi="Arial"/>
          <w:sz w:val="17"/>
          <w:szCs w:val="17"/>
          <w:i w:val="1"/>
          <w:iCs w:val="1"/>
          <w:color w:val="auto"/>
        </w:rPr>
        <w:t>Derivatives and Hedging</w:t>
      </w:r>
      <w:r>
        <w:rPr>
          <w:rFonts w:ascii="Arial" w:cs="Arial" w:eastAsia="Arial" w:hAnsi="Arial"/>
          <w:sz w:val="17"/>
          <w:szCs w:val="17"/>
          <w:color w:val="auto"/>
        </w:rPr>
        <w:t xml:space="preserve"> ("ASC 815"). During fiscal year 2011, we discontinued designating our derivative financial instruments, principally interest rate swaps, as cash flow hedges. For further information regarding our discontinuation of cash flow hedge accounting, see </w:t>
      </w:r>
      <w:r>
        <w:rPr>
          <w:rFonts w:ascii="Arial" w:cs="Arial" w:eastAsia="Arial" w:hAnsi="Arial"/>
          <w:sz w:val="17"/>
          <w:szCs w:val="17"/>
          <w:i w:val="1"/>
          <w:iCs w:val="1"/>
          <w:color w:val="auto"/>
        </w:rPr>
        <w:t>Derivatives Instruments</w:t>
      </w:r>
      <w:r>
        <w:rPr>
          <w:rFonts w:ascii="Arial" w:cs="Arial" w:eastAsia="Arial" w:hAnsi="Arial"/>
          <w:sz w:val="17"/>
          <w:szCs w:val="17"/>
          <w:color w:val="auto"/>
        </w:rPr>
        <w:t xml:space="preserve"> below and Note 5.</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79</w:t>
      </w:r>
    </w:p>
    <w:p>
      <w:pPr>
        <w:sectPr>
          <w:pgSz w:w="11900" w:h="16838" w:orient="portrait"/>
          <w:cols w:equalWidth="0" w:num="1">
            <w:col w:w="11420"/>
          </w:cols>
          <w:pgMar w:left="240" w:top="580" w:right="239" w:bottom="1440" w:gutter="0" w:footer="0" w:header="0"/>
        </w:sectPr>
      </w:pPr>
    </w:p>
    <w:bookmarkStart w:id="80" w:name="page81"/>
    <w:bookmarkEnd w:id="80"/>
    <w:p>
      <w:pPr>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171"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Cash and cash equivalents consist of unrestricted demand deposits and highly liquid investments with original maturities of three months or less. Cash and cash equivalents are carried at cost, which approximates fair value.</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Cash and Cash Equivalents</w:t>
      </w:r>
    </w:p>
    <w:p>
      <w:pPr>
        <w:spacing w:after="0" w:line="171"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Restricted cash and cash equivalents includes cash and cash equivalents pledged as collateral for clearing and executing trades, repurchase agreements and other borrowings, and interest rate swaps and other derivative instruments. Restricted cash and cash equivalents are carried at cost, which approximates fair value.</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 Securities</w:t>
      </w:r>
    </w:p>
    <w:p>
      <w:pPr>
        <w:spacing w:after="0" w:line="171" w:lineRule="exact"/>
        <w:rPr>
          <w:sz w:val="20"/>
          <w:szCs w:val="20"/>
          <w:color w:val="auto"/>
        </w:rPr>
      </w:pPr>
    </w:p>
    <w:p>
      <w:pPr>
        <w:jc w:val="both"/>
        <w:ind w:firstLine="432"/>
        <w:spacing w:after="0" w:line="254" w:lineRule="auto"/>
        <w:rPr>
          <w:sz w:val="20"/>
          <w:szCs w:val="20"/>
          <w:color w:val="auto"/>
        </w:rPr>
      </w:pPr>
      <w:r>
        <w:rPr>
          <w:rFonts w:ascii="Arial" w:cs="Arial" w:eastAsia="Arial" w:hAnsi="Arial"/>
          <w:sz w:val="18"/>
          <w:szCs w:val="18"/>
          <w:color w:val="auto"/>
        </w:rPr>
        <w:t xml:space="preserve">ASC Topic 320, </w:t>
      </w:r>
      <w:r>
        <w:rPr>
          <w:rFonts w:ascii="Arial" w:cs="Arial" w:eastAsia="Arial" w:hAnsi="Arial"/>
          <w:sz w:val="18"/>
          <w:szCs w:val="18"/>
          <w:i w:val="1"/>
          <w:iCs w:val="1"/>
          <w:color w:val="auto"/>
        </w:rPr>
        <w:t>Investments—Debt and Equity Securities</w:t>
      </w:r>
      <w:r>
        <w:rPr>
          <w:rFonts w:ascii="Arial" w:cs="Arial" w:eastAsia="Arial" w:hAnsi="Arial"/>
          <w:sz w:val="18"/>
          <w:szCs w:val="18"/>
          <w:color w:val="auto"/>
        </w:rPr>
        <w:t xml:space="preserve"> ("ASC 320"), requires that at the time of purchase, we designate a security as held-to-maturity, available-for-sale or trading, depending on our ability and intent to hold such security to maturity. Securities classified as trading and available-for-sale are reported at fair value, while securities classified as held-to-maturity are reported at amortized cost. We may sell any of our mortgage investment securities as part of our overall management of our investment portfolio. Accordingly, we typically designate our agency and non-agency securities (collectively referred to as "mortgage securities" or "investment securities") as available-for-sale. All securities classified as available-for-sale are reported at fair value, with unrealized gains and losses reported in accumulated OCI, a separate component of stockholders' equity. Upon the sale of a security, we determine the cost of the security and the amount of unrealized gains or losses to reclassify out of accumulated OCI into earnings based on the specific identification method.</w:t>
      </w:r>
    </w:p>
    <w:p>
      <w:pPr>
        <w:spacing w:after="0" w:line="138"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Non-agency securities in which we may invest consist of investment grade, AAA rated MBS backed by residential or commercial mortgages, for which the payment of principal and interest is not guaranteed by a GSE or government agency. Instead, a private institution such as a commercial bank will package residential or commercial mortgage loans and securitize them through the issuance of MBS. Investment grade, AAA rated non-agency MBS benefit from credit enhancements derived from structural elements, such as subordination, overcollateralization or insurance, but nonetheless carry a higher level of credit exposure than agency MBS.</w:t>
      </w:r>
    </w:p>
    <w:p>
      <w:pPr>
        <w:spacing w:after="0" w:line="134"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Interest-only securities and inverse interest-only securities (collectively referred to as "interest-only securities") represent our right to receive a specified proportion of the contractual interest flows of specific agency CMO securities. Principal-only securities represent our right to receive the contractual principal flows of specific agency CMO securities. Interest and principal-only securities are measured at fair value through earnings in gain (loss) on derivative instruments and other securities, net in our consolidated statements of comprehensive income. Our investments in interest and principal-only securities are included in agency securities, at fair value on the accompanying consolidated balance sheets.</w:t>
      </w:r>
    </w:p>
    <w:p>
      <w:pPr>
        <w:spacing w:after="0" w:line="119" w:lineRule="exact"/>
        <w:rPr>
          <w:sz w:val="20"/>
          <w:szCs w:val="20"/>
          <w:color w:val="auto"/>
        </w:rPr>
      </w:pPr>
    </w:p>
    <w:p>
      <w:pPr>
        <w:ind w:left="440"/>
        <w:spacing w:after="0"/>
        <w:rPr>
          <w:sz w:val="20"/>
          <w:szCs w:val="20"/>
          <w:color w:val="auto"/>
        </w:rPr>
      </w:pPr>
      <w:r>
        <w:rPr>
          <w:rFonts w:ascii="Arial" w:cs="Arial" w:eastAsia="Arial" w:hAnsi="Arial"/>
          <w:sz w:val="16"/>
          <w:szCs w:val="16"/>
          <w:color w:val="auto"/>
        </w:rPr>
        <w:t>REIT equity securities represent investments in the common stock of other publicly traded mortgage REITs that invest predominantly in agency MBS.</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We designate our investments in REIT equity securities as trading securities and report them at fair value on the accompanying consolidated balance sheets.</w:t>
      </w:r>
    </w:p>
    <w:p>
      <w:pPr>
        <w:spacing w:after="0" w:line="180"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We estimate the fair value of our mortgage securities based on a market approach using "Level 2" inputs from third-party pricing services and non-binding dealer quotes derived from common market pricing methods. Such methods incorporate, but are not limited to, reported trades and executable bid and asked prices for similar securities, benchmark interest rate curves, such as the spread to the U.S. Treasury rate and interest rate swap curves, convexity, duration and the underlying characteristics of the particular security, including coupon, periodic and life caps, rate reset period, issuer, additional credit support and expected life of the security. We estimate the fair value of our REIT equity securities on a market approach using "Level 1" inputs based on quoted market prices. Refer to Note 7 for further discussion of fair value measurements.</w:t>
      </w:r>
    </w:p>
    <w:p>
      <w:pPr>
        <w:spacing w:after="0" w:line="124"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We evaluate our mortgage securities for other-than-temporary impairment ("OTTI") on at least a quarterly basis. The determination of whether a security is other-than-temporarily impaired may involve judgments and assumptions based on subjective and objective factors. When a security is impaired, an OTTI is considered to have occurred if any one of the following three conditions exists as of the financial reporting date: (i) we intend to sell the security (that is, a decision has been made to sell the security), (ii) it is more likely than not that we will be required to sell the security before recovery of its amortized cost basis or (iii) we do not expect to recover the security's amortized cost basis, even if we do not intend to sell the security and it is not more likely than not that we will be required to sell the security. A general allowance for unidentified impairments in a portfolio of securities is not permitted.</w:t>
      </w:r>
    </w:p>
    <w:p>
      <w:pPr>
        <w:spacing w:after="0" w:line="11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If either of the first two conditions exists as of the financial reporting date, the entire amount of the impairment loss, if any, is recognized in earnings as a realized loss and the cost basis of the security is adjusted to its fair value. However, with respect to the first condition, since the liquidity of the agency and AAA non-agency securities market allows us to obtain competitive bids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80</w:t>
      </w:r>
    </w:p>
    <w:p>
      <w:pPr>
        <w:sectPr>
          <w:pgSz w:w="11900" w:h="16838" w:orient="portrait"/>
          <w:cols w:equalWidth="0" w:num="1">
            <w:col w:w="11420"/>
          </w:cols>
          <w:pgMar w:left="240" w:top="746" w:right="239" w:bottom="1440" w:gutter="0" w:footer="0" w:header="0"/>
        </w:sectPr>
      </w:pPr>
    </w:p>
    <w:bookmarkStart w:id="81" w:name="page82"/>
    <w:bookmarkEnd w:id="81"/>
    <w:p>
      <w:pPr>
        <w:jc w:val="both"/>
        <w:spacing w:after="0" w:line="257" w:lineRule="auto"/>
        <w:rPr>
          <w:sz w:val="20"/>
          <w:szCs w:val="20"/>
          <w:color w:val="auto"/>
        </w:rPr>
      </w:pPr>
      <w:r>
        <w:rPr>
          <w:rFonts w:ascii="Arial" w:cs="Arial" w:eastAsia="Arial" w:hAnsi="Arial"/>
          <w:sz w:val="18"/>
          <w:szCs w:val="18"/>
          <w:color w:val="auto"/>
        </w:rPr>
        <w:t>and execute on a sale transaction typically within a day of making the decision to sell a security, we generally do not make decisions to sell specific mortgage securities until shortly prior to initiating a sell order. In some instances, we may sell specific agency securities by delivering the securities into existing short "to-be-announced" ("TBA") contracts. TBA market conventions require the identification of the specific securities to be delivered no later than 48 hours prior to settlement. If we settle a short TBA contract through the delivery of securities, we will generally identify the specific securities to be delivered within one to two days before the 48-hour deadline.</w:t>
      </w:r>
    </w:p>
    <w:p>
      <w:pPr>
        <w:spacing w:after="0" w:line="134"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If the third condition exists, the OTTI is separated into (i) the amount relating to credit loss (the "credit component") and (ii) the amount relating to all other factors (the "non-credit components"). Only the credit component is recognized in earnings, with the non-credit components recognized in OCI. However, in evaluating if the third condition exists, our investments in agency securities typically would not have a credit component since the principal and interest are guaranteed by a GSE and, therefore, any unrealized loss is not the result of a credit loss. In addition, since we designate our mortgage securities as available-for-sale securities with unrealized gains and losses recognized in OCI, any impairment loss for non-credit components is already recognized in OCI.</w:t>
      </w:r>
    </w:p>
    <w:p>
      <w:pPr>
        <w:spacing w:after="0" w:line="10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did not recognize any OTTI charges on our investment securities for fiscal years 2015, 2014 or 2013.</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w:t>
      </w:r>
    </w:p>
    <w:p>
      <w:pPr>
        <w:spacing w:after="0" w:line="17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 xml:space="preserve">Interest income is accrued based on the outstanding principal amount of the investment securities and their contractual terms. Premiums or discounts associated with the purchase of investment securities are amortized or accreted into interest income, respectively, over the projected lives of the securities, including contractual payments and estimated prepayments using the effective interest method in accordance with ASC Subtopic 310-20, </w:t>
      </w:r>
      <w:r>
        <w:rPr>
          <w:rFonts w:ascii="Arial" w:cs="Arial" w:eastAsia="Arial" w:hAnsi="Arial"/>
          <w:sz w:val="18"/>
          <w:szCs w:val="18"/>
          <w:i w:val="1"/>
          <w:iCs w:val="1"/>
          <w:color w:val="auto"/>
        </w:rPr>
        <w:t>Receivables—</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Nonrefundable Fees and Other Costs </w:t>
      </w:r>
      <w:r>
        <w:rPr>
          <w:rFonts w:ascii="Arial" w:cs="Arial" w:eastAsia="Arial" w:hAnsi="Arial"/>
          <w:sz w:val="18"/>
          <w:szCs w:val="18"/>
          <w:color w:val="auto"/>
        </w:rPr>
        <w:t>("ASC 310-20").</w:t>
      </w:r>
    </w:p>
    <w:p>
      <w:pPr>
        <w:spacing w:after="0" w:line="133" w:lineRule="exact"/>
        <w:rPr>
          <w:sz w:val="20"/>
          <w:szCs w:val="20"/>
          <w:color w:val="auto"/>
        </w:rPr>
      </w:pPr>
    </w:p>
    <w:p>
      <w:pPr>
        <w:jc w:val="both"/>
        <w:ind w:firstLine="432"/>
        <w:spacing w:after="0" w:line="289" w:lineRule="auto"/>
        <w:rPr>
          <w:sz w:val="20"/>
          <w:szCs w:val="20"/>
          <w:color w:val="auto"/>
        </w:rPr>
      </w:pPr>
      <w:r>
        <w:rPr>
          <w:rFonts w:ascii="Arial" w:cs="Arial" w:eastAsia="Arial" w:hAnsi="Arial"/>
          <w:sz w:val="16"/>
          <w:szCs w:val="16"/>
          <w:color w:val="auto"/>
        </w:rPr>
        <w:t>We estimate long-term prepayment speeds of our mortgage securities using a third-party service and market data. The third-party service estimates prepayment speeds using models that incorporate the forward yield curve, current mortgage rates and mortgage rates of the outstanding loans, age and size of the outstanding loans, loan-to-value ratios, interest rate volatility and other factors. We review the prepayment speeds estimated by the third-party service and compare the results to market consensus prepayment speeds, if available. We also consider historical prepayment speeds and current market conditions to validate the reasonableness of the prepayment speeds estimated by the third-party service and, based on our Manager's judgment, we may make adjustments to its estimates. Actual and anticipated prepayment experience is reviewed quarterly and effective yields are recalculated when differences arise between (i) our previously estimated future prepayments and (ii) the actual prepayments to date plus our currently estimated future prepayments. If the actual and estimated future prepayment experience differs from our prior estimate of prepayments, we are required to record an adjustment in the current period to the amortization or accretion of premiums and discounts for the cumulative difference in the effective yield through the reporting date.</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185" w:lineRule="exact"/>
        <w:rPr>
          <w:sz w:val="20"/>
          <w:szCs w:val="20"/>
          <w:color w:val="auto"/>
        </w:rPr>
      </w:pPr>
    </w:p>
    <w:p>
      <w:pPr>
        <w:jc w:val="both"/>
        <w:ind w:firstLine="405"/>
        <w:spacing w:after="0" w:line="297" w:lineRule="auto"/>
        <w:rPr>
          <w:sz w:val="20"/>
          <w:szCs w:val="20"/>
          <w:color w:val="auto"/>
        </w:rPr>
      </w:pPr>
      <w:r>
        <w:rPr>
          <w:rFonts w:ascii="Arial" w:cs="Arial" w:eastAsia="Arial" w:hAnsi="Arial"/>
          <w:sz w:val="16"/>
          <w:szCs w:val="16"/>
          <w:color w:val="auto"/>
        </w:rPr>
        <w:t xml:space="preserve">We finance the acquisition of securities for our investment portfolio through repurchase transactions under master repurchase agreements. Pursuant to ASC Topic 860, </w:t>
      </w:r>
      <w:r>
        <w:rPr>
          <w:rFonts w:ascii="Arial" w:cs="Arial" w:eastAsia="Arial" w:hAnsi="Arial"/>
          <w:sz w:val="16"/>
          <w:szCs w:val="16"/>
          <w:i w:val="1"/>
          <w:iCs w:val="1"/>
          <w:color w:val="auto"/>
        </w:rPr>
        <w:t>Transfers and Servicing</w:t>
      </w:r>
      <w:r>
        <w:rPr>
          <w:rFonts w:ascii="Arial" w:cs="Arial" w:eastAsia="Arial" w:hAnsi="Arial"/>
          <w:sz w:val="16"/>
          <w:szCs w:val="16"/>
          <w:color w:val="auto"/>
        </w:rPr>
        <w:t xml:space="preserve"> ("ASC 860"), we account for repurchase transactions as collateralized financing transactions, which are carried at their contractual amounts (cost), plus accrued interest, as specified in the respective transactions. Our repurchase agreements typically have maturities of less than one year, but may extend up to five years or more. Interest rates under our repurchase agreements generally correspond to one, three or six month LIBOR plus or minus a fixed spread. The fair value of our repurchase agreements is assumed to equal cost as the interest rates are considered to be at market.</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Federal Home Loan Bank Advances</w:t>
      </w:r>
    </w:p>
    <w:p>
      <w:pPr>
        <w:spacing w:after="0" w:line="171" w:lineRule="exact"/>
        <w:rPr>
          <w:sz w:val="20"/>
          <w:szCs w:val="20"/>
          <w:color w:val="auto"/>
        </w:rPr>
      </w:pPr>
    </w:p>
    <w:p>
      <w:pPr>
        <w:jc w:val="both"/>
        <w:ind w:firstLine="405"/>
        <w:spacing w:after="0" w:line="270" w:lineRule="auto"/>
        <w:rPr>
          <w:sz w:val="20"/>
          <w:szCs w:val="20"/>
          <w:color w:val="auto"/>
        </w:rPr>
      </w:pPr>
      <w:r>
        <w:rPr>
          <w:rFonts w:ascii="Arial" w:cs="Arial" w:eastAsia="Arial" w:hAnsi="Arial"/>
          <w:sz w:val="17"/>
          <w:szCs w:val="17"/>
          <w:color w:val="auto"/>
        </w:rPr>
        <w:t>Federal Home Loan Bank ("FHLB") advances are secured loans from the FHLB of Des Moines used to finance the acquisitions of investment securities. We account for FHLB advances as collateralized financing transactions, which are carried at their contractual amounts (cost), plus accrued interest, as specified in the respective transactions. In April 2015, our wholly-owned captive insurance subsidiary, Old Georgetown Insurance Co., LLC ("OGI"), was approved as a member of the FHLB of Des Moines. The FHLBs provide a variety of products and services to their members, including short and long-term secured loans. In January 2016, the Federal Housing Finance Agency released its final rule on changes to regulations concerning FHLB membership criteria. The final rule terminates OGI's FHLB membership and requires repayment of all advances at the earlier of their contractual maturity dates or one year after the effective date of the final rule (February 2017). Interest rates under our FHLB advances generally correspond to the FHLB's Member Option Variable Rate or to one or three month LIBOR plus or minus a fixed spread. The fair value of our FHLB advances is assumed to equal cost as the interest rates are considered to be at market.</w:t>
      </w: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81</w:t>
      </w:r>
    </w:p>
    <w:p>
      <w:pPr>
        <w:sectPr>
          <w:pgSz w:w="11900" w:h="16838" w:orient="portrait"/>
          <w:cols w:equalWidth="0" w:num="1">
            <w:col w:w="11420"/>
          </w:cols>
          <w:pgMar w:left="240" w:top="746" w:right="239" w:bottom="1440" w:gutter="0" w:footer="0" w:header="0"/>
        </w:sectPr>
      </w:pPr>
    </w:p>
    <w:bookmarkStart w:id="82" w:name="page83"/>
    <w:bookmarkEnd w:id="82"/>
    <w:p>
      <w:pPr>
        <w:spacing w:after="0"/>
        <w:rPr>
          <w:sz w:val="20"/>
          <w:szCs w:val="20"/>
          <w:color w:val="auto"/>
        </w:rPr>
      </w:pPr>
      <w:r>
        <w:rPr>
          <w:rFonts w:ascii="Arial" w:cs="Arial" w:eastAsia="Arial" w:hAnsi="Arial"/>
          <w:sz w:val="18"/>
          <w:szCs w:val="18"/>
          <w:b w:val="1"/>
          <w:bCs w:val="1"/>
          <w:i w:val="1"/>
          <w:iCs w:val="1"/>
          <w:color w:val="auto"/>
        </w:rPr>
        <w:t>Reverse Repurchase Agreements and Obligation to Return Securities Borrowed under Reverse Repurchase Agreements</w:t>
      </w:r>
    </w:p>
    <w:p>
      <w:pPr>
        <w:spacing w:after="0" w:line="171"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 xml:space="preserve">We from time to time borrow securities to cover short sales of U.S. Treasury securities through reverse repurchase transactions under our master repurchase agreements (see </w:t>
      </w:r>
      <w:r>
        <w:rPr>
          <w:rFonts w:ascii="Arial" w:cs="Arial" w:eastAsia="Arial" w:hAnsi="Arial"/>
          <w:sz w:val="18"/>
          <w:szCs w:val="18"/>
          <w:i w:val="1"/>
          <w:iCs w:val="1"/>
          <w:color w:val="auto"/>
        </w:rPr>
        <w:t>Derivatives Instruments</w:t>
      </w:r>
      <w:r>
        <w:rPr>
          <w:rFonts w:ascii="Arial" w:cs="Arial" w:eastAsia="Arial" w:hAnsi="Arial"/>
          <w:sz w:val="18"/>
          <w:szCs w:val="18"/>
          <w:color w:val="auto"/>
        </w:rPr>
        <w:t xml:space="preserve"> below). We account for these as securities borrowing transactions and recognize an obligation to return the borrowed securities at fair value on the balance sheet based on the value of the underlying borrowed securities as of the reporting date. Our reverse repurchase agreements generally mature daily. The fair value of our reverse repurchase agreements is assumed to equal cost as the interest rates are generally reset daily.</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Instruments</w:t>
      </w:r>
    </w:p>
    <w:p>
      <w:pPr>
        <w:spacing w:after="0" w:line="171" w:lineRule="exact"/>
        <w:rPr>
          <w:sz w:val="20"/>
          <w:szCs w:val="20"/>
          <w:color w:val="auto"/>
        </w:rPr>
      </w:pPr>
    </w:p>
    <w:p>
      <w:pPr>
        <w:jc w:val="both"/>
        <w:ind w:firstLine="405"/>
        <w:spacing w:after="0" w:line="293" w:lineRule="auto"/>
        <w:rPr>
          <w:sz w:val="20"/>
          <w:szCs w:val="20"/>
          <w:color w:val="auto"/>
        </w:rPr>
      </w:pPr>
      <w:r>
        <w:rPr>
          <w:rFonts w:ascii="Arial" w:cs="Arial" w:eastAsia="Arial" w:hAnsi="Arial"/>
          <w:sz w:val="16"/>
          <w:szCs w:val="16"/>
          <w:color w:val="auto"/>
        </w:rPr>
        <w:t>We use a variety of derivative instruments to hedge a portion of our exposure to market risks, including interest rate, prepayment and extension risks. The objective of our risk management strategy is to reduce fluctuations in net book value over a range of interest rate scenarios. In particular, we attempt to mitigate the risk of the cost of our variable rate liabilities increasing during a period of rising interest rates. The principal instruments that we use are interest rate swaps and options to enter into interest rate swaps ("swaptions"). We also utilize forward contracts for the purchase or sale of agency MBS securities on a generic pool basis in the TBA market and we utilize U.S. Treasury securities and U.S. Treasury futures contracts, primarily through short sales. We may also purchase or write put or call options on TBA securities and invest in mortgage and other types of derivatives, such as interest and principal-only securities.</w:t>
      </w:r>
    </w:p>
    <w:p>
      <w:pPr>
        <w:spacing w:after="0" w:line="111"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We may also enter into TBA contracts as a means of investing in and financing agency securities (thereby increasing our "at risk" leverage) or as a means of disposing of or reducing our exposure to agency securities (thereby reducing our "at risk" leverage). Pursuant to TBA contracts, we agree to purchase or sell, for future delivery, agency securities with certain principal and interest terms and certain types of collateral, but the particular agency securities to be delivered are not identified until shortly before the TBA settlement date. We may also choose, prior to settlement, to move the settlement of these securities out to a later date by entering into an offsetting short or long position (referred to as a "pair off"), net settling the paired off positions for cash, and simultaneously purchasing or selling a similar TBA contract for a later settlement date. This transaction is commonly referred to as a "dollar roll." The agency securities purchased or sold for a forward settlement date are typically priced at a discount to agency securities for settlement in the current month. This difference (or discount) is referred to as the "price drop." The price drop is the economic equivalent of net interest carry income on the underlying agency securities over the roll period (interest income less implied financing cost) and is commonly referred to as "dollar roll income/loss." Consequently, forward purchases of agency securities and dollar roll transactions represent a form of off-balance sheet financing.</w:t>
      </w:r>
    </w:p>
    <w:p>
      <w:pPr>
        <w:spacing w:after="0" w:line="124"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 xml:space="preserve">We account for derivative instruments in accordance with ASC Topic 815, </w:t>
      </w:r>
      <w:r>
        <w:rPr>
          <w:rFonts w:ascii="Arial" w:cs="Arial" w:eastAsia="Arial" w:hAnsi="Arial"/>
          <w:sz w:val="18"/>
          <w:szCs w:val="18"/>
          <w:i w:val="1"/>
          <w:iCs w:val="1"/>
          <w:color w:val="auto"/>
        </w:rPr>
        <w:t>Derivatives and Hedging</w:t>
      </w:r>
      <w:r>
        <w:rPr>
          <w:rFonts w:ascii="Arial" w:cs="Arial" w:eastAsia="Arial" w:hAnsi="Arial"/>
          <w:sz w:val="18"/>
          <w:szCs w:val="18"/>
          <w:color w:val="auto"/>
        </w:rPr>
        <w:t xml:space="preserve"> ("ASC 815"). ASC 815 requires an entity to recognize all derivatives as either assets or liabilities in the balance sheet and to measure those instruments at fair value.</w:t>
      </w:r>
    </w:p>
    <w:p>
      <w:pPr>
        <w:spacing w:after="0" w:line="116"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Our derivative agreements generally contain provisions that allow for netting or setting off derivative assets and liabilities with the counterparty; however, we report related assets and liabilities on a gross basis in our consolidated balance sheets. Derivative instruments in a gain position are reported as derivative assets at fair value and derivative instruments in a loss position are reported as derivative liabilities at fair value in our consolidated balance sheets. Changes in fair value of derivative instruments and periodic settlements related to our derivative instruments are recorded in gain (loss) on derivative instruments and other securities, net in our consolidated statements of comprehensive income. Cash receipts and payments related to derivative instruments are classified in our consolidated statements of cash flows according to the underlying nature or purpose of the derivative transaction, generally in the investing section.</w:t>
      </w:r>
    </w:p>
    <w:p>
      <w:pPr>
        <w:spacing w:after="0" w:line="135"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The use of derivative instruments creates exposure to credit risk relating to potential losses that could be recognized in the event that the counterparties to these instruments fail to perform their obligations under the contracts. We attempt to minimize this risk by limiting our counterparties to major financial institutions with acceptable credit ratings, monitoring positions with individual counterparties and adjusting posted collateral as required.</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Discontinuation of hedge accounting for interest rate swap agreements</w:t>
      </w:r>
    </w:p>
    <w:p>
      <w:pPr>
        <w:spacing w:after="0" w:line="17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Prior to fiscal year 2011, we entered into interest rate swap agreements typically with the intention of qualifying for hedge accounting under ASC 815. However, during fiscal year 2011 we elected to discontinue hedge accounting for our interest rate swaps. Upon discontinuation of hedge accounting, the net deferred loss related to our de-designated interest rate swaps remained in accumulated OCI and is being reclassified from accumulated OCI into interest expense on a straight-line basis over the remaining term of each interest rate swap.</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82</w:t>
      </w:r>
    </w:p>
    <w:p>
      <w:pPr>
        <w:sectPr>
          <w:pgSz w:w="11900" w:h="16838" w:orient="portrait"/>
          <w:cols w:equalWidth="0" w:num="1">
            <w:col w:w="11420"/>
          </w:cols>
          <w:pgMar w:left="240" w:top="746" w:right="239" w:bottom="1440" w:gutter="0" w:footer="0" w:header="0"/>
        </w:sectPr>
      </w:pPr>
    </w:p>
    <w:bookmarkStart w:id="83" w:name="page84"/>
    <w:bookmarkEnd w:id="83"/>
    <w:p>
      <w:pPr>
        <w:spacing w:after="0"/>
        <w:rPr>
          <w:sz w:val="20"/>
          <w:szCs w:val="20"/>
          <w:color w:val="auto"/>
        </w:rPr>
      </w:pPr>
      <w:r>
        <w:rPr>
          <w:rFonts w:ascii="Arial" w:cs="Arial" w:eastAsia="Arial" w:hAnsi="Arial"/>
          <w:sz w:val="18"/>
          <w:szCs w:val="18"/>
          <w:i w:val="1"/>
          <w:iCs w:val="1"/>
          <w:color w:val="auto"/>
        </w:rPr>
        <w:t>Interest rate swap agreements</w:t>
      </w:r>
    </w:p>
    <w:p>
      <w:pPr>
        <w:spacing w:after="0" w:line="171"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We use interest rate swaps to hedge the variable cash flows associated with borrowings made under our repurchase agreement facilities. Under our interest rate swap agreements, we typically pay a fixed rate and receive a floating rate based on one, three or six-month LIBOR ("payer swaps") with terms up to 20 years. The floating rate we receive under our swap agreements has the effect of offsetting the repricing characteristics of our repurchase agreements and cash flows on such liabilities. Our swap agreements are privately negotiated in the over−the−counter ("OTC") market, with swap agreements entered into subsequent to May 2013 subject to central clearing through a registered commodities exchange ("centrally cleared swaps").</w:t>
      </w:r>
    </w:p>
    <w:p>
      <w:pPr>
        <w:spacing w:after="0" w:line="104"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We estimate the fair value of our centrally cleared interest rate swaps using the daily settlement price determined by the respective exchange. Centrally cleared swaps are valued by the exchange using a pricing model that references the underlying rates including the overnight index swap rate and LIBOR forward rate to produce the daily settlement price.</w:t>
      </w:r>
    </w:p>
    <w:p>
      <w:pPr>
        <w:spacing w:after="0" w:line="127"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We estimate the fair value of our "non-centrally cleared" swaps using a combination of inputs from counterparty and third-party pricing models to estimate the net present value of the future cash flows using the forward interest rate yield curve in effect as of the end of the measurement period. We also incorporate both our own and our counterparties' nonperformance risk in estimating the fair value of our interest rate swaps. In considering the effect of nonperformance risk, we consider the impact of netting and credit enhancements, such as collateral postings and guarantees, and have concluded that our own and our counterparty risk is not significant to the overall valuation of these agreements.</w:t>
      </w:r>
    </w:p>
    <w:p>
      <w:pPr>
        <w:spacing w:after="0" w:line="11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rate swaptions</w:t>
      </w:r>
    </w:p>
    <w:p>
      <w:pPr>
        <w:spacing w:after="0" w:line="171"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We purchase interest rate swaptions generally to help mitigate the potential impact of larger, more rapid changes in interest rates on the performance of our investment portfolio. Interest rate swaptions provide us the option to enter into an interest rate swap agreement for a predetermined notional amount, stated term and pay and receive interest rates in the future. Our swaption agreements typically provide us the option to enter into a pay fixed rate interest rate swap, which we refer as "payer swaptions." We may also enter into swaption agreements that provide us the option to enter into a receive fixed interest rate swap, which we refer to as "receiver swaptions." The premium paid for interest rate swaptions is reported as an asset in our consolidated balance sheets. The premium is valued at an amount equal to the fair value of the swaption that would have the effect of closing the position adjusted for nonperformance risk, if any. The difference between the premium and the fair value of the swaption is reported in gain (loss) on derivative instruments and other securities, net in our consolidated statements of comprehensive income. If a swaption expires unexercised, the realized loss on the swaption would be equal to the premium paid. If we sell or exercise a swaption, the realized gain or loss on the swaption would be equal to the difference between the cash or the fair value of the underlying interest rate swap received and the premium paid.</w:t>
      </w:r>
    </w:p>
    <w:p>
      <w:pPr>
        <w:spacing w:after="0" w:line="124"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Our interest rate swaption agreements are privately negotiated in the OTC market and are not subject to central clearing. We estimate the fair value of interest rate swaptions using a combination of inputs from counterparty and third-party pricing models based on the fair value of the future interest rate swap that we have the option to enter into as well as the remaining length of time that we have to exercise the option, adjusted for non-performance risk, if any.</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TBA securities</w:t>
      </w:r>
    </w:p>
    <w:p>
      <w:pPr>
        <w:spacing w:after="0" w:line="171"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A TBA security is a forward contract for the purchase ("long position") or sale ("short position") of agency MBS at a predetermined price, face amount, issuer, coupon and stated maturity on an agreed-upon future date. The specific agency MBS delivered into the contract upon the settlement date, published each month by the Securities Industry and Financial Markets Association, are not known at the time of the transaction. We may enter into TBA contracts as a means of hedging against short-term changes in interest rates. We may also enter into TBA contracts as a means of acquiring or disposing of agency securities and utilize TBA dollar roll transactions to finance agency MBS purchases.</w:t>
      </w:r>
    </w:p>
    <w:p>
      <w:pPr>
        <w:spacing w:after="0" w:line="134"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We account for TBA contracts as derivative instruments since either the TBA contracts do not settle in the shortest period of time possible or we cannot assert that it is probable at inception and throughout the term of the TBA contract that we will take physical delivery of the agency security upon settlement of the contract. We account for TBA dollar roll transactions as a series of derivative transactions. Gains, losses and dollar roll income associated with our TBA contracts and dollar roll transactions are recognized in our consolidated statements of comprehensive income in gain (loss) on derivative instruments and other securities, net.</w:t>
      </w:r>
    </w:p>
    <w:p>
      <w:pPr>
        <w:spacing w:after="0" w:line="13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estimate the fair value of TBA securities based on similar methods used to value our agency MBS securities.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U.S. Treasury securities</w:t>
      </w:r>
    </w:p>
    <w:p>
      <w:pPr>
        <w:spacing w:after="0" w:line="17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We purchase or sell short U.S. Treasury securities and U.S. Treasury futures contracts to help mitigate the potential impact of changes in interest rates on the performance of our portfolio. We borrow securities to cover short sales of U.S. Treasury securities</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83</w:t>
      </w:r>
    </w:p>
    <w:p>
      <w:pPr>
        <w:sectPr>
          <w:pgSz w:w="11900" w:h="16838" w:orient="portrait"/>
          <w:cols w:equalWidth="0" w:num="1">
            <w:col w:w="11420"/>
          </w:cols>
          <w:pgMar w:left="240" w:top="746" w:right="239" w:bottom="1440" w:gutter="0" w:footer="0" w:header="0"/>
        </w:sectPr>
      </w:pPr>
    </w:p>
    <w:bookmarkStart w:id="84" w:name="page85"/>
    <w:bookmarkEnd w:id="84"/>
    <w:p>
      <w:pPr>
        <w:jc w:val="both"/>
        <w:spacing w:after="0" w:line="259" w:lineRule="auto"/>
        <w:rPr>
          <w:sz w:val="20"/>
          <w:szCs w:val="20"/>
          <w:color w:val="auto"/>
        </w:rPr>
      </w:pPr>
      <w:r>
        <w:rPr>
          <w:rFonts w:ascii="Arial" w:cs="Arial" w:eastAsia="Arial" w:hAnsi="Arial"/>
          <w:sz w:val="18"/>
          <w:szCs w:val="18"/>
          <w:color w:val="auto"/>
        </w:rPr>
        <w:t>under reverse repurchase agreements. We account for these as securities borrowing transactions and recognize an obligation to return the borrowed securities at fair value on the balance sheet based on the value of the underlying borrowed securities as of the reporting date. Gains and losses associated with purchases and short sales of U.S. Treasury securities and U.S. Treasury futures contracts are recognized in gain (loss) on derivative instruments and other securities, net in our consolidated statements of comprehensive income.</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Variable Interest Entities</w:t>
      </w:r>
    </w:p>
    <w:p>
      <w:pPr>
        <w:spacing w:after="0" w:line="171"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 xml:space="preserve">ASC Topic 810, </w:t>
      </w:r>
      <w:r>
        <w:rPr>
          <w:rFonts w:ascii="Arial" w:cs="Arial" w:eastAsia="Arial" w:hAnsi="Arial"/>
          <w:sz w:val="17"/>
          <w:szCs w:val="17"/>
          <w:i w:val="1"/>
          <w:iCs w:val="1"/>
          <w:color w:val="auto"/>
        </w:rPr>
        <w:t>Consolidation</w:t>
      </w:r>
      <w:r>
        <w:rPr>
          <w:rFonts w:ascii="Arial" w:cs="Arial" w:eastAsia="Arial" w:hAnsi="Arial"/>
          <w:sz w:val="17"/>
          <w:szCs w:val="17"/>
          <w:color w:val="auto"/>
        </w:rPr>
        <w:t xml:space="preserve"> ("ASC 810"), requires an enterprise to consolidate a variable interest entity ("VIE") if it is deemed the primary beneficiary of the VIE. Further, ASC 810 requires a qualitative assessment to determine the primary beneficiary of a VIE and ongoing assessments of whether an enterprise is the primary beneficiary of a VIE as well as additional disclosures for entities that have variable interests in VIEs.</w:t>
      </w:r>
    </w:p>
    <w:p>
      <w:pPr>
        <w:spacing w:after="0" w:line="111" w:lineRule="exact"/>
        <w:rPr>
          <w:sz w:val="20"/>
          <w:szCs w:val="20"/>
          <w:color w:val="auto"/>
        </w:rPr>
      </w:pPr>
    </w:p>
    <w:p>
      <w:pPr>
        <w:jc w:val="both"/>
        <w:ind w:firstLine="432"/>
        <w:spacing w:after="0" w:line="271" w:lineRule="auto"/>
        <w:rPr>
          <w:sz w:val="20"/>
          <w:szCs w:val="20"/>
          <w:color w:val="auto"/>
        </w:rPr>
      </w:pPr>
      <w:r>
        <w:rPr>
          <w:rFonts w:ascii="Arial" w:cs="Arial" w:eastAsia="Arial" w:hAnsi="Arial"/>
          <w:sz w:val="17"/>
          <w:szCs w:val="17"/>
          <w:color w:val="auto"/>
        </w:rPr>
        <w:t>We have entered into transactions involving CMO trusts, which are VIEs. We will consolidate a CMO trust if we are the CMO trust's primary beneficiary; that is, if we have a variable interest that provides us with a controlling financial interest in the CMO trust. An entity is deemed to have a controlling financial interest if the entity has the power to direct the activities of a VIE that most significantly impact the VIE's economic performance and the obligation to absorb losses of or right to receive benefits from the VIE that could potentially be significant to the VIE. As part of the qualitative assessment in determining if we have a controlling financial interest, we evaluate whether we control the selection of financial assets transferred to the CMO trust. For each of our consolidated CMO trusts we controlled the selection of the agency MBS transferred from our investment portfolio to an investment bank in exchange for cash proceeds and at the same time entered into a commitment with the investment bank to purchase to-be-issued securities collateralized by the agency MBS transferred, which resulted in our consolidation of the CMO trusts.</w:t>
      </w:r>
    </w:p>
    <w:p>
      <w:pPr>
        <w:spacing w:after="0" w:line="125" w:lineRule="exact"/>
        <w:rPr>
          <w:sz w:val="20"/>
          <w:szCs w:val="20"/>
          <w:color w:val="auto"/>
        </w:rPr>
      </w:pPr>
    </w:p>
    <w:p>
      <w:pPr>
        <w:jc w:val="both"/>
        <w:ind w:firstLine="405"/>
        <w:spacing w:after="0" w:line="302" w:lineRule="auto"/>
        <w:rPr>
          <w:sz w:val="20"/>
          <w:szCs w:val="20"/>
          <w:color w:val="auto"/>
        </w:rPr>
      </w:pPr>
      <w:r>
        <w:rPr>
          <w:rFonts w:ascii="Arial" w:cs="Arial" w:eastAsia="Arial" w:hAnsi="Arial"/>
          <w:sz w:val="16"/>
          <w:szCs w:val="16"/>
          <w:color w:val="auto"/>
        </w:rPr>
        <w:t>Agency MBS transferred to consolidated VIEs are reported on our consolidated balance sheets in agency securities transferred to consolidated VIEs, at fair value and can only be used to settle the obligations of each respective VIE. We elected the option to account for the consolidated debt at fair value, with changes in fair value reflected in earnings during the period in which they occur, because we believe this election more appropriately reflects our financial position as both the consolidated assets and consolidated debt are presented in a consistent manner on our consolidated balance sheets.</w:t>
      </w:r>
    </w:p>
    <w:p>
      <w:pPr>
        <w:spacing w:after="0" w:line="100"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We estimate the fair value of the consolidated debt based on the fair value of the agency MBS transferred to consolidated VIEs, less the fair value of our retained interests, which are measured on a market approach using "Level 2" inputs from third-party pricing services and dealer quotes. The fair value of the agency MBS transferred to the consolidated VIEs and the fair value of our retained interests are based on more observable inputs than inputs used to independently determine the value of our consolidated debt.</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Manager Compensation</w:t>
      </w:r>
    </w:p>
    <w:p>
      <w:pPr>
        <w:spacing w:after="0" w:line="171"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Our management agreement provides for the payment to our Manager of a management fee and reimbursement of certain operating expenses, which are accrued and expensed during the period for which they are earned or incurred. Refer to Note 8 for the terms of our management agreement and the administrative services agreement between American Capital and our Manager.</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171" w:lineRule="exact"/>
        <w:rPr>
          <w:sz w:val="20"/>
          <w:szCs w:val="20"/>
          <w:color w:val="auto"/>
        </w:rPr>
      </w:pPr>
    </w:p>
    <w:p>
      <w:pPr>
        <w:jc w:val="both"/>
        <w:ind w:firstLine="392"/>
        <w:spacing w:after="0" w:line="255" w:lineRule="auto"/>
        <w:rPr>
          <w:sz w:val="20"/>
          <w:szCs w:val="20"/>
          <w:color w:val="auto"/>
        </w:rPr>
      </w:pPr>
      <w:r>
        <w:rPr>
          <w:rFonts w:ascii="Arial" w:cs="Arial" w:eastAsia="Arial" w:hAnsi="Arial"/>
          <w:sz w:val="18"/>
          <w:szCs w:val="18"/>
          <w:color w:val="auto"/>
        </w:rPr>
        <w:t>We elected to be taxed as a REIT under the provisions of the Internal Revenue Code and the corresponding provisions of state law, commencing with our initial tax year ended December 31, 2008. In order to continue to qualify as a REIT, we must annually distribute, in a timely manner to our stockholders, at least 90% of our taxable ordinary income, amongst other conditions. A REIT is not subject to tax on its earnings to the extent that it distributes its annual taxable income to its stockholders and as long as certain asset, income and stock ownership tests are met. We operate in a manner that will allow us to be taxed as a REIT. As permitted by the Internal Revenue Code, a REIT can designate dividends paid in the subsequent year as dividends of the current year if those dividends are both declared by the extended due date of the REIT's federal income tax return and paid to stockholders by the last day of the subsequent year.</w:t>
      </w:r>
    </w:p>
    <w:p>
      <w:pPr>
        <w:spacing w:after="0" w:line="135" w:lineRule="exact"/>
        <w:rPr>
          <w:sz w:val="20"/>
          <w:szCs w:val="20"/>
          <w:color w:val="auto"/>
        </w:rPr>
      </w:pPr>
    </w:p>
    <w:p>
      <w:pPr>
        <w:jc w:val="both"/>
        <w:ind w:firstLine="392"/>
        <w:spacing w:after="0" w:line="257" w:lineRule="auto"/>
        <w:rPr>
          <w:sz w:val="20"/>
          <w:szCs w:val="20"/>
          <w:color w:val="auto"/>
        </w:rPr>
      </w:pPr>
      <w:r>
        <w:rPr>
          <w:rFonts w:ascii="Arial" w:cs="Arial" w:eastAsia="Arial" w:hAnsi="Arial"/>
          <w:sz w:val="18"/>
          <w:szCs w:val="18"/>
          <w:color w:val="auto"/>
        </w:rPr>
        <w:t>As a REIT, if we fail to distribute in any calendar year at least the sum of (i) 85% of our ordinary income for such year, (ii) 95% of our capital gain net income for such year and (iii) any undistributed taxable income from the prior year, we are subject to a non-deductible 4% excise tax on the excess of such required distribution over the sum of (a) the amounts actually distributed and, if applicable, (b) the amounts of income we retained and on which we have paid corporate income tax. Dividends declared by December 31 and paid by January 31 are treated as having been a distribution of our taxable income for the prior tax year.</w:t>
      </w:r>
    </w:p>
    <w:p>
      <w:pPr>
        <w:spacing w:after="0" w:line="134" w:lineRule="exact"/>
        <w:rPr>
          <w:sz w:val="20"/>
          <w:szCs w:val="20"/>
          <w:color w:val="auto"/>
        </w:rPr>
      </w:pPr>
    </w:p>
    <w:p>
      <w:pPr>
        <w:jc w:val="both"/>
        <w:ind w:firstLine="392"/>
        <w:spacing w:after="0" w:line="277" w:lineRule="auto"/>
        <w:rPr>
          <w:sz w:val="20"/>
          <w:szCs w:val="20"/>
          <w:color w:val="auto"/>
        </w:rPr>
      </w:pPr>
      <w:r>
        <w:rPr>
          <w:rFonts w:ascii="Arial" w:cs="Arial" w:eastAsia="Arial" w:hAnsi="Arial"/>
          <w:sz w:val="18"/>
          <w:szCs w:val="18"/>
          <w:color w:val="auto"/>
        </w:rPr>
        <w:t>We and our wholly-owned subsidiary, American Capital Agency TRS, LLC ("AGNC TRS"), have made a joint election to treat AGNC TRS as a taxable REIT subsidiary. As such, AGNC TRS is subject to federal and state income tax. All other subsidiaries</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84</w:t>
      </w:r>
    </w:p>
    <w:p>
      <w:pPr>
        <w:sectPr>
          <w:pgSz w:w="11900" w:h="16838" w:orient="portrait"/>
          <w:cols w:equalWidth="0" w:num="1">
            <w:col w:w="11420"/>
          </w:cols>
          <w:pgMar w:left="240" w:top="746" w:right="239" w:bottom="1440" w:gutter="0" w:footer="0" w:header="0"/>
        </w:sectPr>
      </w:pPr>
    </w:p>
    <w:bookmarkStart w:id="85" w:name="page86"/>
    <w:bookmarkEnd w:id="85"/>
    <w:p>
      <w:pPr>
        <w:jc w:val="both"/>
        <w:spacing w:after="0" w:line="277" w:lineRule="auto"/>
        <w:rPr>
          <w:sz w:val="20"/>
          <w:szCs w:val="20"/>
          <w:color w:val="auto"/>
        </w:rPr>
      </w:pPr>
      <w:r>
        <w:rPr>
          <w:rFonts w:ascii="Arial" w:cs="Arial" w:eastAsia="Arial" w:hAnsi="Arial"/>
          <w:sz w:val="18"/>
          <w:szCs w:val="18"/>
          <w:color w:val="auto"/>
        </w:rPr>
        <w:t>are disregarded entities for federal income tax purposes. As such, their assets, liabilities and income would generally be treated as our assets, liabilities and income for purposes of federal and state income taxes.</w:t>
      </w:r>
    </w:p>
    <w:p>
      <w:pPr>
        <w:spacing w:after="0" w:line="116" w:lineRule="exact"/>
        <w:rPr>
          <w:sz w:val="20"/>
          <w:szCs w:val="20"/>
          <w:color w:val="auto"/>
        </w:rPr>
      </w:pPr>
    </w:p>
    <w:p>
      <w:pPr>
        <w:jc w:val="both"/>
        <w:ind w:right="20" w:firstLine="405"/>
        <w:spacing w:after="0" w:line="342" w:lineRule="auto"/>
        <w:rPr>
          <w:sz w:val="20"/>
          <w:szCs w:val="20"/>
          <w:color w:val="auto"/>
        </w:rPr>
      </w:pPr>
      <w:r>
        <w:rPr>
          <w:rFonts w:ascii="Arial" w:cs="Arial" w:eastAsia="Arial" w:hAnsi="Arial"/>
          <w:sz w:val="16"/>
          <w:szCs w:val="16"/>
          <w:color w:val="auto"/>
        </w:rPr>
        <w:t xml:space="preserve">We evaluate uncertain income tax positions, if any, in accordance with ASC Topic 740, </w:t>
      </w:r>
      <w:r>
        <w:rPr>
          <w:rFonts w:ascii="Arial" w:cs="Arial" w:eastAsia="Arial" w:hAnsi="Arial"/>
          <w:sz w:val="16"/>
          <w:szCs w:val="16"/>
          <w:i w:val="1"/>
          <w:iCs w:val="1"/>
          <w:color w:val="auto"/>
        </w:rPr>
        <w:t>Income Taxes</w:t>
      </w:r>
      <w:r>
        <w:rPr>
          <w:rFonts w:ascii="Arial" w:cs="Arial" w:eastAsia="Arial" w:hAnsi="Arial"/>
          <w:sz w:val="16"/>
          <w:szCs w:val="16"/>
          <w:color w:val="auto"/>
        </w:rPr>
        <w:t xml:space="preserve"> ("ASC 740"). To the extent we incur interest and/or penalties in connection with our tax obligations, such amounts shall be classified as income tax expense on our consolidated statements of operations.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Investment Securities</w:t>
      </w:r>
    </w:p>
    <w:p>
      <w:pPr>
        <w:spacing w:after="0" w:line="175"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As of December 31, 2015 and 2014, our investment portfolio consisted of $52.5 billion and $56.7 billion of MBS, respectively, and a $7.4 billion and $14.8 billion net long TBA position, at fair value, respectively.</w:t>
      </w:r>
    </w:p>
    <w:p>
      <w:pPr>
        <w:spacing w:after="0" w:line="116"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Our TBA position is reported at its net carrying value of $14 million and $192 million as of December 31, 2015 and 2014, respectively, in derivative assets/(liabilities) on our accompanying consolidated balance sheets. The net carrying value of our TBA position represents the difference between the fair value of the underlying agency security in the TBA contract and the cost basis or the forward price to be paid or received for the underlying agency security. (See Note 5 for further details of our net TBA position as of December 31, 2015 and 2014.)</w:t>
      </w:r>
    </w:p>
    <w:p>
      <w:pPr>
        <w:spacing w:after="0" w:line="133" w:lineRule="exact"/>
        <w:rPr>
          <w:sz w:val="20"/>
          <w:szCs w:val="20"/>
          <w:color w:val="auto"/>
        </w:rPr>
      </w:pPr>
    </w:p>
    <w:p>
      <w:pPr>
        <w:jc w:val="both"/>
        <w:ind w:right="20" w:firstLine="405"/>
        <w:spacing w:after="0" w:line="277" w:lineRule="auto"/>
        <w:rPr>
          <w:sz w:val="20"/>
          <w:szCs w:val="20"/>
          <w:color w:val="auto"/>
        </w:rPr>
      </w:pPr>
      <w:r>
        <w:rPr>
          <w:rFonts w:ascii="Arial" w:cs="Arial" w:eastAsia="Arial" w:hAnsi="Arial"/>
          <w:sz w:val="18"/>
          <w:szCs w:val="18"/>
          <w:color w:val="auto"/>
        </w:rPr>
        <w:t>As of December 31, 2015 and 2014, the net unamortized premium balance on our MBS was $2.3 billion and $2.5 billion, respectively, including interest and principal-only securities.</w:t>
      </w:r>
    </w:p>
    <w:p>
      <w:pPr>
        <w:spacing w:after="0" w:line="116"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tables summarize our investments in MBS as of December 31, 2015 and 2014 (dollars in millions):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20" w:type="dxa"/>
            <w:vAlign w:val="bottom"/>
            <w:tcBorders>
              <w:bottom w:val="single" w:sz="8" w:color="auto"/>
            </w:tcBorders>
            <w:gridSpan w:val="6"/>
          </w:tcPr>
          <w:p>
            <w:pPr>
              <w:ind w:left="820"/>
              <w:spacing w:after="0"/>
              <w:rPr>
                <w:sz w:val="20"/>
                <w:szCs w:val="20"/>
                <w:color w:val="auto"/>
              </w:rPr>
            </w:pPr>
            <w:r>
              <w:rPr>
                <w:rFonts w:ascii="Arial" w:cs="Arial" w:eastAsia="Arial" w:hAnsi="Arial"/>
                <w:sz w:val="14"/>
                <w:szCs w:val="14"/>
                <w:b w:val="1"/>
                <w:bCs w:val="1"/>
                <w:color w:val="auto"/>
              </w:rPr>
              <w:t>December 31, 2015</w:t>
            </w: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5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6"/>
              </w:rPr>
              <w:t>Amortized</w:t>
            </w:r>
          </w:p>
        </w:tc>
        <w:tc>
          <w:tcPr>
            <w:tcW w:w="1040" w:type="dxa"/>
            <w:vAlign w:val="bottom"/>
          </w:tcPr>
          <w:p>
            <w:pPr>
              <w:jc w:val="center"/>
              <w:ind w:left="268"/>
              <w:spacing w:after="0" w:line="153" w:lineRule="exact"/>
              <w:rPr>
                <w:sz w:val="20"/>
                <w:szCs w:val="20"/>
                <w:color w:val="auto"/>
              </w:rPr>
            </w:pPr>
            <w:r>
              <w:rPr>
                <w:rFonts w:ascii="Arial" w:cs="Arial" w:eastAsia="Arial" w:hAnsi="Arial"/>
                <w:sz w:val="14"/>
                <w:szCs w:val="14"/>
                <w:b w:val="1"/>
                <w:bCs w:val="1"/>
                <w:color w:val="auto"/>
                <w:w w:val="83"/>
              </w:rPr>
              <w:t>Gross</w:t>
            </w:r>
          </w:p>
        </w:tc>
        <w:tc>
          <w:tcPr>
            <w:tcW w:w="3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4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88"/>
              </w:rPr>
              <w:t>Gross</w:t>
            </w:r>
          </w:p>
        </w:tc>
        <w:tc>
          <w:tcPr>
            <w:tcW w:w="2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572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Investments in Mortgage-Backed Securities</w:t>
            </w:r>
          </w:p>
        </w:tc>
        <w:tc>
          <w:tcPr>
            <w:tcW w:w="120" w:type="dxa"/>
            <w:vAlign w:val="bottom"/>
            <w:vMerge w:val="restart"/>
          </w:tcPr>
          <w:p>
            <w:pPr>
              <w:spacing w:after="0"/>
              <w:rPr>
                <w:sz w:val="12"/>
                <w:szCs w:val="12"/>
                <w:color w:val="auto"/>
              </w:rPr>
            </w:pPr>
          </w:p>
        </w:tc>
        <w:tc>
          <w:tcPr>
            <w:tcW w:w="20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040" w:type="dxa"/>
            <w:vAlign w:val="bottom"/>
          </w:tcPr>
          <w:p>
            <w:pPr>
              <w:jc w:val="center"/>
              <w:ind w:left="268"/>
              <w:spacing w:after="0" w:line="149" w:lineRule="exact"/>
              <w:rPr>
                <w:sz w:val="20"/>
                <w:szCs w:val="20"/>
                <w:color w:val="auto"/>
              </w:rPr>
            </w:pPr>
            <w:r>
              <w:rPr>
                <w:rFonts w:ascii="Arial" w:cs="Arial" w:eastAsia="Arial" w:hAnsi="Arial"/>
                <w:sz w:val="14"/>
                <w:szCs w:val="14"/>
                <w:b w:val="1"/>
                <w:bCs w:val="1"/>
                <w:color w:val="auto"/>
                <w:w w:val="93"/>
              </w:rPr>
              <w:t>Unrealized</w:t>
            </w: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5"/>
              </w:rPr>
              <w:t>Unrealized</w:t>
            </w:r>
          </w:p>
        </w:tc>
        <w:tc>
          <w:tcPr>
            <w:tcW w:w="240" w:type="dxa"/>
            <w:vAlign w:val="bottom"/>
          </w:tcPr>
          <w:p>
            <w:pPr>
              <w:spacing w:after="0"/>
              <w:rPr>
                <w:sz w:val="12"/>
                <w:szCs w:val="12"/>
                <w:color w:val="auto"/>
              </w:rPr>
            </w:pPr>
          </w:p>
        </w:tc>
        <w:tc>
          <w:tcPr>
            <w:tcW w:w="1120" w:type="dxa"/>
            <w:vAlign w:val="bottom"/>
            <w:vMerge w:val="restart"/>
          </w:tcPr>
          <w:p>
            <w:pPr>
              <w:jc w:val="right"/>
              <w:ind w:right="288"/>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57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center"/>
              <w:ind w:right="128"/>
              <w:spacing w:after="0"/>
              <w:rPr>
                <w:sz w:val="20"/>
                <w:szCs w:val="20"/>
                <w:color w:val="auto"/>
              </w:rPr>
            </w:pPr>
            <w:r>
              <w:rPr>
                <w:rFonts w:ascii="Arial" w:cs="Arial" w:eastAsia="Arial" w:hAnsi="Arial"/>
                <w:sz w:val="14"/>
                <w:szCs w:val="14"/>
                <w:b w:val="1"/>
                <w:bCs w:val="1"/>
                <w:color w:val="auto"/>
                <w:w w:val="89"/>
              </w:rPr>
              <w:t>Cost</w:t>
            </w:r>
          </w:p>
        </w:tc>
        <w:tc>
          <w:tcPr>
            <w:tcW w:w="12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center"/>
              <w:ind w:left="268"/>
              <w:spacing w:after="0"/>
              <w:rPr>
                <w:sz w:val="20"/>
                <w:szCs w:val="20"/>
                <w:color w:val="auto"/>
              </w:rPr>
            </w:pPr>
            <w:r>
              <w:rPr>
                <w:rFonts w:ascii="Arial" w:cs="Arial" w:eastAsia="Arial" w:hAnsi="Arial"/>
                <w:sz w:val="14"/>
                <w:szCs w:val="14"/>
                <w:b w:val="1"/>
                <w:bCs w:val="1"/>
                <w:color w:val="auto"/>
                <w:w w:val="96"/>
              </w:rPr>
              <w:t>Gain</w:t>
            </w:r>
          </w:p>
        </w:tc>
        <w:tc>
          <w:tcPr>
            <w:tcW w:w="3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128"/>
              <w:spacing w:after="0"/>
              <w:rPr>
                <w:sz w:val="20"/>
                <w:szCs w:val="20"/>
                <w:color w:val="auto"/>
              </w:rPr>
            </w:pPr>
            <w:r>
              <w:rPr>
                <w:rFonts w:ascii="Arial" w:cs="Arial" w:eastAsia="Arial" w:hAnsi="Arial"/>
                <w:sz w:val="14"/>
                <w:szCs w:val="14"/>
                <w:b w:val="1"/>
                <w:bCs w:val="1"/>
                <w:color w:val="auto"/>
                <w:w w:val="85"/>
              </w:rPr>
              <w:t>Loss</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58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Agency MBS:</w:t>
            </w:r>
          </w:p>
        </w:tc>
        <w:tc>
          <w:tcPr>
            <w:tcW w:w="200" w:type="dxa"/>
            <w:vAlign w:val="bottom"/>
            <w:shd w:val="clear" w:color="auto" w:fill="CCEEFF"/>
          </w:tcPr>
          <w:p>
            <w:pPr>
              <w:spacing w:after="0"/>
              <w:rPr>
                <w:sz w:val="23"/>
                <w:szCs w:val="23"/>
                <w:color w:val="auto"/>
              </w:rPr>
            </w:pPr>
          </w:p>
        </w:tc>
        <w:tc>
          <w:tcPr>
            <w:tcW w:w="10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5840" w:type="dxa"/>
            <w:vAlign w:val="bottom"/>
            <w:gridSpan w:val="2"/>
          </w:tcPr>
          <w:p>
            <w:pPr>
              <w:ind w:left="180"/>
              <w:spacing w:after="0"/>
              <w:rPr>
                <w:sz w:val="20"/>
                <w:szCs w:val="20"/>
                <w:color w:val="auto"/>
              </w:rPr>
            </w:pPr>
            <w:r>
              <w:rPr>
                <w:rFonts w:ascii="Arial" w:cs="Arial" w:eastAsia="Arial" w:hAnsi="Arial"/>
                <w:sz w:val="14"/>
                <w:szCs w:val="14"/>
                <w:color w:val="auto"/>
              </w:rPr>
              <w:t>Fixed rate</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50,576</w:t>
            </w:r>
          </w:p>
        </w:tc>
        <w:tc>
          <w:tcPr>
            <w:tcW w:w="120" w:type="dxa"/>
            <w:vAlign w:val="bottom"/>
          </w:tcPr>
          <w:p>
            <w:pPr>
              <w:spacing w:after="0"/>
              <w:rPr>
                <w:sz w:val="22"/>
                <w:szCs w:val="22"/>
                <w:color w:val="auto"/>
              </w:rPr>
            </w:pPr>
          </w:p>
        </w:tc>
        <w:tc>
          <w:tcPr>
            <w:tcW w:w="1040" w:type="dxa"/>
            <w:vAlign w:val="bottom"/>
          </w:tcPr>
          <w:p>
            <w:pPr>
              <w:jc w:val="right"/>
              <w:ind w:right="868"/>
              <w:spacing w:after="0"/>
              <w:rPr>
                <w:sz w:val="20"/>
                <w:szCs w:val="20"/>
                <w:color w:val="auto"/>
              </w:rPr>
            </w:pPr>
            <w:r>
              <w:rPr>
                <w:rFonts w:ascii="Arial" w:cs="Arial" w:eastAsia="Arial" w:hAnsi="Arial"/>
                <w:sz w:val="14"/>
                <w:szCs w:val="14"/>
                <w:color w:val="auto"/>
              </w:rPr>
              <w:t>$</w:t>
            </w:r>
          </w:p>
        </w:tc>
        <w:tc>
          <w:tcPr>
            <w:tcW w:w="340" w:type="dxa"/>
            <w:vAlign w:val="bottom"/>
          </w:tcPr>
          <w:p>
            <w:pPr>
              <w:jc w:val="right"/>
              <w:ind w:right="48"/>
              <w:spacing w:after="0"/>
              <w:rPr>
                <w:sz w:val="20"/>
                <w:szCs w:val="20"/>
                <w:color w:val="auto"/>
              </w:rPr>
            </w:pPr>
            <w:r>
              <w:rPr>
                <w:rFonts w:ascii="Arial" w:cs="Arial" w:eastAsia="Arial" w:hAnsi="Arial"/>
                <w:sz w:val="14"/>
                <w:szCs w:val="14"/>
                <w:color w:val="auto"/>
                <w:w w:val="85"/>
              </w:rPr>
              <w:t>339</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(393)</w:t>
            </w:r>
          </w:p>
        </w:tc>
        <w:tc>
          <w:tcPr>
            <w:tcW w:w="100" w:type="dxa"/>
            <w:vAlign w:val="bottom"/>
          </w:tcPr>
          <w:p>
            <w:pPr>
              <w:spacing w:after="0"/>
              <w:rPr>
                <w:sz w:val="22"/>
                <w:szCs w:val="22"/>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50,522</w:t>
            </w:r>
          </w:p>
        </w:tc>
        <w:tc>
          <w:tcPr>
            <w:tcW w:w="0" w:type="dxa"/>
            <w:vAlign w:val="bottom"/>
          </w:tcPr>
          <w:p>
            <w:pPr>
              <w:spacing w:after="0"/>
              <w:rPr>
                <w:sz w:val="1"/>
                <w:szCs w:val="1"/>
                <w:color w:val="auto"/>
              </w:rPr>
            </w:pPr>
          </w:p>
        </w:tc>
      </w:tr>
      <w:tr>
        <w:trPr>
          <w:trHeight w:val="276"/>
        </w:trPr>
        <w:tc>
          <w:tcPr>
            <w:tcW w:w="58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Adjustable rate</w:t>
            </w:r>
          </w:p>
        </w:tc>
        <w:tc>
          <w:tcPr>
            <w:tcW w:w="20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484</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3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1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495</w:t>
            </w:r>
          </w:p>
        </w:tc>
        <w:tc>
          <w:tcPr>
            <w:tcW w:w="0" w:type="dxa"/>
            <w:vAlign w:val="bottom"/>
          </w:tcPr>
          <w:p>
            <w:pPr>
              <w:spacing w:after="0"/>
              <w:rPr>
                <w:sz w:val="1"/>
                <w:szCs w:val="1"/>
                <w:color w:val="auto"/>
              </w:rPr>
            </w:pPr>
          </w:p>
        </w:tc>
      </w:tr>
      <w:tr>
        <w:trPr>
          <w:trHeight w:val="264"/>
        </w:trPr>
        <w:tc>
          <w:tcPr>
            <w:tcW w:w="5840" w:type="dxa"/>
            <w:vAlign w:val="bottom"/>
            <w:gridSpan w:val="2"/>
          </w:tcPr>
          <w:p>
            <w:pPr>
              <w:ind w:left="180"/>
              <w:spacing w:after="0"/>
              <w:rPr>
                <w:sz w:val="20"/>
                <w:szCs w:val="20"/>
                <w:color w:val="auto"/>
              </w:rPr>
            </w:pPr>
            <w:r>
              <w:rPr>
                <w:rFonts w:ascii="Arial" w:cs="Arial" w:eastAsia="Arial" w:hAnsi="Arial"/>
                <w:sz w:val="14"/>
                <w:szCs w:val="14"/>
                <w:color w:val="auto"/>
              </w:rPr>
              <w:t>CMO</w:t>
            </w:r>
          </w:p>
        </w:tc>
        <w:tc>
          <w:tcPr>
            <w:tcW w:w="200" w:type="dxa"/>
            <w:vAlign w:val="bottom"/>
          </w:tcPr>
          <w:p>
            <w:pPr>
              <w:spacing w:after="0"/>
              <w:rPr>
                <w:sz w:val="22"/>
                <w:szCs w:val="22"/>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973</w:t>
            </w: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340" w:type="dxa"/>
            <w:vAlign w:val="bottom"/>
          </w:tcPr>
          <w:p>
            <w:pPr>
              <w:jc w:val="right"/>
              <w:ind w:right="48"/>
              <w:spacing w:after="0"/>
              <w:rPr>
                <w:sz w:val="20"/>
                <w:szCs w:val="20"/>
                <w:color w:val="auto"/>
              </w:rPr>
            </w:pPr>
            <w:r>
              <w:rPr>
                <w:rFonts w:ascii="Arial" w:cs="Arial" w:eastAsia="Arial" w:hAnsi="Arial"/>
                <w:sz w:val="14"/>
                <w:szCs w:val="14"/>
                <w:color w:val="auto"/>
              </w:rPr>
              <w:t>18</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990</w:t>
            </w:r>
          </w:p>
        </w:tc>
        <w:tc>
          <w:tcPr>
            <w:tcW w:w="0" w:type="dxa"/>
            <w:vAlign w:val="bottom"/>
          </w:tcPr>
          <w:p>
            <w:pPr>
              <w:spacing w:after="0"/>
              <w:rPr>
                <w:sz w:val="1"/>
                <w:szCs w:val="1"/>
                <w:color w:val="auto"/>
              </w:rPr>
            </w:pPr>
          </w:p>
        </w:tc>
      </w:tr>
      <w:tr>
        <w:trPr>
          <w:trHeight w:val="270"/>
        </w:trPr>
        <w:tc>
          <w:tcPr>
            <w:tcW w:w="58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Interest-only and principal-only strips</w:t>
            </w:r>
          </w:p>
        </w:tc>
        <w:tc>
          <w:tcPr>
            <w:tcW w:w="200" w:type="dxa"/>
            <w:vAlign w:val="bottom"/>
            <w:tcBorders>
              <w:bottom w:val="single" w:sz="8" w:color="auto"/>
            </w:tcBorders>
            <w:shd w:val="clear" w:color="auto" w:fill="CCEEFF"/>
          </w:tcPr>
          <w:p>
            <w:pPr>
              <w:spacing w:after="0"/>
              <w:rPr>
                <w:sz w:val="23"/>
                <w:szCs w:val="23"/>
                <w:color w:val="auto"/>
              </w:rPr>
            </w:pP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317</w:t>
            </w:r>
          </w:p>
        </w:tc>
        <w:tc>
          <w:tcPr>
            <w:tcW w:w="120" w:type="dxa"/>
            <w:vAlign w:val="bottom"/>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39</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353</w:t>
            </w:r>
          </w:p>
        </w:tc>
        <w:tc>
          <w:tcPr>
            <w:tcW w:w="0" w:type="dxa"/>
            <w:vAlign w:val="bottom"/>
          </w:tcPr>
          <w:p>
            <w:pPr>
              <w:spacing w:after="0"/>
              <w:rPr>
                <w:sz w:val="1"/>
                <w:szCs w:val="1"/>
                <w:color w:val="auto"/>
              </w:rPr>
            </w:pPr>
          </w:p>
        </w:tc>
      </w:tr>
      <w:tr>
        <w:trPr>
          <w:trHeight w:val="250"/>
        </w:trPr>
        <w:tc>
          <w:tcPr>
            <w:tcW w:w="584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Total agency MBS</w:t>
            </w:r>
          </w:p>
        </w:tc>
        <w:tc>
          <w:tcPr>
            <w:tcW w:w="200" w:type="dxa"/>
            <w:vAlign w:val="bottom"/>
            <w:tcBorders>
              <w:bottom w:val="single" w:sz="8" w:color="auto"/>
            </w:tcBorders>
          </w:tcPr>
          <w:p>
            <w:pPr>
              <w:spacing w:after="0"/>
              <w:rPr>
                <w:sz w:val="21"/>
                <w:szCs w:val="21"/>
                <w:color w:val="auto"/>
              </w:rPr>
            </w:pP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52,350</w:t>
            </w:r>
          </w:p>
        </w:tc>
        <w:tc>
          <w:tcPr>
            <w:tcW w:w="120" w:type="dxa"/>
            <w:vAlign w:val="bottom"/>
            <w:tcBorders>
              <w:bottom w:val="single" w:sz="8" w:color="CCEEFF"/>
            </w:tcBorders>
          </w:tcPr>
          <w:p>
            <w:pPr>
              <w:spacing w:after="0"/>
              <w:rPr>
                <w:sz w:val="21"/>
                <w:szCs w:val="21"/>
                <w:color w:val="auto"/>
              </w:rPr>
            </w:pPr>
          </w:p>
        </w:tc>
        <w:tc>
          <w:tcPr>
            <w:tcW w:w="1040" w:type="dxa"/>
            <w:vAlign w:val="bottom"/>
            <w:tcBorders>
              <w:bottom w:val="single" w:sz="8" w:color="auto"/>
            </w:tcBorders>
          </w:tcPr>
          <w:p>
            <w:pPr>
              <w:spacing w:after="0"/>
              <w:rPr>
                <w:sz w:val="21"/>
                <w:szCs w:val="21"/>
                <w:color w:val="auto"/>
              </w:rPr>
            </w:pPr>
          </w:p>
        </w:tc>
        <w:tc>
          <w:tcPr>
            <w:tcW w:w="3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85"/>
              </w:rPr>
              <w:t>407</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(397)</w:t>
            </w:r>
          </w:p>
        </w:tc>
        <w:tc>
          <w:tcPr>
            <w:tcW w:w="100" w:type="dxa"/>
            <w:vAlign w:val="bottom"/>
            <w:tcBorders>
              <w:bottom w:val="single" w:sz="8" w:color="CCEEFF"/>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52,360</w:t>
            </w:r>
          </w:p>
        </w:tc>
        <w:tc>
          <w:tcPr>
            <w:tcW w:w="0" w:type="dxa"/>
            <w:vAlign w:val="bottom"/>
          </w:tcPr>
          <w:p>
            <w:pPr>
              <w:spacing w:after="0"/>
              <w:rPr>
                <w:sz w:val="1"/>
                <w:szCs w:val="1"/>
                <w:color w:val="auto"/>
              </w:rPr>
            </w:pPr>
          </w:p>
        </w:tc>
      </w:tr>
      <w:tr>
        <w:trPr>
          <w:trHeight w:val="270"/>
        </w:trPr>
        <w:tc>
          <w:tcPr>
            <w:tcW w:w="58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Non-agency MBS:</w:t>
            </w:r>
          </w:p>
        </w:tc>
        <w:tc>
          <w:tcPr>
            <w:tcW w:w="200" w:type="dxa"/>
            <w:vAlign w:val="bottom"/>
            <w:shd w:val="clear" w:color="auto" w:fill="CCEEFF"/>
          </w:tcPr>
          <w:p>
            <w:pPr>
              <w:spacing w:after="0"/>
              <w:rPr>
                <w:sz w:val="23"/>
                <w:szCs w:val="23"/>
                <w:color w:val="auto"/>
              </w:rPr>
            </w:pPr>
          </w:p>
        </w:tc>
        <w:tc>
          <w:tcPr>
            <w:tcW w:w="10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5840" w:type="dxa"/>
            <w:vAlign w:val="bottom"/>
            <w:gridSpan w:val="2"/>
          </w:tcPr>
          <w:p>
            <w:pPr>
              <w:ind w:left="180"/>
              <w:spacing w:after="0"/>
              <w:rPr>
                <w:sz w:val="20"/>
                <w:szCs w:val="20"/>
                <w:color w:val="auto"/>
              </w:rPr>
            </w:pPr>
            <w:r>
              <w:rPr>
                <w:rFonts w:ascii="Arial" w:cs="Arial" w:eastAsia="Arial" w:hAnsi="Arial"/>
                <w:sz w:val="14"/>
                <w:szCs w:val="14"/>
                <w:color w:val="auto"/>
              </w:rPr>
              <w:t>AAA non-agency</w:t>
            </w:r>
          </w:p>
        </w:tc>
        <w:tc>
          <w:tcPr>
            <w:tcW w:w="200" w:type="dxa"/>
            <w:vAlign w:val="bottom"/>
          </w:tcPr>
          <w:p>
            <w:pPr>
              <w:spacing w:after="0"/>
              <w:rPr>
                <w:sz w:val="22"/>
                <w:szCs w:val="22"/>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114</w:t>
            </w: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4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113</w:t>
            </w:r>
          </w:p>
        </w:tc>
        <w:tc>
          <w:tcPr>
            <w:tcW w:w="0" w:type="dxa"/>
            <w:vAlign w:val="bottom"/>
          </w:tcPr>
          <w:p>
            <w:pPr>
              <w:spacing w:after="0"/>
              <w:rPr>
                <w:sz w:val="1"/>
                <w:szCs w:val="1"/>
                <w:color w:val="auto"/>
              </w:rPr>
            </w:pPr>
          </w:p>
        </w:tc>
      </w:tr>
      <w:tr>
        <w:trPr>
          <w:trHeight w:val="243"/>
        </w:trPr>
        <w:tc>
          <w:tcPr>
            <w:tcW w:w="5840" w:type="dxa"/>
            <w:vAlign w:val="bottom"/>
            <w:tcBorders>
              <w:top w:val="single" w:sz="8" w:color="CCEEFF"/>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MBS</w:t>
            </w:r>
          </w:p>
        </w:tc>
        <w:tc>
          <w:tcPr>
            <w:tcW w:w="2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8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52,464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040" w:type="dxa"/>
            <w:vAlign w:val="bottom"/>
            <w:tcBorders>
              <w:top w:val="single" w:sz="8" w:color="auto"/>
              <w:bottom w:val="single" w:sz="8" w:color="auto"/>
            </w:tcBorders>
            <w:shd w:val="clear" w:color="auto" w:fill="CCEEFF"/>
          </w:tcPr>
          <w:p>
            <w:pPr>
              <w:jc w:val="right"/>
              <w:ind w:right="868"/>
              <w:spacing w:after="0"/>
              <w:rPr>
                <w:sz w:val="20"/>
                <w:szCs w:val="20"/>
                <w:color w:val="auto"/>
              </w:rPr>
            </w:pPr>
            <w:r>
              <w:rPr>
                <w:rFonts w:ascii="Arial" w:cs="Arial" w:eastAsia="Arial" w:hAnsi="Arial"/>
                <w:sz w:val="14"/>
                <w:szCs w:val="14"/>
                <w:color w:val="auto"/>
              </w:rPr>
              <w:t>$</w:t>
            </w:r>
          </w:p>
        </w:tc>
        <w:tc>
          <w:tcPr>
            <w:tcW w:w="34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85"/>
              </w:rPr>
              <w:t>407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2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52,473</w:t>
            </w:r>
          </w:p>
        </w:tc>
        <w:tc>
          <w:tcPr>
            <w:tcW w:w="0" w:type="dxa"/>
            <w:vAlign w:val="bottom"/>
          </w:tcPr>
          <w:p>
            <w:pPr>
              <w:spacing w:after="0"/>
              <w:rPr>
                <w:sz w:val="1"/>
                <w:szCs w:val="1"/>
                <w:color w:val="auto"/>
              </w:rPr>
            </w:pPr>
          </w:p>
        </w:tc>
      </w:tr>
      <w:tr>
        <w:trPr>
          <w:trHeight w:val="20"/>
        </w:trPr>
        <w:tc>
          <w:tcPr>
            <w:tcW w:w="5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8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96"/>
        </w:trPr>
        <w:tc>
          <w:tcPr>
            <w:tcW w:w="5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20" w:type="dxa"/>
            <w:vAlign w:val="bottom"/>
            <w:tcBorders>
              <w:bottom w:val="single" w:sz="8" w:color="auto"/>
            </w:tcBorders>
            <w:gridSpan w:val="6"/>
          </w:tcPr>
          <w:p>
            <w:pPr>
              <w:ind w:left="820"/>
              <w:spacing w:after="0"/>
              <w:rPr>
                <w:sz w:val="20"/>
                <w:szCs w:val="20"/>
                <w:color w:val="auto"/>
              </w:rPr>
            </w:pPr>
            <w:r>
              <w:rPr>
                <w:rFonts w:ascii="Arial" w:cs="Arial" w:eastAsia="Arial" w:hAnsi="Arial"/>
                <w:sz w:val="14"/>
                <w:szCs w:val="14"/>
                <w:b w:val="1"/>
                <w:bCs w:val="1"/>
                <w:color w:val="auto"/>
              </w:rPr>
              <w:t>December 31, 2014</w:t>
            </w:r>
          </w:p>
        </w:tc>
        <w:tc>
          <w:tcPr>
            <w:tcW w:w="2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5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6"/>
              </w:rPr>
              <w:t>Amortized</w:t>
            </w:r>
          </w:p>
        </w:tc>
        <w:tc>
          <w:tcPr>
            <w:tcW w:w="1040" w:type="dxa"/>
            <w:vAlign w:val="bottom"/>
          </w:tcPr>
          <w:p>
            <w:pPr>
              <w:jc w:val="center"/>
              <w:ind w:left="268"/>
              <w:spacing w:after="0" w:line="153" w:lineRule="exact"/>
              <w:rPr>
                <w:sz w:val="20"/>
                <w:szCs w:val="20"/>
                <w:color w:val="auto"/>
              </w:rPr>
            </w:pPr>
            <w:r>
              <w:rPr>
                <w:rFonts w:ascii="Arial" w:cs="Arial" w:eastAsia="Arial" w:hAnsi="Arial"/>
                <w:sz w:val="14"/>
                <w:szCs w:val="14"/>
                <w:b w:val="1"/>
                <w:bCs w:val="1"/>
                <w:color w:val="auto"/>
                <w:w w:val="83"/>
              </w:rPr>
              <w:t>Gross</w:t>
            </w:r>
          </w:p>
        </w:tc>
        <w:tc>
          <w:tcPr>
            <w:tcW w:w="3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4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88"/>
              </w:rPr>
              <w:t>Gross</w:t>
            </w:r>
          </w:p>
        </w:tc>
        <w:tc>
          <w:tcPr>
            <w:tcW w:w="2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572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Investments in Mortgage-Backed Securities</w:t>
            </w:r>
          </w:p>
        </w:tc>
        <w:tc>
          <w:tcPr>
            <w:tcW w:w="120" w:type="dxa"/>
            <w:vAlign w:val="bottom"/>
            <w:vMerge w:val="restart"/>
          </w:tcPr>
          <w:p>
            <w:pPr>
              <w:spacing w:after="0"/>
              <w:rPr>
                <w:sz w:val="12"/>
                <w:szCs w:val="12"/>
                <w:color w:val="auto"/>
              </w:rPr>
            </w:pPr>
          </w:p>
        </w:tc>
        <w:tc>
          <w:tcPr>
            <w:tcW w:w="20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040" w:type="dxa"/>
            <w:vAlign w:val="bottom"/>
          </w:tcPr>
          <w:p>
            <w:pPr>
              <w:jc w:val="center"/>
              <w:ind w:left="268"/>
              <w:spacing w:after="0" w:line="149" w:lineRule="exact"/>
              <w:rPr>
                <w:sz w:val="20"/>
                <w:szCs w:val="20"/>
                <w:color w:val="auto"/>
              </w:rPr>
            </w:pPr>
            <w:r>
              <w:rPr>
                <w:rFonts w:ascii="Arial" w:cs="Arial" w:eastAsia="Arial" w:hAnsi="Arial"/>
                <w:sz w:val="14"/>
                <w:szCs w:val="14"/>
                <w:b w:val="1"/>
                <w:bCs w:val="1"/>
                <w:color w:val="auto"/>
                <w:w w:val="93"/>
              </w:rPr>
              <w:t>Unrealized</w:t>
            </w: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5"/>
              </w:rPr>
              <w:t>Unrealized</w:t>
            </w:r>
          </w:p>
        </w:tc>
        <w:tc>
          <w:tcPr>
            <w:tcW w:w="240" w:type="dxa"/>
            <w:vAlign w:val="bottom"/>
          </w:tcPr>
          <w:p>
            <w:pPr>
              <w:spacing w:after="0"/>
              <w:rPr>
                <w:sz w:val="12"/>
                <w:szCs w:val="12"/>
                <w:color w:val="auto"/>
              </w:rPr>
            </w:pPr>
          </w:p>
        </w:tc>
        <w:tc>
          <w:tcPr>
            <w:tcW w:w="1120" w:type="dxa"/>
            <w:vAlign w:val="bottom"/>
            <w:vMerge w:val="restart"/>
          </w:tcPr>
          <w:p>
            <w:pPr>
              <w:jc w:val="right"/>
              <w:ind w:right="288"/>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57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center"/>
              <w:ind w:right="128"/>
              <w:spacing w:after="0"/>
              <w:rPr>
                <w:sz w:val="20"/>
                <w:szCs w:val="20"/>
                <w:color w:val="auto"/>
              </w:rPr>
            </w:pPr>
            <w:r>
              <w:rPr>
                <w:rFonts w:ascii="Arial" w:cs="Arial" w:eastAsia="Arial" w:hAnsi="Arial"/>
                <w:sz w:val="14"/>
                <w:szCs w:val="14"/>
                <w:b w:val="1"/>
                <w:bCs w:val="1"/>
                <w:color w:val="auto"/>
                <w:w w:val="89"/>
              </w:rPr>
              <w:t>Cost</w:t>
            </w:r>
          </w:p>
        </w:tc>
        <w:tc>
          <w:tcPr>
            <w:tcW w:w="12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center"/>
              <w:ind w:left="268"/>
              <w:spacing w:after="0"/>
              <w:rPr>
                <w:sz w:val="20"/>
                <w:szCs w:val="20"/>
                <w:color w:val="auto"/>
              </w:rPr>
            </w:pPr>
            <w:r>
              <w:rPr>
                <w:rFonts w:ascii="Arial" w:cs="Arial" w:eastAsia="Arial" w:hAnsi="Arial"/>
                <w:sz w:val="14"/>
                <w:szCs w:val="14"/>
                <w:b w:val="1"/>
                <w:bCs w:val="1"/>
                <w:color w:val="auto"/>
                <w:w w:val="96"/>
              </w:rPr>
              <w:t>Gain</w:t>
            </w:r>
          </w:p>
        </w:tc>
        <w:tc>
          <w:tcPr>
            <w:tcW w:w="3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128"/>
              <w:spacing w:after="0"/>
              <w:rPr>
                <w:sz w:val="20"/>
                <w:szCs w:val="20"/>
                <w:color w:val="auto"/>
              </w:rPr>
            </w:pPr>
            <w:r>
              <w:rPr>
                <w:rFonts w:ascii="Arial" w:cs="Arial" w:eastAsia="Arial" w:hAnsi="Arial"/>
                <w:sz w:val="14"/>
                <w:szCs w:val="14"/>
                <w:b w:val="1"/>
                <w:bCs w:val="1"/>
                <w:color w:val="auto"/>
                <w:w w:val="85"/>
              </w:rPr>
              <w:t>Loss</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58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Agency MBS:</w:t>
            </w:r>
          </w:p>
        </w:tc>
        <w:tc>
          <w:tcPr>
            <w:tcW w:w="200" w:type="dxa"/>
            <w:vAlign w:val="bottom"/>
            <w:shd w:val="clear" w:color="auto" w:fill="CCEEFF"/>
          </w:tcPr>
          <w:p>
            <w:pPr>
              <w:spacing w:after="0"/>
              <w:rPr>
                <w:sz w:val="23"/>
                <w:szCs w:val="23"/>
                <w:color w:val="auto"/>
              </w:rPr>
            </w:pPr>
          </w:p>
        </w:tc>
        <w:tc>
          <w:tcPr>
            <w:tcW w:w="10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5840" w:type="dxa"/>
            <w:vAlign w:val="bottom"/>
            <w:gridSpan w:val="2"/>
          </w:tcPr>
          <w:p>
            <w:pPr>
              <w:ind w:left="180"/>
              <w:spacing w:after="0"/>
              <w:rPr>
                <w:sz w:val="20"/>
                <w:szCs w:val="20"/>
                <w:color w:val="auto"/>
              </w:rPr>
            </w:pPr>
            <w:r>
              <w:rPr>
                <w:rFonts w:ascii="Arial" w:cs="Arial" w:eastAsia="Arial" w:hAnsi="Arial"/>
                <w:sz w:val="14"/>
                <w:szCs w:val="14"/>
                <w:color w:val="auto"/>
              </w:rPr>
              <w:t>Fixed rate</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53,945</w:t>
            </w:r>
          </w:p>
        </w:tc>
        <w:tc>
          <w:tcPr>
            <w:tcW w:w="120" w:type="dxa"/>
            <w:vAlign w:val="bottom"/>
          </w:tcPr>
          <w:p>
            <w:pPr>
              <w:spacing w:after="0"/>
              <w:rPr>
                <w:sz w:val="22"/>
                <w:szCs w:val="22"/>
                <w:color w:val="auto"/>
              </w:rPr>
            </w:pPr>
          </w:p>
        </w:tc>
        <w:tc>
          <w:tcPr>
            <w:tcW w:w="1040" w:type="dxa"/>
            <w:vAlign w:val="bottom"/>
          </w:tcPr>
          <w:p>
            <w:pPr>
              <w:jc w:val="right"/>
              <w:ind w:right="868"/>
              <w:spacing w:after="0"/>
              <w:rPr>
                <w:sz w:val="20"/>
                <w:szCs w:val="20"/>
                <w:color w:val="auto"/>
              </w:rPr>
            </w:pPr>
            <w:r>
              <w:rPr>
                <w:rFonts w:ascii="Arial" w:cs="Arial" w:eastAsia="Arial" w:hAnsi="Arial"/>
                <w:sz w:val="14"/>
                <w:szCs w:val="14"/>
                <w:color w:val="auto"/>
              </w:rPr>
              <w:t>$</w:t>
            </w:r>
          </w:p>
        </w:tc>
        <w:tc>
          <w:tcPr>
            <w:tcW w:w="340" w:type="dxa"/>
            <w:vAlign w:val="bottom"/>
          </w:tcPr>
          <w:p>
            <w:pPr>
              <w:jc w:val="right"/>
              <w:ind w:right="48"/>
              <w:spacing w:after="0"/>
              <w:rPr>
                <w:sz w:val="20"/>
                <w:szCs w:val="20"/>
                <w:color w:val="auto"/>
              </w:rPr>
            </w:pPr>
            <w:r>
              <w:rPr>
                <w:rFonts w:ascii="Arial" w:cs="Arial" w:eastAsia="Arial" w:hAnsi="Arial"/>
                <w:sz w:val="14"/>
                <w:szCs w:val="14"/>
                <w:color w:val="auto"/>
                <w:w w:val="85"/>
              </w:rPr>
              <w:t>715</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(187)</w:t>
            </w:r>
          </w:p>
        </w:tc>
        <w:tc>
          <w:tcPr>
            <w:tcW w:w="100" w:type="dxa"/>
            <w:vAlign w:val="bottom"/>
          </w:tcPr>
          <w:p>
            <w:pPr>
              <w:spacing w:after="0"/>
              <w:rPr>
                <w:sz w:val="22"/>
                <w:szCs w:val="22"/>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54,473</w:t>
            </w:r>
          </w:p>
        </w:tc>
        <w:tc>
          <w:tcPr>
            <w:tcW w:w="0" w:type="dxa"/>
            <w:vAlign w:val="bottom"/>
          </w:tcPr>
          <w:p>
            <w:pPr>
              <w:spacing w:after="0"/>
              <w:rPr>
                <w:sz w:val="1"/>
                <w:szCs w:val="1"/>
                <w:color w:val="auto"/>
              </w:rPr>
            </w:pPr>
          </w:p>
        </w:tc>
      </w:tr>
      <w:tr>
        <w:trPr>
          <w:trHeight w:val="276"/>
        </w:trPr>
        <w:tc>
          <w:tcPr>
            <w:tcW w:w="58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Adjustable rate</w:t>
            </w:r>
          </w:p>
        </w:tc>
        <w:tc>
          <w:tcPr>
            <w:tcW w:w="20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659</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3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19</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1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678</w:t>
            </w:r>
          </w:p>
        </w:tc>
        <w:tc>
          <w:tcPr>
            <w:tcW w:w="0" w:type="dxa"/>
            <w:vAlign w:val="bottom"/>
          </w:tcPr>
          <w:p>
            <w:pPr>
              <w:spacing w:after="0"/>
              <w:rPr>
                <w:sz w:val="1"/>
                <w:szCs w:val="1"/>
                <w:color w:val="auto"/>
              </w:rPr>
            </w:pPr>
          </w:p>
        </w:tc>
      </w:tr>
      <w:tr>
        <w:trPr>
          <w:trHeight w:val="264"/>
        </w:trPr>
        <w:tc>
          <w:tcPr>
            <w:tcW w:w="5840" w:type="dxa"/>
            <w:vAlign w:val="bottom"/>
            <w:gridSpan w:val="2"/>
          </w:tcPr>
          <w:p>
            <w:pPr>
              <w:ind w:left="180"/>
              <w:spacing w:after="0"/>
              <w:rPr>
                <w:sz w:val="20"/>
                <w:szCs w:val="20"/>
                <w:color w:val="auto"/>
              </w:rPr>
            </w:pPr>
            <w:r>
              <w:rPr>
                <w:rFonts w:ascii="Arial" w:cs="Arial" w:eastAsia="Arial" w:hAnsi="Arial"/>
                <w:sz w:val="14"/>
                <w:szCs w:val="14"/>
                <w:color w:val="auto"/>
              </w:rPr>
              <w:t>CMO</w:t>
            </w:r>
          </w:p>
        </w:tc>
        <w:tc>
          <w:tcPr>
            <w:tcW w:w="200" w:type="dxa"/>
            <w:vAlign w:val="bottom"/>
          </w:tcPr>
          <w:p>
            <w:pPr>
              <w:spacing w:after="0"/>
              <w:rPr>
                <w:sz w:val="22"/>
                <w:szCs w:val="22"/>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1,172</w:t>
            </w: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340" w:type="dxa"/>
            <w:vAlign w:val="bottom"/>
          </w:tcPr>
          <w:p>
            <w:pPr>
              <w:jc w:val="right"/>
              <w:ind w:right="48"/>
              <w:spacing w:after="0"/>
              <w:rPr>
                <w:sz w:val="20"/>
                <w:szCs w:val="20"/>
                <w:color w:val="auto"/>
              </w:rPr>
            </w:pPr>
            <w:r>
              <w:rPr>
                <w:rFonts w:ascii="Arial" w:cs="Arial" w:eastAsia="Arial" w:hAnsi="Arial"/>
                <w:sz w:val="14"/>
                <w:szCs w:val="14"/>
                <w:color w:val="auto"/>
              </w:rPr>
              <w:t>24</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1,195</w:t>
            </w:r>
          </w:p>
        </w:tc>
        <w:tc>
          <w:tcPr>
            <w:tcW w:w="0" w:type="dxa"/>
            <w:vAlign w:val="bottom"/>
          </w:tcPr>
          <w:p>
            <w:pPr>
              <w:spacing w:after="0"/>
              <w:rPr>
                <w:sz w:val="1"/>
                <w:szCs w:val="1"/>
                <w:color w:val="auto"/>
              </w:rPr>
            </w:pPr>
          </w:p>
        </w:tc>
      </w:tr>
      <w:tr>
        <w:trPr>
          <w:trHeight w:val="270"/>
        </w:trPr>
        <w:tc>
          <w:tcPr>
            <w:tcW w:w="58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Interest-only and principal-only strips</w:t>
            </w:r>
          </w:p>
        </w:tc>
        <w:tc>
          <w:tcPr>
            <w:tcW w:w="200" w:type="dxa"/>
            <w:vAlign w:val="bottom"/>
            <w:tcBorders>
              <w:bottom w:val="single" w:sz="8" w:color="auto"/>
            </w:tcBorders>
            <w:shd w:val="clear" w:color="auto" w:fill="CCEEFF"/>
          </w:tcPr>
          <w:p>
            <w:pPr>
              <w:spacing w:after="0"/>
              <w:rPr>
                <w:sz w:val="23"/>
                <w:szCs w:val="23"/>
                <w:color w:val="auto"/>
              </w:rPr>
            </w:pP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372</w:t>
            </w:r>
          </w:p>
        </w:tc>
        <w:tc>
          <w:tcPr>
            <w:tcW w:w="120" w:type="dxa"/>
            <w:vAlign w:val="bottom"/>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33</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402</w:t>
            </w:r>
          </w:p>
        </w:tc>
        <w:tc>
          <w:tcPr>
            <w:tcW w:w="0" w:type="dxa"/>
            <w:vAlign w:val="bottom"/>
          </w:tcPr>
          <w:p>
            <w:pPr>
              <w:spacing w:after="0"/>
              <w:rPr>
                <w:sz w:val="1"/>
                <w:szCs w:val="1"/>
                <w:color w:val="auto"/>
              </w:rPr>
            </w:pPr>
          </w:p>
        </w:tc>
      </w:tr>
      <w:tr>
        <w:trPr>
          <w:trHeight w:val="243"/>
        </w:trPr>
        <w:tc>
          <w:tcPr>
            <w:tcW w:w="5840" w:type="dxa"/>
            <w:vAlign w:val="bottom"/>
            <w:gridSpan w:val="2"/>
          </w:tcPr>
          <w:p>
            <w:pPr>
              <w:ind w:left="40"/>
              <w:spacing w:after="0"/>
              <w:rPr>
                <w:sz w:val="20"/>
                <w:szCs w:val="20"/>
                <w:color w:val="auto"/>
              </w:rPr>
            </w:pPr>
            <w:r>
              <w:rPr>
                <w:rFonts w:ascii="Arial" w:cs="Arial" w:eastAsia="Arial" w:hAnsi="Arial"/>
                <w:sz w:val="14"/>
                <w:szCs w:val="14"/>
                <w:color w:val="auto"/>
              </w:rPr>
              <w:t>Total MBS</w:t>
            </w: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56,148</w:t>
            </w:r>
          </w:p>
        </w:tc>
        <w:tc>
          <w:tcPr>
            <w:tcW w:w="120" w:type="dxa"/>
            <w:vAlign w:val="bottom"/>
          </w:tcPr>
          <w:p>
            <w:pPr>
              <w:spacing w:after="0"/>
              <w:rPr>
                <w:sz w:val="21"/>
                <w:szCs w:val="21"/>
                <w:color w:val="auto"/>
              </w:rPr>
            </w:pPr>
          </w:p>
        </w:tc>
        <w:tc>
          <w:tcPr>
            <w:tcW w:w="1040" w:type="dxa"/>
            <w:vAlign w:val="bottom"/>
            <w:tcBorders>
              <w:bottom w:val="single" w:sz="8" w:color="auto"/>
            </w:tcBorders>
          </w:tcPr>
          <w:p>
            <w:pPr>
              <w:jc w:val="right"/>
              <w:ind w:right="868"/>
              <w:spacing w:after="0"/>
              <w:rPr>
                <w:sz w:val="20"/>
                <w:szCs w:val="20"/>
                <w:color w:val="auto"/>
              </w:rPr>
            </w:pPr>
            <w:r>
              <w:rPr>
                <w:rFonts w:ascii="Arial" w:cs="Arial" w:eastAsia="Arial" w:hAnsi="Arial"/>
                <w:sz w:val="14"/>
                <w:szCs w:val="14"/>
                <w:color w:val="auto"/>
              </w:rPr>
              <w:t>$</w:t>
            </w:r>
          </w:p>
        </w:tc>
        <w:tc>
          <w:tcPr>
            <w:tcW w:w="3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85"/>
              </w:rPr>
              <w:t>791</w:t>
            </w:r>
          </w:p>
        </w:tc>
        <w:tc>
          <w:tcPr>
            <w:tcW w:w="100" w:type="dxa"/>
            <w:vAlign w:val="bottom"/>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(191)</w:t>
            </w:r>
          </w:p>
        </w:tc>
        <w:tc>
          <w:tcPr>
            <w:tcW w:w="100" w:type="dxa"/>
            <w:vAlign w:val="bottom"/>
          </w:tcPr>
          <w:p>
            <w:pPr>
              <w:spacing w:after="0"/>
              <w:rPr>
                <w:sz w:val="21"/>
                <w:szCs w:val="21"/>
                <w:color w:val="auto"/>
              </w:rPr>
            </w:pP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56,748</w:t>
            </w:r>
          </w:p>
        </w:tc>
        <w:tc>
          <w:tcPr>
            <w:tcW w:w="0" w:type="dxa"/>
            <w:vAlign w:val="bottom"/>
          </w:tcPr>
          <w:p>
            <w:pPr>
              <w:spacing w:after="0"/>
              <w:rPr>
                <w:sz w:val="1"/>
                <w:szCs w:val="1"/>
                <w:color w:val="auto"/>
              </w:rPr>
            </w:pPr>
          </w:p>
        </w:tc>
      </w:tr>
      <w:tr>
        <w:trPr>
          <w:trHeight w:val="20"/>
        </w:trPr>
        <w:tc>
          <w:tcPr>
            <w:tcW w:w="5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85</w:t>
      </w:r>
    </w:p>
    <w:p>
      <w:pPr>
        <w:sectPr>
          <w:pgSz w:w="11900" w:h="16838" w:orient="portrait"/>
          <w:cols w:equalWidth="0" w:num="1">
            <w:col w:w="11420"/>
          </w:cols>
          <w:pgMar w:left="240" w:top="746" w:right="239" w:bottom="1440" w:gutter="0" w:footer="0" w:header="0"/>
        </w:sectPr>
      </w:pPr>
    </w:p>
    <w:bookmarkStart w:id="86" w:name="page87"/>
    <w:bookmarkEnd w:id="86"/>
    <w:tbl>
      <w:tblPr>
        <w:tblLayout w:type="fixed"/>
        <w:tblInd w:w="0" w:type="dxa"/>
        <w:tblCellMar>
          <w:top w:w="0" w:type="dxa"/>
          <w:left w:w="0" w:type="dxa"/>
          <w:bottom w:w="0" w:type="dxa"/>
          <w:right w:w="0" w:type="dxa"/>
        </w:tblCellMar>
      </w:tblPr>
      <w:tr>
        <w:trPr>
          <w:trHeight w:val="192"/>
        </w:trPr>
        <w:tc>
          <w:tcPr>
            <w:tcW w:w="50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w w:val="96"/>
              </w:rPr>
              <w:t>December 31, 2015</w:t>
            </w:r>
          </w:p>
        </w:tc>
        <w:tc>
          <w:tcPr>
            <w:tcW w:w="16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r>
      <w:tr>
        <w:trPr>
          <w:trHeight w:val="264"/>
        </w:trPr>
        <w:tc>
          <w:tcPr>
            <w:tcW w:w="508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Investments in Mortgage-Backed Securities</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w w:val="99"/>
              </w:rPr>
              <w:t>Fannie Mae</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w w:val="97"/>
              </w:rPr>
              <w:t>Freddie Mac</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Ginnie Mae</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w w:val="94"/>
              </w:rPr>
              <w:t>Non-Agency</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Total</w:t>
            </w:r>
          </w:p>
        </w:tc>
      </w:tr>
      <w:tr>
        <w:trPr>
          <w:trHeight w:val="270"/>
        </w:trPr>
        <w:tc>
          <w:tcPr>
            <w:tcW w:w="51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Available-for-sale MBS:</w:t>
            </w:r>
          </w:p>
        </w:tc>
        <w:tc>
          <w:tcPr>
            <w:tcW w:w="16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r>
      <w:tr>
        <w:trPr>
          <w:trHeight w:val="264"/>
        </w:trPr>
        <w:tc>
          <w:tcPr>
            <w:tcW w:w="5180" w:type="dxa"/>
            <w:vAlign w:val="bottom"/>
            <w:gridSpan w:val="2"/>
          </w:tcPr>
          <w:p>
            <w:pPr>
              <w:ind w:left="1200"/>
              <w:spacing w:after="0"/>
              <w:rPr>
                <w:sz w:val="20"/>
                <w:szCs w:val="20"/>
                <w:color w:val="auto"/>
              </w:rPr>
            </w:pPr>
            <w:r>
              <w:rPr>
                <w:rFonts w:ascii="Arial" w:cs="Arial" w:eastAsia="Arial" w:hAnsi="Arial"/>
                <w:sz w:val="14"/>
                <w:szCs w:val="14"/>
                <w:color w:val="auto"/>
              </w:rPr>
              <w:t>MBS, par value</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39,205</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10,575</w:t>
            </w:r>
          </w:p>
        </w:tc>
        <w:tc>
          <w:tcPr>
            <w:tcW w:w="100" w:type="dxa"/>
            <w:vAlign w:val="bottom"/>
          </w:tcPr>
          <w:p>
            <w:pPr>
              <w:spacing w:after="0"/>
              <w:rPr>
                <w:sz w:val="22"/>
                <w:szCs w:val="22"/>
                <w:color w:val="auto"/>
              </w:rPr>
            </w:pPr>
          </w:p>
        </w:tc>
        <w:tc>
          <w:tcPr>
            <w:tcW w:w="160" w:type="dxa"/>
            <w:vAlign w:val="bottom"/>
          </w:tcPr>
          <w:p>
            <w:pPr>
              <w:ind w:left="20"/>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62</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113</w:t>
            </w:r>
          </w:p>
        </w:tc>
        <w:tc>
          <w:tcPr>
            <w:tcW w:w="100" w:type="dxa"/>
            <w:vAlign w:val="bottom"/>
          </w:tcPr>
          <w:p>
            <w:pPr>
              <w:spacing w:after="0"/>
              <w:rPr>
                <w:sz w:val="22"/>
                <w:szCs w:val="22"/>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49,955</w:t>
            </w:r>
          </w:p>
        </w:tc>
      </w:tr>
      <w:tr>
        <w:trPr>
          <w:trHeight w:val="276"/>
        </w:trPr>
        <w:tc>
          <w:tcPr>
            <w:tcW w:w="5180" w:type="dxa"/>
            <w:vAlign w:val="bottom"/>
            <w:gridSpan w:val="2"/>
            <w:shd w:val="clear" w:color="auto" w:fill="CCEEFF"/>
          </w:tcPr>
          <w:p>
            <w:pPr>
              <w:ind w:left="1200"/>
              <w:spacing w:after="0"/>
              <w:rPr>
                <w:sz w:val="20"/>
                <w:szCs w:val="20"/>
                <w:color w:val="auto"/>
              </w:rPr>
            </w:pPr>
            <w:r>
              <w:rPr>
                <w:rFonts w:ascii="Arial" w:cs="Arial" w:eastAsia="Arial" w:hAnsi="Arial"/>
                <w:sz w:val="14"/>
                <w:szCs w:val="14"/>
                <w:color w:val="auto"/>
              </w:rPr>
              <w:t>Unamortized discount</w:t>
            </w:r>
          </w:p>
        </w:tc>
        <w:tc>
          <w:tcPr>
            <w:tcW w:w="16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(32)</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(36)</w:t>
            </w:r>
          </w:p>
        </w:tc>
      </w:tr>
      <w:tr>
        <w:trPr>
          <w:trHeight w:val="264"/>
        </w:trPr>
        <w:tc>
          <w:tcPr>
            <w:tcW w:w="5180" w:type="dxa"/>
            <w:vAlign w:val="bottom"/>
            <w:tcBorders>
              <w:bottom w:val="single" w:sz="8" w:color="CCEEFF"/>
            </w:tcBorders>
            <w:gridSpan w:val="2"/>
          </w:tcPr>
          <w:p>
            <w:pPr>
              <w:ind w:left="1200"/>
              <w:spacing w:after="0"/>
              <w:rPr>
                <w:sz w:val="20"/>
                <w:szCs w:val="20"/>
                <w:color w:val="auto"/>
              </w:rPr>
            </w:pPr>
            <w:r>
              <w:rPr>
                <w:rFonts w:ascii="Arial" w:cs="Arial" w:eastAsia="Arial" w:hAnsi="Arial"/>
                <w:sz w:val="14"/>
                <w:szCs w:val="14"/>
                <w:color w:val="auto"/>
              </w:rPr>
              <w:t>Unamortized premium</w:t>
            </w:r>
          </w:p>
        </w:tc>
        <w:tc>
          <w:tcPr>
            <w:tcW w:w="16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1,707</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519</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2,228</w:t>
            </w:r>
          </w:p>
        </w:tc>
      </w:tr>
      <w:tr>
        <w:trPr>
          <w:trHeight w:val="256"/>
        </w:trPr>
        <w:tc>
          <w:tcPr>
            <w:tcW w:w="5180" w:type="dxa"/>
            <w:vAlign w:val="bottom"/>
            <w:gridSpan w:val="2"/>
            <w:shd w:val="clear" w:color="auto" w:fill="CCEEFF"/>
          </w:tcPr>
          <w:p>
            <w:pPr>
              <w:ind w:left="1040"/>
              <w:spacing w:after="0"/>
              <w:rPr>
                <w:sz w:val="20"/>
                <w:szCs w:val="20"/>
                <w:color w:val="auto"/>
              </w:rPr>
            </w:pPr>
            <w:r>
              <w:rPr>
                <w:rFonts w:ascii="Arial" w:cs="Arial" w:eastAsia="Arial" w:hAnsi="Arial"/>
                <w:sz w:val="14"/>
                <w:szCs w:val="14"/>
                <w:color w:val="auto"/>
              </w:rPr>
              <w:t>Amortized cost</w:t>
            </w:r>
          </w:p>
        </w:tc>
        <w:tc>
          <w:tcPr>
            <w:tcW w:w="160" w:type="dxa"/>
            <w:vAlign w:val="bottom"/>
            <w:shd w:val="clear" w:color="auto" w:fill="CCEEFF"/>
          </w:tcPr>
          <w:p>
            <w:pPr>
              <w:spacing w:after="0"/>
              <w:rPr>
                <w:sz w:val="22"/>
                <w:szCs w:val="22"/>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40,880</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11,090</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63</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114</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52,147</w:t>
            </w:r>
          </w:p>
        </w:tc>
      </w:tr>
      <w:tr>
        <w:trPr>
          <w:trHeight w:val="264"/>
        </w:trPr>
        <w:tc>
          <w:tcPr>
            <w:tcW w:w="5180" w:type="dxa"/>
            <w:vAlign w:val="bottom"/>
            <w:gridSpan w:val="2"/>
          </w:tcPr>
          <w:p>
            <w:pPr>
              <w:ind w:left="1200"/>
              <w:spacing w:after="0"/>
              <w:rPr>
                <w:sz w:val="20"/>
                <w:szCs w:val="20"/>
                <w:color w:val="auto"/>
              </w:rPr>
            </w:pPr>
            <w:r>
              <w:rPr>
                <w:rFonts w:ascii="Arial" w:cs="Arial" w:eastAsia="Arial" w:hAnsi="Arial"/>
                <w:sz w:val="14"/>
                <w:szCs w:val="14"/>
                <w:color w:val="auto"/>
              </w:rPr>
              <w:t>Gross unrealized gains</w:t>
            </w:r>
          </w:p>
        </w:tc>
        <w:tc>
          <w:tcPr>
            <w:tcW w:w="160" w:type="dxa"/>
            <w:vAlign w:val="bottom"/>
          </w:tcPr>
          <w:p>
            <w:pPr>
              <w:spacing w:after="0"/>
              <w:rPr>
                <w:sz w:val="22"/>
                <w:szCs w:val="22"/>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286</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80</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368</w:t>
            </w:r>
          </w:p>
        </w:tc>
      </w:tr>
      <w:tr>
        <w:trPr>
          <w:trHeight w:val="270"/>
        </w:trPr>
        <w:tc>
          <w:tcPr>
            <w:tcW w:w="5180" w:type="dxa"/>
            <w:vAlign w:val="bottom"/>
            <w:gridSpan w:val="2"/>
            <w:shd w:val="clear" w:color="auto" w:fill="CCEEFF"/>
          </w:tcPr>
          <w:p>
            <w:pPr>
              <w:ind w:left="1200"/>
              <w:spacing w:after="0"/>
              <w:rPr>
                <w:sz w:val="20"/>
                <w:szCs w:val="20"/>
                <w:color w:val="auto"/>
              </w:rPr>
            </w:pPr>
            <w:r>
              <w:rPr>
                <w:rFonts w:ascii="Arial" w:cs="Arial" w:eastAsia="Arial" w:hAnsi="Arial"/>
                <w:sz w:val="14"/>
                <w:szCs w:val="14"/>
                <w:color w:val="auto"/>
              </w:rPr>
              <w:t>Gross unrealized losses</w:t>
            </w:r>
          </w:p>
        </w:tc>
        <w:tc>
          <w:tcPr>
            <w:tcW w:w="16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(283)</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(111)</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1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(395)</w:t>
            </w:r>
          </w:p>
        </w:tc>
      </w:tr>
      <w:tr>
        <w:trPr>
          <w:trHeight w:val="250"/>
        </w:trPr>
        <w:tc>
          <w:tcPr>
            <w:tcW w:w="5180" w:type="dxa"/>
            <w:vAlign w:val="bottom"/>
            <w:tcBorders>
              <w:bottom w:val="single" w:sz="8" w:color="CCEEFF"/>
            </w:tcBorders>
            <w:gridSpan w:val="2"/>
          </w:tcPr>
          <w:p>
            <w:pPr>
              <w:ind w:left="720"/>
              <w:spacing w:after="0"/>
              <w:rPr>
                <w:sz w:val="20"/>
                <w:szCs w:val="20"/>
                <w:color w:val="auto"/>
              </w:rPr>
            </w:pPr>
            <w:r>
              <w:rPr>
                <w:rFonts w:ascii="Arial" w:cs="Arial" w:eastAsia="Arial" w:hAnsi="Arial"/>
                <w:sz w:val="14"/>
                <w:szCs w:val="14"/>
                <w:color w:val="auto"/>
              </w:rPr>
              <w:t>Total available-for-sale MBS, at fair value</w:t>
            </w:r>
          </w:p>
        </w:tc>
        <w:tc>
          <w:tcPr>
            <w:tcW w:w="160" w:type="dxa"/>
            <w:vAlign w:val="bottom"/>
            <w:tcBorders>
              <w:top w:val="single" w:sz="8" w:color="auto"/>
              <w:bottom w:val="single" w:sz="8" w:color="auto"/>
            </w:tcBorders>
          </w:tcPr>
          <w:p>
            <w:pPr>
              <w:spacing w:after="0"/>
              <w:rPr>
                <w:sz w:val="21"/>
                <w:szCs w:val="21"/>
                <w:color w:val="auto"/>
              </w:rPr>
            </w:pPr>
          </w:p>
        </w:tc>
        <w:tc>
          <w:tcPr>
            <w:tcW w:w="100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40,883</w:t>
            </w:r>
          </w:p>
        </w:tc>
        <w:tc>
          <w:tcPr>
            <w:tcW w:w="12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spacing w:after="0"/>
              <w:rPr>
                <w:sz w:val="21"/>
                <w:szCs w:val="21"/>
                <w:color w:val="auto"/>
              </w:rPr>
            </w:pPr>
          </w:p>
        </w:tc>
        <w:tc>
          <w:tcPr>
            <w:tcW w:w="102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11,059</w:t>
            </w:r>
          </w:p>
        </w:tc>
        <w:tc>
          <w:tcPr>
            <w:tcW w:w="10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spacing w:after="0"/>
              <w:rPr>
                <w:sz w:val="21"/>
                <w:szCs w:val="21"/>
                <w:color w:val="auto"/>
              </w:rPr>
            </w:pPr>
          </w:p>
        </w:tc>
        <w:tc>
          <w:tcPr>
            <w:tcW w:w="100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65</w:t>
            </w:r>
          </w:p>
        </w:tc>
        <w:tc>
          <w:tcPr>
            <w:tcW w:w="10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spacing w:after="0"/>
              <w:rPr>
                <w:sz w:val="21"/>
                <w:szCs w:val="21"/>
                <w:color w:val="auto"/>
              </w:rPr>
            </w:pPr>
          </w:p>
        </w:tc>
        <w:tc>
          <w:tcPr>
            <w:tcW w:w="102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113</w:t>
            </w:r>
          </w:p>
        </w:tc>
        <w:tc>
          <w:tcPr>
            <w:tcW w:w="100" w:type="dxa"/>
            <w:vAlign w:val="bottom"/>
            <w:tcBorders>
              <w:bottom w:val="single" w:sz="8" w:color="CCEEFF"/>
            </w:tcBorders>
          </w:tcPr>
          <w:p>
            <w:pPr>
              <w:spacing w:after="0"/>
              <w:rPr>
                <w:sz w:val="21"/>
                <w:szCs w:val="21"/>
                <w:color w:val="auto"/>
              </w:rPr>
            </w:pPr>
          </w:p>
        </w:tc>
        <w:tc>
          <w:tcPr>
            <w:tcW w:w="260" w:type="dxa"/>
            <w:vAlign w:val="bottom"/>
            <w:tcBorders>
              <w:top w:val="single" w:sz="8" w:color="auto"/>
              <w:bottom w:val="single" w:sz="8" w:color="auto"/>
            </w:tcBorders>
          </w:tcPr>
          <w:p>
            <w:pPr>
              <w:spacing w:after="0"/>
              <w:rPr>
                <w:sz w:val="21"/>
                <w:szCs w:val="21"/>
                <w:color w:val="auto"/>
              </w:rPr>
            </w:pPr>
          </w:p>
        </w:tc>
        <w:tc>
          <w:tcPr>
            <w:tcW w:w="90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52,120</w:t>
            </w:r>
          </w:p>
        </w:tc>
      </w:tr>
      <w:tr>
        <w:trPr>
          <w:trHeight w:val="270"/>
        </w:trPr>
        <w:tc>
          <w:tcPr>
            <w:tcW w:w="51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MBS remeasured at fair value through earnings:</w:t>
            </w:r>
          </w:p>
        </w:tc>
        <w:tc>
          <w:tcPr>
            <w:tcW w:w="16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r>
      <w:tr>
        <w:trPr>
          <w:trHeight w:val="264"/>
        </w:trPr>
        <w:tc>
          <w:tcPr>
            <w:tcW w:w="5180" w:type="dxa"/>
            <w:vAlign w:val="bottom"/>
            <w:gridSpan w:val="2"/>
          </w:tcPr>
          <w:p>
            <w:pPr>
              <w:ind w:left="1200"/>
              <w:spacing w:after="0"/>
              <w:rPr>
                <w:sz w:val="20"/>
                <w:szCs w:val="20"/>
                <w:color w:val="auto"/>
              </w:rPr>
            </w:pPr>
            <w:r>
              <w:rPr>
                <w:rFonts w:ascii="Arial" w:cs="Arial" w:eastAsia="Arial" w:hAnsi="Arial"/>
                <w:sz w:val="14"/>
                <w:szCs w:val="14"/>
                <w:color w:val="auto"/>
              </w:rPr>
              <w:t xml:space="preserve">Interest-only and principal-only strips, amortized cost </w:t>
            </w:r>
            <w:r>
              <w:rPr>
                <w:rFonts w:ascii="Arial" w:cs="Arial" w:eastAsia="Arial" w:hAnsi="Arial"/>
                <w:sz w:val="8"/>
                <w:szCs w:val="8"/>
                <w:color w:val="auto"/>
              </w:rPr>
              <w:t>1</w:t>
            </w:r>
          </w:p>
        </w:tc>
        <w:tc>
          <w:tcPr>
            <w:tcW w:w="160" w:type="dxa"/>
            <w:vAlign w:val="bottom"/>
          </w:tcPr>
          <w:p>
            <w:pPr>
              <w:spacing w:after="0"/>
              <w:rPr>
                <w:sz w:val="22"/>
                <w:szCs w:val="22"/>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298</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19</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317</w:t>
            </w:r>
          </w:p>
        </w:tc>
      </w:tr>
      <w:tr>
        <w:trPr>
          <w:trHeight w:val="276"/>
        </w:trPr>
        <w:tc>
          <w:tcPr>
            <w:tcW w:w="5180" w:type="dxa"/>
            <w:vAlign w:val="bottom"/>
            <w:gridSpan w:val="2"/>
            <w:shd w:val="clear" w:color="auto" w:fill="CCEEFF"/>
          </w:tcPr>
          <w:p>
            <w:pPr>
              <w:ind w:left="1200"/>
              <w:spacing w:after="0"/>
              <w:rPr>
                <w:sz w:val="20"/>
                <w:szCs w:val="20"/>
                <w:color w:val="auto"/>
              </w:rPr>
            </w:pPr>
            <w:r>
              <w:rPr>
                <w:rFonts w:ascii="Arial" w:cs="Arial" w:eastAsia="Arial" w:hAnsi="Arial"/>
                <w:sz w:val="14"/>
                <w:szCs w:val="14"/>
                <w:color w:val="auto"/>
              </w:rPr>
              <w:t>Gross unrealized gains</w:t>
            </w:r>
          </w:p>
        </w:tc>
        <w:tc>
          <w:tcPr>
            <w:tcW w:w="16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39</w:t>
            </w:r>
          </w:p>
        </w:tc>
      </w:tr>
      <w:tr>
        <w:trPr>
          <w:trHeight w:val="264"/>
        </w:trPr>
        <w:tc>
          <w:tcPr>
            <w:tcW w:w="5180" w:type="dxa"/>
            <w:vAlign w:val="bottom"/>
            <w:tcBorders>
              <w:bottom w:val="single" w:sz="8" w:color="CCEEFF"/>
            </w:tcBorders>
            <w:gridSpan w:val="2"/>
          </w:tcPr>
          <w:p>
            <w:pPr>
              <w:ind w:left="1200"/>
              <w:spacing w:after="0"/>
              <w:rPr>
                <w:sz w:val="20"/>
                <w:szCs w:val="20"/>
                <w:color w:val="auto"/>
              </w:rPr>
            </w:pPr>
            <w:r>
              <w:rPr>
                <w:rFonts w:ascii="Arial" w:cs="Arial" w:eastAsia="Arial" w:hAnsi="Arial"/>
                <w:sz w:val="14"/>
                <w:szCs w:val="14"/>
                <w:color w:val="auto"/>
              </w:rPr>
              <w:t>Gross unrealized losses</w:t>
            </w:r>
          </w:p>
        </w:tc>
        <w:tc>
          <w:tcPr>
            <w:tcW w:w="16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w:t>
            </w:r>
          </w:p>
        </w:tc>
      </w:tr>
      <w:tr>
        <w:trPr>
          <w:trHeight w:val="250"/>
        </w:trPr>
        <w:tc>
          <w:tcPr>
            <w:tcW w:w="5180" w:type="dxa"/>
            <w:vAlign w:val="bottom"/>
            <w:gridSpan w:val="2"/>
            <w:shd w:val="clear" w:color="auto" w:fill="CCEEFF"/>
          </w:tcPr>
          <w:p>
            <w:pPr>
              <w:ind w:left="720"/>
              <w:spacing w:after="0"/>
              <w:rPr>
                <w:sz w:val="20"/>
                <w:szCs w:val="20"/>
                <w:color w:val="auto"/>
              </w:rPr>
            </w:pPr>
            <w:r>
              <w:rPr>
                <w:rFonts w:ascii="Arial" w:cs="Arial" w:eastAsia="Arial" w:hAnsi="Arial"/>
                <w:sz w:val="14"/>
                <w:szCs w:val="14"/>
                <w:color w:val="auto"/>
              </w:rPr>
              <w:t>Total MBS remeasured at fair value through earnings</w:t>
            </w:r>
          </w:p>
        </w:tc>
        <w:tc>
          <w:tcPr>
            <w:tcW w:w="160" w:type="dxa"/>
            <w:vAlign w:val="bottom"/>
            <w:shd w:val="clear" w:color="auto" w:fill="CCEEFF"/>
          </w:tcPr>
          <w:p>
            <w:pPr>
              <w:spacing w:after="0"/>
              <w:rPr>
                <w:sz w:val="21"/>
                <w:szCs w:val="21"/>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331</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0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22</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1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1"/>
                <w:szCs w:val="21"/>
                <w:color w:val="auto"/>
              </w:rPr>
            </w:pPr>
          </w:p>
        </w:tc>
        <w:tc>
          <w:tcPr>
            <w:tcW w:w="112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1"/>
                <w:szCs w:val="21"/>
                <w:color w:val="auto"/>
              </w:rPr>
            </w:pPr>
          </w:p>
        </w:tc>
        <w:tc>
          <w:tcPr>
            <w:tcW w:w="9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353</w:t>
            </w:r>
          </w:p>
        </w:tc>
      </w:tr>
      <w:tr>
        <w:trPr>
          <w:trHeight w:val="283"/>
        </w:trPr>
        <w:tc>
          <w:tcPr>
            <w:tcW w:w="518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Total MBS, at fair value</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41,214</w:t>
            </w: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11,081</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4"/>
                <w:szCs w:val="14"/>
                <w:color w:val="auto"/>
              </w:rPr>
              <w:t>$</w:t>
            </w:r>
          </w:p>
        </w:tc>
        <w:tc>
          <w:tcPr>
            <w:tcW w:w="100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65</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113</w:t>
            </w:r>
          </w:p>
        </w:tc>
        <w:tc>
          <w:tcPr>
            <w:tcW w:w="10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52,473</w:t>
            </w:r>
          </w:p>
        </w:tc>
      </w:tr>
      <w:tr>
        <w:trPr>
          <w:trHeight w:val="224"/>
        </w:trPr>
        <w:tc>
          <w:tcPr>
            <w:tcW w:w="51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 xml:space="preserve">Weighted average coupon as of December 31, 2015 </w:t>
            </w:r>
            <w:r>
              <w:rPr>
                <w:rFonts w:ascii="Arial" w:cs="Arial" w:eastAsia="Arial" w:hAnsi="Arial"/>
                <w:sz w:val="8"/>
                <w:szCs w:val="8"/>
                <w:color w:val="auto"/>
              </w:rPr>
              <w:t>2</w:t>
            </w:r>
          </w:p>
        </w:tc>
        <w:tc>
          <w:tcPr>
            <w:tcW w:w="16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3.62%</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3.69%</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3.18%</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3.50%</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3.63%</w:t>
            </w:r>
          </w:p>
        </w:tc>
      </w:tr>
      <w:tr>
        <w:trPr>
          <w:trHeight w:val="256"/>
        </w:trPr>
        <w:tc>
          <w:tcPr>
            <w:tcW w:w="5180" w:type="dxa"/>
            <w:vAlign w:val="bottom"/>
            <w:gridSpan w:val="2"/>
          </w:tcPr>
          <w:p>
            <w:pPr>
              <w:ind w:left="40"/>
              <w:spacing w:after="0"/>
              <w:rPr>
                <w:sz w:val="20"/>
                <w:szCs w:val="20"/>
                <w:color w:val="auto"/>
              </w:rPr>
            </w:pPr>
            <w:r>
              <w:rPr>
                <w:rFonts w:ascii="Arial" w:cs="Arial" w:eastAsia="Arial" w:hAnsi="Arial"/>
                <w:sz w:val="14"/>
                <w:szCs w:val="14"/>
                <w:color w:val="auto"/>
              </w:rPr>
              <w:t xml:space="preserve">Weighted average yield as of December 31, 2015 </w:t>
            </w:r>
            <w:r>
              <w:rPr>
                <w:rFonts w:ascii="Arial" w:cs="Arial" w:eastAsia="Arial" w:hAnsi="Arial"/>
                <w:sz w:val="8"/>
                <w:szCs w:val="8"/>
                <w:color w:val="auto"/>
              </w:rPr>
              <w:t>3</w:t>
            </w:r>
          </w:p>
        </w:tc>
        <w:tc>
          <w:tcPr>
            <w:tcW w:w="16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2.79%</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2.77%</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1.97%</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3.33%</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2.78%</w:t>
            </w:r>
          </w:p>
        </w:tc>
      </w:tr>
      <w:tr>
        <w:trPr>
          <w:trHeight w:val="224"/>
        </w:trPr>
        <w:tc>
          <w:tcPr>
            <w:tcW w:w="5080" w:type="dxa"/>
            <w:vAlign w:val="bottom"/>
          </w:tcPr>
          <w:p>
            <w:pPr>
              <w:ind w:left="60"/>
              <w:spacing w:after="0"/>
              <w:rPr>
                <w:sz w:val="20"/>
                <w:szCs w:val="20"/>
                <w:color w:val="auto"/>
              </w:rPr>
            </w:pPr>
            <w:r>
              <w:rPr>
                <w:rFonts w:ascii="Arial" w:cs="Arial" w:eastAsia="Arial" w:hAnsi="Arial"/>
                <w:sz w:val="18"/>
                <w:szCs w:val="18"/>
                <w:color w:val="auto"/>
              </w:rPr>
              <w:t>________________________</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00" w:type="dxa"/>
            <w:vAlign w:val="bottom"/>
          </w:tcPr>
          <w:p>
            <w:pPr>
              <w:spacing w:after="0"/>
              <w:rPr>
                <w:sz w:val="19"/>
                <w:szCs w:val="19"/>
                <w:color w:val="auto"/>
              </w:rPr>
            </w:pPr>
          </w:p>
        </w:tc>
      </w:tr>
    </w:tbl>
    <w:p>
      <w:pPr>
        <w:ind w:left="660" w:hanging="328"/>
        <w:spacing w:after="0" w:line="241" w:lineRule="auto"/>
        <w:tabs>
          <w:tab w:leader="none" w:pos="660" w:val="left"/>
        </w:tabs>
        <w:numPr>
          <w:ilvl w:val="0"/>
          <w:numId w:val="48"/>
        </w:numPr>
        <w:rPr>
          <w:rFonts w:ascii="Arial" w:cs="Arial" w:eastAsia="Arial" w:hAnsi="Arial"/>
          <w:sz w:val="14"/>
          <w:szCs w:val="14"/>
          <w:color w:val="auto"/>
        </w:rPr>
      </w:pPr>
      <w:r>
        <w:rPr>
          <w:rFonts w:ascii="Arial" w:cs="Arial" w:eastAsia="Arial" w:hAnsi="Arial"/>
          <w:sz w:val="14"/>
          <w:szCs w:val="14"/>
          <w:color w:val="auto"/>
        </w:rPr>
        <w:t>The underlying unamortized principal balance ("UPB" or "par value") of our interest-only securities was $1.0 billion and the weighted average contractual interest we are entitled to receive was 5.28% of this amount as of December 31, 2015. The par value of our principal-only securities was $207 million as of December 31, 2015.</w:t>
      </w:r>
    </w:p>
    <w:p>
      <w:pPr>
        <w:ind w:left="660" w:hanging="328"/>
        <w:spacing w:after="0" w:line="241" w:lineRule="auto"/>
        <w:tabs>
          <w:tab w:leader="none" w:pos="660" w:val="left"/>
        </w:tabs>
        <w:numPr>
          <w:ilvl w:val="0"/>
          <w:numId w:val="48"/>
        </w:numPr>
        <w:rPr>
          <w:rFonts w:ascii="Arial" w:cs="Arial" w:eastAsia="Arial" w:hAnsi="Arial"/>
          <w:sz w:val="14"/>
          <w:szCs w:val="14"/>
          <w:color w:val="auto"/>
        </w:rPr>
      </w:pPr>
      <w:r>
        <w:rPr>
          <w:rFonts w:ascii="Arial" w:cs="Arial" w:eastAsia="Arial" w:hAnsi="Arial"/>
          <w:sz w:val="14"/>
          <w:szCs w:val="14"/>
          <w:color w:val="auto"/>
        </w:rPr>
        <w:t>The weighted average coupon includes the interest cash flows from our interest-only securities and is stated as a percentage of par value (excluding the UPB of our interest-only securities) as of December 31, 2015.</w:t>
      </w:r>
    </w:p>
    <w:p>
      <w:pPr>
        <w:ind w:left="660" w:hanging="328"/>
        <w:spacing w:after="0"/>
        <w:tabs>
          <w:tab w:leader="none" w:pos="660" w:val="left"/>
        </w:tabs>
        <w:numPr>
          <w:ilvl w:val="0"/>
          <w:numId w:val="48"/>
        </w:numPr>
        <w:rPr>
          <w:rFonts w:ascii="Arial" w:cs="Arial" w:eastAsia="Arial" w:hAnsi="Arial"/>
          <w:sz w:val="14"/>
          <w:szCs w:val="14"/>
          <w:color w:val="auto"/>
        </w:rPr>
      </w:pPr>
      <w:r>
        <w:rPr>
          <w:rFonts w:ascii="Arial" w:cs="Arial" w:eastAsia="Arial" w:hAnsi="Arial"/>
          <w:sz w:val="14"/>
          <w:szCs w:val="14"/>
          <w:color w:val="auto"/>
        </w:rPr>
        <w:t>Incorporates a weighted average future constant prepayment rate assumption of 8% based on forward rates as of December 31, 2015.</w:t>
      </w:r>
    </w:p>
    <w:p>
      <w:pPr>
        <w:spacing w:after="0" w:line="37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400" w:type="dxa"/>
            <w:vAlign w:val="bottom"/>
            <w:tcBorders>
              <w:bottom w:val="single" w:sz="8" w:color="auto"/>
            </w:tcBorders>
            <w:gridSpan w:val="5"/>
          </w:tcPr>
          <w:p>
            <w:pPr>
              <w:ind w:left="500"/>
              <w:spacing w:after="0"/>
              <w:rPr>
                <w:sz w:val="20"/>
                <w:szCs w:val="20"/>
                <w:color w:val="auto"/>
              </w:rPr>
            </w:pPr>
            <w:r>
              <w:rPr>
                <w:rFonts w:ascii="Arial" w:cs="Arial" w:eastAsia="Arial" w:hAnsi="Arial"/>
                <w:sz w:val="14"/>
                <w:szCs w:val="14"/>
                <w:b w:val="1"/>
                <w:bCs w:val="1"/>
                <w:color w:val="auto"/>
              </w:rPr>
              <w:t>December 31, 2014</w:t>
            </w:r>
          </w:p>
        </w:tc>
        <w:tc>
          <w:tcPr>
            <w:tcW w:w="2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r>
      <w:tr>
        <w:trPr>
          <w:trHeight w:val="264"/>
        </w:trPr>
        <w:tc>
          <w:tcPr>
            <w:tcW w:w="63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Investments in Mortgage-Backed Securities</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Fannie Mae</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rPr>
              <w:t>Freddie Mac</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Ginnie Mae</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Total</w:t>
            </w:r>
          </w:p>
        </w:tc>
      </w:tr>
      <w:tr>
        <w:trPr>
          <w:trHeight w:val="270"/>
        </w:trPr>
        <w:tc>
          <w:tcPr>
            <w:tcW w:w="64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Available-for-sale MBS:</w:t>
            </w: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r>
      <w:tr>
        <w:trPr>
          <w:trHeight w:val="264"/>
        </w:trPr>
        <w:tc>
          <w:tcPr>
            <w:tcW w:w="6460" w:type="dxa"/>
            <w:vAlign w:val="bottom"/>
            <w:gridSpan w:val="2"/>
          </w:tcPr>
          <w:p>
            <w:pPr>
              <w:ind w:left="1200"/>
              <w:spacing w:after="0"/>
              <w:rPr>
                <w:sz w:val="20"/>
                <w:szCs w:val="20"/>
                <w:color w:val="auto"/>
              </w:rPr>
            </w:pPr>
            <w:r>
              <w:rPr>
                <w:rFonts w:ascii="Arial" w:cs="Arial" w:eastAsia="Arial" w:hAnsi="Arial"/>
                <w:sz w:val="14"/>
                <w:szCs w:val="14"/>
                <w:color w:val="auto"/>
              </w:rPr>
              <w:t>MBS, par value</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42,749</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10,566</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107</w:t>
            </w:r>
          </w:p>
        </w:tc>
        <w:tc>
          <w:tcPr>
            <w:tcW w:w="100" w:type="dxa"/>
            <w:vAlign w:val="bottom"/>
          </w:tcPr>
          <w:p>
            <w:pPr>
              <w:spacing w:after="0"/>
              <w:rPr>
                <w:sz w:val="22"/>
                <w:szCs w:val="22"/>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53,422</w:t>
            </w:r>
          </w:p>
        </w:tc>
      </w:tr>
      <w:tr>
        <w:trPr>
          <w:trHeight w:val="276"/>
        </w:trPr>
        <w:tc>
          <w:tcPr>
            <w:tcW w:w="6460" w:type="dxa"/>
            <w:vAlign w:val="bottom"/>
            <w:gridSpan w:val="2"/>
            <w:shd w:val="clear" w:color="auto" w:fill="CCEEFF"/>
          </w:tcPr>
          <w:p>
            <w:pPr>
              <w:ind w:left="1200"/>
              <w:spacing w:after="0"/>
              <w:rPr>
                <w:sz w:val="20"/>
                <w:szCs w:val="20"/>
                <w:color w:val="auto"/>
              </w:rPr>
            </w:pPr>
            <w:r>
              <w:rPr>
                <w:rFonts w:ascii="Arial" w:cs="Arial" w:eastAsia="Arial" w:hAnsi="Arial"/>
                <w:sz w:val="14"/>
                <w:szCs w:val="14"/>
                <w:color w:val="auto"/>
              </w:rPr>
              <w:t>Unamortized discount</w:t>
            </w: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(37)</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(42)</w:t>
            </w:r>
          </w:p>
        </w:tc>
      </w:tr>
      <w:tr>
        <w:trPr>
          <w:trHeight w:val="264"/>
        </w:trPr>
        <w:tc>
          <w:tcPr>
            <w:tcW w:w="6460" w:type="dxa"/>
            <w:vAlign w:val="bottom"/>
            <w:tcBorders>
              <w:bottom w:val="single" w:sz="8" w:color="CCEEFF"/>
            </w:tcBorders>
            <w:gridSpan w:val="2"/>
          </w:tcPr>
          <w:p>
            <w:pPr>
              <w:ind w:left="1200"/>
              <w:spacing w:after="0"/>
              <w:rPr>
                <w:sz w:val="20"/>
                <w:szCs w:val="20"/>
                <w:color w:val="auto"/>
              </w:rPr>
            </w:pPr>
            <w:r>
              <w:rPr>
                <w:rFonts w:ascii="Arial" w:cs="Arial" w:eastAsia="Arial" w:hAnsi="Arial"/>
                <w:sz w:val="14"/>
                <w:szCs w:val="14"/>
                <w:color w:val="auto"/>
              </w:rPr>
              <w:t>Unamortized premium</w:t>
            </w:r>
          </w:p>
        </w:tc>
        <w:tc>
          <w:tcPr>
            <w:tcW w:w="1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1,880</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514</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2,396</w:t>
            </w:r>
          </w:p>
        </w:tc>
      </w:tr>
      <w:tr>
        <w:trPr>
          <w:trHeight w:val="256"/>
        </w:trPr>
        <w:tc>
          <w:tcPr>
            <w:tcW w:w="6460" w:type="dxa"/>
            <w:vAlign w:val="bottom"/>
            <w:gridSpan w:val="2"/>
            <w:shd w:val="clear" w:color="auto" w:fill="CCEEFF"/>
          </w:tcPr>
          <w:p>
            <w:pPr>
              <w:ind w:left="1040"/>
              <w:spacing w:after="0"/>
              <w:rPr>
                <w:sz w:val="20"/>
                <w:szCs w:val="20"/>
                <w:color w:val="auto"/>
              </w:rPr>
            </w:pPr>
            <w:r>
              <w:rPr>
                <w:rFonts w:ascii="Arial" w:cs="Arial" w:eastAsia="Arial" w:hAnsi="Arial"/>
                <w:sz w:val="14"/>
                <w:szCs w:val="14"/>
                <w:color w:val="auto"/>
              </w:rPr>
              <w:t>Amortized cost</w:t>
            </w:r>
          </w:p>
        </w:tc>
        <w:tc>
          <w:tcPr>
            <w:tcW w:w="14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44,592</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11,075</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109</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55,776</w:t>
            </w:r>
          </w:p>
        </w:tc>
      </w:tr>
      <w:tr>
        <w:trPr>
          <w:trHeight w:val="264"/>
        </w:trPr>
        <w:tc>
          <w:tcPr>
            <w:tcW w:w="6460" w:type="dxa"/>
            <w:vAlign w:val="bottom"/>
            <w:gridSpan w:val="2"/>
          </w:tcPr>
          <w:p>
            <w:pPr>
              <w:ind w:left="1200"/>
              <w:spacing w:after="0"/>
              <w:rPr>
                <w:sz w:val="20"/>
                <w:szCs w:val="20"/>
                <w:color w:val="auto"/>
              </w:rPr>
            </w:pPr>
            <w:r>
              <w:rPr>
                <w:rFonts w:ascii="Arial" w:cs="Arial" w:eastAsia="Arial" w:hAnsi="Arial"/>
                <w:sz w:val="14"/>
                <w:szCs w:val="14"/>
                <w:color w:val="auto"/>
              </w:rPr>
              <w:t>Gross unrealized gains</w:t>
            </w:r>
          </w:p>
        </w:tc>
        <w:tc>
          <w:tcPr>
            <w:tcW w:w="140" w:type="dxa"/>
            <w:vAlign w:val="bottom"/>
          </w:tcPr>
          <w:p>
            <w:pPr>
              <w:spacing w:after="0"/>
              <w:rPr>
                <w:sz w:val="22"/>
                <w:szCs w:val="22"/>
                <w:color w:val="auto"/>
              </w:rPr>
            </w:pP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610</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145</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3</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758</w:t>
            </w:r>
          </w:p>
        </w:tc>
      </w:tr>
      <w:tr>
        <w:trPr>
          <w:trHeight w:val="270"/>
        </w:trPr>
        <w:tc>
          <w:tcPr>
            <w:tcW w:w="6460" w:type="dxa"/>
            <w:vAlign w:val="bottom"/>
            <w:gridSpan w:val="2"/>
            <w:shd w:val="clear" w:color="auto" w:fill="CCEEFF"/>
          </w:tcPr>
          <w:p>
            <w:pPr>
              <w:ind w:left="1200"/>
              <w:spacing w:after="0"/>
              <w:rPr>
                <w:sz w:val="20"/>
                <w:szCs w:val="20"/>
                <w:color w:val="auto"/>
              </w:rPr>
            </w:pPr>
            <w:r>
              <w:rPr>
                <w:rFonts w:ascii="Arial" w:cs="Arial" w:eastAsia="Arial" w:hAnsi="Arial"/>
                <w:sz w:val="14"/>
                <w:szCs w:val="14"/>
                <w:color w:val="auto"/>
              </w:rPr>
              <w:t>Gross unrealized losses</w:t>
            </w: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(127)</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(61)</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12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(188)</w:t>
            </w:r>
          </w:p>
        </w:tc>
      </w:tr>
      <w:tr>
        <w:trPr>
          <w:trHeight w:val="250"/>
        </w:trPr>
        <w:tc>
          <w:tcPr>
            <w:tcW w:w="6460" w:type="dxa"/>
            <w:vAlign w:val="bottom"/>
            <w:tcBorders>
              <w:bottom w:val="single" w:sz="8" w:color="CCEEFF"/>
            </w:tcBorders>
            <w:gridSpan w:val="2"/>
          </w:tcPr>
          <w:p>
            <w:pPr>
              <w:ind w:left="720"/>
              <w:spacing w:after="0"/>
              <w:rPr>
                <w:sz w:val="20"/>
                <w:szCs w:val="20"/>
                <w:color w:val="auto"/>
              </w:rPr>
            </w:pPr>
            <w:r>
              <w:rPr>
                <w:rFonts w:ascii="Arial" w:cs="Arial" w:eastAsia="Arial" w:hAnsi="Arial"/>
                <w:sz w:val="14"/>
                <w:szCs w:val="14"/>
                <w:color w:val="auto"/>
              </w:rPr>
              <w:t>Total available-for-sale MBS, at fair value</w:t>
            </w:r>
          </w:p>
        </w:tc>
        <w:tc>
          <w:tcPr>
            <w:tcW w:w="140" w:type="dxa"/>
            <w:vAlign w:val="bottom"/>
            <w:tcBorders>
              <w:top w:val="single" w:sz="8" w:color="auto"/>
              <w:bottom w:val="single" w:sz="8" w:color="auto"/>
            </w:tcBorders>
          </w:tcPr>
          <w:p>
            <w:pPr>
              <w:spacing w:after="0"/>
              <w:rPr>
                <w:sz w:val="21"/>
                <w:szCs w:val="21"/>
                <w:color w:val="auto"/>
              </w:rPr>
            </w:pPr>
          </w:p>
        </w:tc>
        <w:tc>
          <w:tcPr>
            <w:tcW w:w="102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45,075</w:t>
            </w:r>
          </w:p>
        </w:tc>
        <w:tc>
          <w:tcPr>
            <w:tcW w:w="10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spacing w:after="0"/>
              <w:rPr>
                <w:sz w:val="21"/>
                <w:szCs w:val="21"/>
                <w:color w:val="auto"/>
              </w:rPr>
            </w:pPr>
          </w:p>
        </w:tc>
        <w:tc>
          <w:tcPr>
            <w:tcW w:w="102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11,159</w:t>
            </w:r>
          </w:p>
        </w:tc>
        <w:tc>
          <w:tcPr>
            <w:tcW w:w="10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spacing w:after="0"/>
              <w:rPr>
                <w:sz w:val="21"/>
                <w:szCs w:val="21"/>
                <w:color w:val="auto"/>
              </w:rPr>
            </w:pPr>
          </w:p>
        </w:tc>
        <w:tc>
          <w:tcPr>
            <w:tcW w:w="102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112</w:t>
            </w:r>
          </w:p>
        </w:tc>
        <w:tc>
          <w:tcPr>
            <w:tcW w:w="100" w:type="dxa"/>
            <w:vAlign w:val="bottom"/>
            <w:tcBorders>
              <w:bottom w:val="single" w:sz="8" w:color="CCEEFF"/>
            </w:tcBorders>
          </w:tcPr>
          <w:p>
            <w:pPr>
              <w:spacing w:after="0"/>
              <w:rPr>
                <w:sz w:val="21"/>
                <w:szCs w:val="21"/>
                <w:color w:val="auto"/>
              </w:rPr>
            </w:pPr>
          </w:p>
        </w:tc>
        <w:tc>
          <w:tcPr>
            <w:tcW w:w="260" w:type="dxa"/>
            <w:vAlign w:val="bottom"/>
            <w:tcBorders>
              <w:top w:val="single" w:sz="8" w:color="auto"/>
              <w:bottom w:val="single" w:sz="8" w:color="auto"/>
            </w:tcBorders>
          </w:tcPr>
          <w:p>
            <w:pPr>
              <w:spacing w:after="0"/>
              <w:rPr>
                <w:sz w:val="21"/>
                <w:szCs w:val="21"/>
                <w:color w:val="auto"/>
              </w:rPr>
            </w:pPr>
          </w:p>
        </w:tc>
        <w:tc>
          <w:tcPr>
            <w:tcW w:w="90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56,346</w:t>
            </w:r>
          </w:p>
        </w:tc>
      </w:tr>
      <w:tr>
        <w:trPr>
          <w:trHeight w:val="270"/>
        </w:trPr>
        <w:tc>
          <w:tcPr>
            <w:tcW w:w="64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MBS measured at fair value through earnings:</w:t>
            </w: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r>
      <w:tr>
        <w:trPr>
          <w:trHeight w:val="264"/>
        </w:trPr>
        <w:tc>
          <w:tcPr>
            <w:tcW w:w="6460" w:type="dxa"/>
            <w:vAlign w:val="bottom"/>
            <w:gridSpan w:val="2"/>
          </w:tcPr>
          <w:p>
            <w:pPr>
              <w:ind w:left="1200"/>
              <w:spacing w:after="0"/>
              <w:rPr>
                <w:sz w:val="20"/>
                <w:szCs w:val="20"/>
                <w:color w:val="auto"/>
              </w:rPr>
            </w:pPr>
            <w:r>
              <w:rPr>
                <w:rFonts w:ascii="Arial" w:cs="Arial" w:eastAsia="Arial" w:hAnsi="Arial"/>
                <w:sz w:val="14"/>
                <w:szCs w:val="14"/>
                <w:color w:val="auto"/>
              </w:rPr>
              <w:t xml:space="preserve">Interest-only and principal-only strips, amortized cost </w:t>
            </w:r>
            <w:r>
              <w:rPr>
                <w:rFonts w:ascii="Arial" w:cs="Arial" w:eastAsia="Arial" w:hAnsi="Arial"/>
                <w:sz w:val="8"/>
                <w:szCs w:val="8"/>
                <w:color w:val="auto"/>
              </w:rPr>
              <w:t>1</w:t>
            </w:r>
          </w:p>
        </w:tc>
        <w:tc>
          <w:tcPr>
            <w:tcW w:w="140" w:type="dxa"/>
            <w:vAlign w:val="bottom"/>
          </w:tcPr>
          <w:p>
            <w:pPr>
              <w:spacing w:after="0"/>
              <w:rPr>
                <w:sz w:val="22"/>
                <w:szCs w:val="22"/>
                <w:color w:val="auto"/>
              </w:rPr>
            </w:pP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348</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24</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372</w:t>
            </w:r>
          </w:p>
        </w:tc>
      </w:tr>
      <w:tr>
        <w:trPr>
          <w:trHeight w:val="276"/>
        </w:trPr>
        <w:tc>
          <w:tcPr>
            <w:tcW w:w="6460" w:type="dxa"/>
            <w:vAlign w:val="bottom"/>
            <w:gridSpan w:val="2"/>
            <w:shd w:val="clear" w:color="auto" w:fill="CCEEFF"/>
          </w:tcPr>
          <w:p>
            <w:pPr>
              <w:ind w:left="1200"/>
              <w:spacing w:after="0"/>
              <w:rPr>
                <w:sz w:val="20"/>
                <w:szCs w:val="20"/>
                <w:color w:val="auto"/>
              </w:rPr>
            </w:pPr>
            <w:r>
              <w:rPr>
                <w:rFonts w:ascii="Arial" w:cs="Arial" w:eastAsia="Arial" w:hAnsi="Arial"/>
                <w:sz w:val="14"/>
                <w:szCs w:val="14"/>
                <w:color w:val="auto"/>
              </w:rPr>
              <w:t>Gross unrealized gains</w:t>
            </w: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30</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33</w:t>
            </w:r>
          </w:p>
        </w:tc>
      </w:tr>
      <w:tr>
        <w:trPr>
          <w:trHeight w:val="264"/>
        </w:trPr>
        <w:tc>
          <w:tcPr>
            <w:tcW w:w="6460" w:type="dxa"/>
            <w:vAlign w:val="bottom"/>
            <w:tcBorders>
              <w:bottom w:val="single" w:sz="8" w:color="CCEEFF"/>
            </w:tcBorders>
            <w:gridSpan w:val="2"/>
          </w:tcPr>
          <w:p>
            <w:pPr>
              <w:ind w:left="1200"/>
              <w:spacing w:after="0"/>
              <w:rPr>
                <w:sz w:val="20"/>
                <w:szCs w:val="20"/>
                <w:color w:val="auto"/>
              </w:rPr>
            </w:pPr>
            <w:r>
              <w:rPr>
                <w:rFonts w:ascii="Arial" w:cs="Arial" w:eastAsia="Arial" w:hAnsi="Arial"/>
                <w:sz w:val="14"/>
                <w:szCs w:val="14"/>
                <w:color w:val="auto"/>
              </w:rPr>
              <w:t>Gross unrealized losses</w:t>
            </w:r>
          </w:p>
        </w:tc>
        <w:tc>
          <w:tcPr>
            <w:tcW w:w="1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w:t>
            </w:r>
          </w:p>
        </w:tc>
      </w:tr>
      <w:tr>
        <w:trPr>
          <w:trHeight w:val="250"/>
        </w:trPr>
        <w:tc>
          <w:tcPr>
            <w:tcW w:w="6460" w:type="dxa"/>
            <w:vAlign w:val="bottom"/>
            <w:gridSpan w:val="2"/>
            <w:shd w:val="clear" w:color="auto" w:fill="CCEEFF"/>
          </w:tcPr>
          <w:p>
            <w:pPr>
              <w:ind w:left="720"/>
              <w:spacing w:after="0"/>
              <w:rPr>
                <w:sz w:val="20"/>
                <w:szCs w:val="20"/>
                <w:color w:val="auto"/>
              </w:rPr>
            </w:pPr>
            <w:r>
              <w:rPr>
                <w:rFonts w:ascii="Arial" w:cs="Arial" w:eastAsia="Arial" w:hAnsi="Arial"/>
                <w:sz w:val="14"/>
                <w:szCs w:val="14"/>
                <w:color w:val="auto"/>
              </w:rPr>
              <w:t>Total MBS measured at fair value through earnings</w:t>
            </w:r>
          </w:p>
        </w:tc>
        <w:tc>
          <w:tcPr>
            <w:tcW w:w="140" w:type="dxa"/>
            <w:vAlign w:val="bottom"/>
            <w:shd w:val="clear" w:color="auto" w:fill="CCEEFF"/>
          </w:tcPr>
          <w:p>
            <w:pPr>
              <w:spacing w:after="0"/>
              <w:rPr>
                <w:sz w:val="21"/>
                <w:szCs w:val="21"/>
                <w:color w:val="auto"/>
              </w:rPr>
            </w:pPr>
          </w:p>
        </w:tc>
        <w:tc>
          <w:tcPr>
            <w:tcW w:w="10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376</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0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26</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12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1"/>
                <w:szCs w:val="21"/>
                <w:color w:val="auto"/>
              </w:rPr>
            </w:pPr>
          </w:p>
        </w:tc>
        <w:tc>
          <w:tcPr>
            <w:tcW w:w="9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402</w:t>
            </w:r>
          </w:p>
        </w:tc>
      </w:tr>
      <w:tr>
        <w:trPr>
          <w:trHeight w:val="283"/>
        </w:trPr>
        <w:tc>
          <w:tcPr>
            <w:tcW w:w="646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Total MBS, at fair value</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45,451</w:t>
            </w:r>
          </w:p>
        </w:tc>
        <w:tc>
          <w:tcPr>
            <w:tcW w:w="10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11,185</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112</w:t>
            </w:r>
          </w:p>
        </w:tc>
        <w:tc>
          <w:tcPr>
            <w:tcW w:w="10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56,748</w:t>
            </w:r>
          </w:p>
        </w:tc>
      </w:tr>
      <w:tr>
        <w:trPr>
          <w:trHeight w:val="224"/>
        </w:trPr>
        <w:tc>
          <w:tcPr>
            <w:tcW w:w="64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 xml:space="preserve">Weighted average coupon as of December 31, 2014 </w:t>
            </w:r>
            <w:r>
              <w:rPr>
                <w:rFonts w:ascii="Arial" w:cs="Arial" w:eastAsia="Arial" w:hAnsi="Arial"/>
                <w:sz w:val="8"/>
                <w:szCs w:val="8"/>
                <w:color w:val="auto"/>
              </w:rPr>
              <w:t>2</w:t>
            </w: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3.63%</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3.70%</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3.52%</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3.65%</w:t>
            </w:r>
          </w:p>
        </w:tc>
      </w:tr>
      <w:tr>
        <w:trPr>
          <w:trHeight w:val="251"/>
        </w:trPr>
        <w:tc>
          <w:tcPr>
            <w:tcW w:w="6460" w:type="dxa"/>
            <w:vAlign w:val="bottom"/>
            <w:gridSpan w:val="2"/>
          </w:tcPr>
          <w:p>
            <w:pPr>
              <w:ind w:left="40"/>
              <w:spacing w:after="0"/>
              <w:rPr>
                <w:sz w:val="20"/>
                <w:szCs w:val="20"/>
                <w:color w:val="auto"/>
              </w:rPr>
            </w:pPr>
            <w:r>
              <w:rPr>
                <w:rFonts w:ascii="Arial" w:cs="Arial" w:eastAsia="Arial" w:hAnsi="Arial"/>
                <w:sz w:val="14"/>
                <w:szCs w:val="14"/>
                <w:color w:val="auto"/>
              </w:rPr>
              <w:t xml:space="preserve">Weighted average yield as of December 31, 2014 </w:t>
            </w:r>
            <w:r>
              <w:rPr>
                <w:rFonts w:ascii="Arial" w:cs="Arial" w:eastAsia="Arial" w:hAnsi="Arial"/>
                <w:sz w:val="8"/>
                <w:szCs w:val="8"/>
                <w:color w:val="auto"/>
              </w:rPr>
              <w:t>3</w:t>
            </w:r>
          </w:p>
        </w:tc>
        <w:tc>
          <w:tcPr>
            <w:tcW w:w="1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2.75%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2.73%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1.87%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2.74%</w:t>
            </w:r>
          </w:p>
        </w:tc>
      </w:tr>
      <w:tr>
        <w:trPr>
          <w:trHeight w:val="174"/>
        </w:trPr>
        <w:tc>
          <w:tcPr>
            <w:tcW w:w="6340" w:type="dxa"/>
            <w:vAlign w:val="bottom"/>
          </w:tcPr>
          <w:p>
            <w:pPr>
              <w:ind w:left="40"/>
              <w:spacing w:after="0"/>
              <w:rPr>
                <w:sz w:val="20"/>
                <w:szCs w:val="20"/>
                <w:color w:val="auto"/>
              </w:rPr>
            </w:pPr>
            <w:r>
              <w:rPr>
                <w:rFonts w:ascii="Arial" w:cs="Arial" w:eastAsia="Arial" w:hAnsi="Arial"/>
                <w:sz w:val="14"/>
                <w:szCs w:val="14"/>
                <w:color w:val="auto"/>
              </w:rPr>
              <w:t>________________________</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900" w:type="dxa"/>
            <w:vAlign w:val="bottom"/>
          </w:tcPr>
          <w:p>
            <w:pPr>
              <w:spacing w:after="0"/>
              <w:rPr>
                <w:sz w:val="15"/>
                <w:szCs w:val="15"/>
                <w:color w:val="auto"/>
              </w:rPr>
            </w:pPr>
          </w:p>
        </w:tc>
      </w:tr>
    </w:tbl>
    <w:p>
      <w:pPr>
        <w:ind w:left="660" w:hanging="328"/>
        <w:spacing w:after="0" w:line="241" w:lineRule="auto"/>
        <w:tabs>
          <w:tab w:leader="none" w:pos="660" w:val="left"/>
        </w:tabs>
        <w:numPr>
          <w:ilvl w:val="0"/>
          <w:numId w:val="49"/>
        </w:numPr>
        <w:rPr>
          <w:rFonts w:ascii="Arial" w:cs="Arial" w:eastAsia="Arial" w:hAnsi="Arial"/>
          <w:sz w:val="14"/>
          <w:szCs w:val="14"/>
          <w:color w:val="auto"/>
        </w:rPr>
      </w:pPr>
      <w:r>
        <w:rPr>
          <w:rFonts w:ascii="Arial" w:cs="Arial" w:eastAsia="Arial" w:hAnsi="Arial"/>
          <w:sz w:val="14"/>
          <w:szCs w:val="14"/>
          <w:color w:val="auto"/>
        </w:rPr>
        <w:t>The underlying UPB of our interest-only securities was $1.2 billion and the weighted average contractual interest we are entitled to receive was 5.46% of this amount as of December 31, 2014. The par value of our principal-only securities was $242 million as of December 31, 2014.</w:t>
      </w:r>
    </w:p>
    <w:p>
      <w:pPr>
        <w:ind w:left="660" w:hanging="328"/>
        <w:spacing w:after="0" w:line="241" w:lineRule="auto"/>
        <w:tabs>
          <w:tab w:leader="none" w:pos="660" w:val="left"/>
        </w:tabs>
        <w:numPr>
          <w:ilvl w:val="0"/>
          <w:numId w:val="49"/>
        </w:numPr>
        <w:rPr>
          <w:rFonts w:ascii="Arial" w:cs="Arial" w:eastAsia="Arial" w:hAnsi="Arial"/>
          <w:sz w:val="14"/>
          <w:szCs w:val="14"/>
          <w:color w:val="auto"/>
        </w:rPr>
      </w:pPr>
      <w:r>
        <w:rPr>
          <w:rFonts w:ascii="Arial" w:cs="Arial" w:eastAsia="Arial" w:hAnsi="Arial"/>
          <w:sz w:val="14"/>
          <w:szCs w:val="14"/>
          <w:color w:val="auto"/>
        </w:rPr>
        <w:t>The weighted average coupon includes the interest cash flows from our interest-only securities and is stated as a percentage of par value (excluding the UPB of our interest-only securities) as of December 31, 2014.</w:t>
      </w:r>
    </w:p>
    <w:p>
      <w:pPr>
        <w:ind w:left="660" w:hanging="328"/>
        <w:spacing w:after="0"/>
        <w:tabs>
          <w:tab w:leader="none" w:pos="660" w:val="left"/>
        </w:tabs>
        <w:numPr>
          <w:ilvl w:val="0"/>
          <w:numId w:val="49"/>
        </w:numPr>
        <w:rPr>
          <w:rFonts w:ascii="Arial" w:cs="Arial" w:eastAsia="Arial" w:hAnsi="Arial"/>
          <w:sz w:val="14"/>
          <w:szCs w:val="14"/>
          <w:color w:val="auto"/>
        </w:rPr>
      </w:pPr>
      <w:r>
        <w:rPr>
          <w:rFonts w:ascii="Arial" w:cs="Arial" w:eastAsia="Arial" w:hAnsi="Arial"/>
          <w:sz w:val="14"/>
          <w:szCs w:val="14"/>
          <w:color w:val="auto"/>
        </w:rPr>
        <w:t>Incorporates a weighted average future constant prepayment rate assumption of 9% based on forward rates as of December 31, 2014.</w:t>
      </w:r>
    </w:p>
    <w:p>
      <w:pPr>
        <w:spacing w:after="0" w:line="156"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The actual maturities of our investment securities are generally shorter than their stated contractual maturities. Actual maturities are affected by the contractual lives of the underlying mortgages, periodic contractual principal payments and principal</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86</w:t>
      </w:r>
    </w:p>
    <w:p>
      <w:pPr>
        <w:sectPr>
          <w:pgSz w:w="11900" w:h="16838" w:orient="portrait"/>
          <w:cols w:equalWidth="0" w:num="1">
            <w:col w:w="11420"/>
          </w:cols>
          <w:pgMar w:left="240" w:top="887" w:right="239" w:bottom="1440" w:gutter="0" w:footer="0" w:header="0"/>
        </w:sectPr>
      </w:pPr>
    </w:p>
    <w:bookmarkStart w:id="87" w:name="page88"/>
    <w:bookmarkEnd w:id="87"/>
    <w:p>
      <w:pPr>
        <w:jc w:val="both"/>
        <w:spacing w:after="0" w:line="264" w:lineRule="auto"/>
        <w:rPr>
          <w:sz w:val="20"/>
          <w:szCs w:val="20"/>
          <w:color w:val="auto"/>
        </w:rPr>
      </w:pPr>
      <w:r>
        <w:rPr>
          <w:rFonts w:ascii="Arial" w:cs="Arial" w:eastAsia="Arial" w:hAnsi="Arial"/>
          <w:sz w:val="18"/>
          <w:szCs w:val="18"/>
          <w:color w:val="auto"/>
        </w:rPr>
        <w:t>prepayments. As of December 31, 2015 and 2014, our weighted average expected constant prepayment rate ("CPR") over the remaining life of our aggregate investment portfolio was 8% and 9%, respectively. Our estimates differ materially for different types of securities and thus individual holdings have a wide range of projected CPRs.</w:t>
      </w:r>
    </w:p>
    <w:p>
      <w:pPr>
        <w:spacing w:after="0" w:line="18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 summarizes our investments classified as available-for-sale as of December 31, 2015 and 2014 according to their estimated weighted average life classification (dollars in millions):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7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040" w:type="dxa"/>
            <w:vAlign w:val="bottom"/>
            <w:tcBorders>
              <w:bottom w:val="single" w:sz="8" w:color="auto"/>
            </w:tcBorders>
            <w:gridSpan w:val="4"/>
          </w:tcPr>
          <w:p>
            <w:pPr>
              <w:ind w:left="360"/>
              <w:spacing w:after="0"/>
              <w:rPr>
                <w:sz w:val="20"/>
                <w:szCs w:val="20"/>
                <w:color w:val="auto"/>
              </w:rPr>
            </w:pPr>
            <w:r>
              <w:rPr>
                <w:rFonts w:ascii="Arial" w:cs="Arial" w:eastAsia="Arial" w:hAnsi="Arial"/>
                <w:sz w:val="14"/>
                <w:szCs w:val="14"/>
                <w:b w:val="1"/>
                <w:bCs w:val="1"/>
                <w:color w:val="auto"/>
              </w:rPr>
              <w:t>December 31, 2015</w:t>
            </w:r>
          </w:p>
        </w:tc>
        <w:tc>
          <w:tcPr>
            <w:tcW w:w="10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000" w:type="dxa"/>
            <w:vAlign w:val="bottom"/>
            <w:tcBorders>
              <w:bottom w:val="single" w:sz="8" w:color="auto"/>
            </w:tcBorders>
            <w:gridSpan w:val="4"/>
          </w:tcPr>
          <w:p>
            <w:pPr>
              <w:ind w:left="380"/>
              <w:spacing w:after="0"/>
              <w:rPr>
                <w:sz w:val="20"/>
                <w:szCs w:val="20"/>
                <w:color w:val="auto"/>
              </w:rPr>
            </w:pPr>
            <w:r>
              <w:rPr>
                <w:rFonts w:ascii="Arial" w:cs="Arial" w:eastAsia="Arial" w:hAnsi="Arial"/>
                <w:sz w:val="14"/>
                <w:szCs w:val="14"/>
                <w:b w:val="1"/>
                <w:bCs w:val="1"/>
                <w:color w:val="auto"/>
              </w:rPr>
              <w:t>December 31, 2014</w:t>
            </w: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88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Estimated Weighted Average Life of</w:t>
            </w: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2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Amortized</w:t>
            </w:r>
          </w:p>
        </w:tc>
        <w:tc>
          <w:tcPr>
            <w:tcW w:w="10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5"/>
              </w:rPr>
              <w:t>Weighted</w:t>
            </w:r>
          </w:p>
        </w:tc>
        <w:tc>
          <w:tcPr>
            <w:tcW w:w="114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5"/>
              </w:rPr>
              <w:t>Weighted</w:t>
            </w: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Amortized</w:t>
            </w:r>
          </w:p>
        </w:tc>
        <w:tc>
          <w:tcPr>
            <w:tcW w:w="102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1"/>
              </w:rPr>
              <w:t>Weighted</w:t>
            </w:r>
          </w:p>
        </w:tc>
        <w:tc>
          <w:tcPr>
            <w:tcW w:w="10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49"/>
        </w:trPr>
        <w:tc>
          <w:tcPr>
            <w:tcW w:w="288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vMerge w:val="restart"/>
          </w:tcPr>
          <w:p>
            <w:pPr>
              <w:jc w:val="right"/>
              <w:ind w:right="68"/>
              <w:spacing w:after="0"/>
              <w:rPr>
                <w:sz w:val="20"/>
                <w:szCs w:val="20"/>
                <w:color w:val="auto"/>
              </w:rPr>
            </w:pPr>
            <w:r>
              <w:rPr>
                <w:rFonts w:ascii="Arial" w:cs="Arial" w:eastAsia="Arial" w:hAnsi="Arial"/>
                <w:sz w:val="14"/>
                <w:szCs w:val="14"/>
                <w:b w:val="1"/>
                <w:bCs w:val="1"/>
                <w:color w:val="auto"/>
                <w:w w:val="95"/>
              </w:rPr>
              <w:t>Fair Value</w:t>
            </w:r>
          </w:p>
        </w:tc>
        <w:tc>
          <w:tcPr>
            <w:tcW w:w="120" w:type="dxa"/>
            <w:vAlign w:val="bottom"/>
            <w:vMerge w:val="restart"/>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10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20" w:type="dxa"/>
            <w:vAlign w:val="bottom"/>
          </w:tcPr>
          <w:p>
            <w:pPr>
              <w:spacing w:after="0"/>
              <w:rPr>
                <w:sz w:val="12"/>
                <w:szCs w:val="12"/>
                <w:color w:val="auto"/>
              </w:rPr>
            </w:pPr>
          </w:p>
        </w:tc>
        <w:tc>
          <w:tcPr>
            <w:tcW w:w="780" w:type="dxa"/>
            <w:vAlign w:val="bottom"/>
            <w:vMerge w:val="restart"/>
          </w:tcPr>
          <w:p>
            <w:pPr>
              <w:jc w:val="right"/>
              <w:ind w:right="68"/>
              <w:spacing w:after="0"/>
              <w:rPr>
                <w:sz w:val="20"/>
                <w:szCs w:val="20"/>
                <w:color w:val="auto"/>
              </w:rPr>
            </w:pPr>
            <w:r>
              <w:rPr>
                <w:rFonts w:ascii="Arial" w:cs="Arial" w:eastAsia="Arial" w:hAnsi="Arial"/>
                <w:sz w:val="14"/>
                <w:szCs w:val="14"/>
                <w:b w:val="1"/>
                <w:bCs w:val="1"/>
                <w:color w:val="auto"/>
                <w:w w:val="92"/>
              </w:rPr>
              <w:t>Fair Value</w:t>
            </w:r>
          </w:p>
        </w:tc>
        <w:tc>
          <w:tcPr>
            <w:tcW w:w="100" w:type="dxa"/>
            <w:vAlign w:val="bottom"/>
            <w:vMerge w:val="restart"/>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vMerge w:val="continue"/>
          </w:tcPr>
          <w:p>
            <w:pPr>
              <w:spacing w:after="0"/>
              <w:rPr>
                <w:sz w:val="12"/>
                <w:szCs w:val="12"/>
                <w:color w:val="auto"/>
              </w:rPr>
            </w:pPr>
          </w:p>
        </w:tc>
        <w:tc>
          <w:tcPr>
            <w:tcW w:w="10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92"/>
        </w:trPr>
        <w:tc>
          <w:tcPr>
            <w:tcW w:w="27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w w:val="93"/>
              </w:rPr>
              <w:t xml:space="preserve">Securities Classified as Available-for-Sale </w:t>
            </w:r>
            <w:r>
              <w:rPr>
                <w:rFonts w:ascii="Arial" w:cs="Arial" w:eastAsia="Arial" w:hAnsi="Arial"/>
                <w:sz w:val="8"/>
                <w:szCs w:val="8"/>
                <w:b w:val="1"/>
                <w:bCs w:val="1"/>
                <w:color w:val="auto"/>
                <w:w w:val="93"/>
              </w:rPr>
              <w:t>1</w:t>
            </w:r>
          </w:p>
        </w:tc>
        <w:tc>
          <w:tcPr>
            <w:tcW w:w="14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Coupon</w:t>
            </w:r>
          </w:p>
        </w:tc>
        <w:tc>
          <w:tcPr>
            <w:tcW w:w="10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Yield</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00" w:type="dxa"/>
            <w:vAlign w:val="bottom"/>
            <w:tcBorders>
              <w:bottom w:val="single" w:sz="8" w:color="CCEEFF"/>
            </w:tcBorders>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Coupon</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Yield</w:t>
            </w:r>
          </w:p>
        </w:tc>
        <w:tc>
          <w:tcPr>
            <w:tcW w:w="0" w:type="dxa"/>
            <w:vAlign w:val="bottom"/>
          </w:tcPr>
          <w:p>
            <w:pPr>
              <w:spacing w:after="0"/>
              <w:rPr>
                <w:sz w:val="1"/>
                <w:szCs w:val="1"/>
                <w:color w:val="auto"/>
              </w:rPr>
            </w:pPr>
          </w:p>
        </w:tc>
      </w:tr>
      <w:tr>
        <w:trPr>
          <w:trHeight w:val="25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 1 year and ≤ 3 years</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167</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163</w:t>
            </w:r>
          </w:p>
        </w:tc>
        <w:tc>
          <w:tcPr>
            <w:tcW w:w="120" w:type="dxa"/>
            <w:vAlign w:val="bottom"/>
            <w:shd w:val="clear" w:color="auto" w:fill="CCEEFF"/>
          </w:tcPr>
          <w:p>
            <w:pPr>
              <w:spacing w:after="0"/>
              <w:rPr>
                <w:sz w:val="22"/>
                <w:szCs w:val="22"/>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4.02%</w:t>
            </w:r>
          </w:p>
        </w:tc>
        <w:tc>
          <w:tcPr>
            <w:tcW w:w="100" w:type="dxa"/>
            <w:vAlign w:val="bottom"/>
            <w:shd w:val="clear" w:color="auto" w:fill="CCEEFF"/>
          </w:tcPr>
          <w:p>
            <w:pPr>
              <w:spacing w:after="0"/>
              <w:rPr>
                <w:sz w:val="22"/>
                <w:szCs w:val="22"/>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2.66%</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289</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280</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4.08%</w:t>
            </w:r>
          </w:p>
        </w:tc>
        <w:tc>
          <w:tcPr>
            <w:tcW w:w="12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2.62%</w:t>
            </w:r>
          </w:p>
        </w:tc>
        <w:tc>
          <w:tcPr>
            <w:tcW w:w="0" w:type="dxa"/>
            <w:vAlign w:val="bottom"/>
          </w:tcPr>
          <w:p>
            <w:pPr>
              <w:spacing w:after="0"/>
              <w:rPr>
                <w:sz w:val="1"/>
                <w:szCs w:val="1"/>
                <w:color w:val="auto"/>
              </w:rPr>
            </w:pPr>
          </w:p>
        </w:tc>
      </w:tr>
      <w:tr>
        <w:trPr>
          <w:trHeight w:val="264"/>
        </w:trPr>
        <w:tc>
          <w:tcPr>
            <w:tcW w:w="2880" w:type="dxa"/>
            <w:vAlign w:val="bottom"/>
            <w:gridSpan w:val="2"/>
          </w:tcPr>
          <w:p>
            <w:pPr>
              <w:ind w:left="40"/>
              <w:spacing w:after="0"/>
              <w:rPr>
                <w:sz w:val="20"/>
                <w:szCs w:val="20"/>
                <w:color w:val="auto"/>
              </w:rPr>
            </w:pPr>
            <w:r>
              <w:rPr>
                <w:rFonts w:ascii="Arial" w:cs="Arial" w:eastAsia="Arial" w:hAnsi="Arial"/>
                <w:sz w:val="14"/>
                <w:szCs w:val="14"/>
                <w:color w:val="auto"/>
              </w:rPr>
              <w:t>&gt; 3 years and ≤ 5 years</w:t>
            </w:r>
          </w:p>
        </w:tc>
        <w:tc>
          <w:tcPr>
            <w:tcW w:w="120" w:type="dxa"/>
            <w:vAlign w:val="bottom"/>
          </w:tcPr>
          <w:p>
            <w:pPr>
              <w:spacing w:after="0"/>
              <w:rPr>
                <w:sz w:val="22"/>
                <w:szCs w:val="22"/>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17,497</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17,343</w:t>
            </w:r>
          </w:p>
        </w:tc>
        <w:tc>
          <w:tcPr>
            <w:tcW w:w="120" w:type="dxa"/>
            <w:vAlign w:val="bottom"/>
          </w:tcPr>
          <w:p>
            <w:pPr>
              <w:spacing w:after="0"/>
              <w:rPr>
                <w:sz w:val="22"/>
                <w:szCs w:val="22"/>
                <w:color w:val="auto"/>
              </w:rPr>
            </w:pPr>
          </w:p>
        </w:tc>
        <w:tc>
          <w:tcPr>
            <w:tcW w:w="920" w:type="dxa"/>
            <w:vAlign w:val="bottom"/>
          </w:tcPr>
          <w:p>
            <w:pPr>
              <w:jc w:val="center"/>
              <w:spacing w:after="0"/>
              <w:rPr>
                <w:sz w:val="20"/>
                <w:szCs w:val="20"/>
                <w:color w:val="auto"/>
              </w:rPr>
            </w:pPr>
            <w:r>
              <w:rPr>
                <w:rFonts w:ascii="Arial" w:cs="Arial" w:eastAsia="Arial" w:hAnsi="Arial"/>
                <w:sz w:val="14"/>
                <w:szCs w:val="14"/>
                <w:color w:val="auto"/>
                <w:w w:val="90"/>
              </w:rPr>
              <w:t>3.27%</w:t>
            </w:r>
          </w:p>
        </w:tc>
        <w:tc>
          <w:tcPr>
            <w:tcW w:w="100" w:type="dxa"/>
            <w:vAlign w:val="bottom"/>
          </w:tcPr>
          <w:p>
            <w:pPr>
              <w:spacing w:after="0"/>
              <w:rPr>
                <w:sz w:val="22"/>
                <w:szCs w:val="22"/>
                <w:color w:val="auto"/>
              </w:rPr>
            </w:pPr>
          </w:p>
        </w:tc>
        <w:tc>
          <w:tcPr>
            <w:tcW w:w="1040" w:type="dxa"/>
            <w:vAlign w:val="bottom"/>
          </w:tcPr>
          <w:p>
            <w:pPr>
              <w:jc w:val="center"/>
              <w:spacing w:after="0"/>
              <w:rPr>
                <w:sz w:val="20"/>
                <w:szCs w:val="20"/>
                <w:color w:val="auto"/>
              </w:rPr>
            </w:pPr>
            <w:r>
              <w:rPr>
                <w:rFonts w:ascii="Arial" w:cs="Arial" w:eastAsia="Arial" w:hAnsi="Arial"/>
                <w:sz w:val="14"/>
                <w:szCs w:val="14"/>
                <w:color w:val="auto"/>
                <w:w w:val="90"/>
              </w:rPr>
              <w:t>2.40%</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22,153</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21,820</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5"/>
              </w:rPr>
              <w:t>3.26%</w:t>
            </w:r>
          </w:p>
        </w:tc>
        <w:tc>
          <w:tcPr>
            <w:tcW w:w="12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95"/>
              </w:rPr>
              <w:t>2.40%</w:t>
            </w:r>
          </w:p>
        </w:tc>
        <w:tc>
          <w:tcPr>
            <w:tcW w:w="0" w:type="dxa"/>
            <w:vAlign w:val="bottom"/>
          </w:tcPr>
          <w:p>
            <w:pPr>
              <w:spacing w:after="0"/>
              <w:rPr>
                <w:sz w:val="1"/>
                <w:szCs w:val="1"/>
                <w:color w:val="auto"/>
              </w:rPr>
            </w:pPr>
          </w:p>
        </w:tc>
      </w:tr>
      <w:tr>
        <w:trPr>
          <w:trHeight w:val="27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&gt; 5 years and ≤10 years</w:t>
            </w:r>
          </w:p>
        </w:tc>
        <w:tc>
          <w:tcPr>
            <w:tcW w:w="1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34,206</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34,391</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3.67%</w:t>
            </w: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2.93%</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33,271</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33,055</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3.73%</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2.92%</w:t>
            </w:r>
          </w:p>
        </w:tc>
        <w:tc>
          <w:tcPr>
            <w:tcW w:w="0" w:type="dxa"/>
            <w:vAlign w:val="bottom"/>
          </w:tcPr>
          <w:p>
            <w:pPr>
              <w:spacing w:after="0"/>
              <w:rPr>
                <w:sz w:val="1"/>
                <w:szCs w:val="1"/>
                <w:color w:val="auto"/>
              </w:rPr>
            </w:pPr>
          </w:p>
        </w:tc>
      </w:tr>
      <w:tr>
        <w:trPr>
          <w:trHeight w:val="264"/>
        </w:trPr>
        <w:tc>
          <w:tcPr>
            <w:tcW w:w="288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&gt; 10 years</w:t>
            </w:r>
          </w:p>
        </w:tc>
        <w:tc>
          <w:tcPr>
            <w:tcW w:w="1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250</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250</w:t>
            </w:r>
          </w:p>
        </w:tc>
        <w:tc>
          <w:tcPr>
            <w:tcW w:w="120" w:type="dxa"/>
            <w:vAlign w:val="bottom"/>
            <w:tcBorders>
              <w:bottom w:val="single" w:sz="8" w:color="CCEEFF"/>
            </w:tcBorders>
          </w:tcPr>
          <w:p>
            <w:pPr>
              <w:spacing w:after="0"/>
              <w:rPr>
                <w:sz w:val="22"/>
                <w:szCs w:val="22"/>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3.56%</w:t>
            </w:r>
          </w:p>
        </w:tc>
        <w:tc>
          <w:tcPr>
            <w:tcW w:w="100" w:type="dxa"/>
            <w:vAlign w:val="bottom"/>
            <w:tcBorders>
              <w:bottom w:val="single" w:sz="8" w:color="CCEEFF"/>
            </w:tcBorders>
          </w:tcPr>
          <w:p>
            <w:pPr>
              <w:spacing w:after="0"/>
              <w:rPr>
                <w:sz w:val="22"/>
                <w:szCs w:val="22"/>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3.08%</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633</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621</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3.28%</w:t>
            </w:r>
          </w:p>
        </w:tc>
        <w:tc>
          <w:tcPr>
            <w:tcW w:w="1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3.15%</w:t>
            </w:r>
          </w:p>
        </w:tc>
        <w:tc>
          <w:tcPr>
            <w:tcW w:w="0" w:type="dxa"/>
            <w:vAlign w:val="bottom"/>
          </w:tcPr>
          <w:p>
            <w:pPr>
              <w:spacing w:after="0"/>
              <w:rPr>
                <w:sz w:val="1"/>
                <w:szCs w:val="1"/>
                <w:color w:val="auto"/>
              </w:rPr>
            </w:pPr>
          </w:p>
        </w:tc>
      </w:tr>
      <w:tr>
        <w:trPr>
          <w:trHeight w:val="243"/>
        </w:trPr>
        <w:tc>
          <w:tcPr>
            <w:tcW w:w="2880" w:type="dxa"/>
            <w:vAlign w:val="bottom"/>
            <w:tcBorders>
              <w:bottom w:val="single" w:sz="8" w:color="CCEEFF"/>
            </w:tcBorders>
            <w:gridSpan w:val="2"/>
            <w:shd w:val="clear" w:color="auto" w:fill="CCEEFF"/>
          </w:tcPr>
          <w:p>
            <w:pPr>
              <w:ind w:left="720"/>
              <w:spacing w:after="0"/>
              <w:rPr>
                <w:sz w:val="20"/>
                <w:szCs w:val="20"/>
                <w:color w:val="auto"/>
              </w:rPr>
            </w:pPr>
            <w:r>
              <w:rPr>
                <w:rFonts w:ascii="Arial" w:cs="Arial" w:eastAsia="Arial" w:hAnsi="Arial"/>
                <w:sz w:val="14"/>
                <w:szCs w:val="14"/>
                <w:color w:val="auto"/>
              </w:rPr>
              <w:t>Total</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52,120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52,147</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3.54%</w:t>
            </w: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2.75%</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56,346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55,776</w:t>
            </w:r>
          </w:p>
        </w:tc>
        <w:tc>
          <w:tcPr>
            <w:tcW w:w="1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3.54%</w:t>
            </w: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2.72%</w:t>
            </w:r>
          </w:p>
        </w:tc>
        <w:tc>
          <w:tcPr>
            <w:tcW w:w="0" w:type="dxa"/>
            <w:vAlign w:val="bottom"/>
          </w:tcPr>
          <w:p>
            <w:pPr>
              <w:spacing w:after="0"/>
              <w:rPr>
                <w:sz w:val="1"/>
                <w:szCs w:val="1"/>
                <w:color w:val="auto"/>
              </w:rPr>
            </w:pPr>
          </w:p>
        </w:tc>
      </w:tr>
      <w:tr>
        <w:trPr>
          <w:trHeight w:val="20"/>
        </w:trPr>
        <w:tc>
          <w:tcPr>
            <w:tcW w:w="2740" w:type="dxa"/>
            <w:vAlign w:val="bottom"/>
            <w:vMerge w:val="restart"/>
          </w:tcPr>
          <w:p>
            <w:pPr>
              <w:ind w:left="60"/>
              <w:spacing w:after="0"/>
              <w:rPr>
                <w:sz w:val="20"/>
                <w:szCs w:val="20"/>
                <w:color w:val="auto"/>
              </w:rPr>
            </w:pPr>
            <w:r>
              <w:rPr>
                <w:rFonts w:ascii="Arial" w:cs="Arial" w:eastAsia="Arial" w:hAnsi="Arial"/>
                <w:sz w:val="18"/>
                <w:szCs w:val="18"/>
                <w:color w:val="auto"/>
              </w:rPr>
              <w:t>_______________________</w:t>
            </w:r>
          </w:p>
        </w:tc>
        <w:tc>
          <w:tcPr>
            <w:tcW w:w="140" w:type="dxa"/>
            <w:vAlign w:val="bottom"/>
            <w:vMerge w:val="restart"/>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740" w:type="dxa"/>
            <w:vAlign w:val="bottom"/>
            <w:vMerge w:val="continue"/>
          </w:tcPr>
          <w:p>
            <w:pPr>
              <w:spacing w:after="0"/>
              <w:rPr>
                <w:sz w:val="16"/>
                <w:szCs w:val="16"/>
                <w:color w:val="auto"/>
              </w:rPr>
            </w:pPr>
          </w:p>
        </w:tc>
        <w:tc>
          <w:tcPr>
            <w:tcW w:w="14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50"/>
        </w:numPr>
        <w:rPr>
          <w:rFonts w:ascii="Arial" w:cs="Arial" w:eastAsia="Arial" w:hAnsi="Arial"/>
          <w:sz w:val="14"/>
          <w:szCs w:val="14"/>
          <w:color w:val="auto"/>
        </w:rPr>
      </w:pPr>
      <w:r>
        <w:rPr>
          <w:rFonts w:ascii="Arial" w:cs="Arial" w:eastAsia="Arial" w:hAnsi="Arial"/>
          <w:sz w:val="14"/>
          <w:szCs w:val="14"/>
          <w:color w:val="auto"/>
        </w:rPr>
        <w:t>Excludes interest and principal-only strips.</w:t>
      </w:r>
    </w:p>
    <w:p>
      <w:pPr>
        <w:spacing w:after="0" w:line="210"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weighted average life of our interest-only securities was 6.1 and 6.0 years as of December 31, 2015 and 2014, respectively. The weighted average life of our principal-only securities was 8.0 and 8.1 years as of December 31, 2015 and 2014, respectively.</w:t>
      </w:r>
    </w:p>
    <w:p>
      <w:pPr>
        <w:spacing w:after="0" w:line="170"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Securities classified as available-for-sale are reported at fair value, with unrealized gains and losses excluded from earnings and reported in accumulated OCI, a separate component of stockholders' equity. Refer to Note 10 for a summary of changes in accumulated OCI for our available-for-sale securities for fiscal years 2015 and 2014</w:t>
      </w:r>
      <w:r>
        <w:rPr>
          <w:rFonts w:ascii="Arial" w:cs="Arial" w:eastAsia="Arial" w:hAnsi="Arial"/>
          <w:sz w:val="16"/>
          <w:szCs w:val="16"/>
          <w:color w:val="auto"/>
        </w:rPr>
        <w:t>.</w:t>
      </w:r>
    </w:p>
    <w:p>
      <w:pPr>
        <w:spacing w:after="0" w:line="18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 presents the gross unrealized loss and fair values of our available-for-sale securities by length of time that such securities have been in a continuous unrealized loss position as of December 31, 2015 and 2014 (in millions):</w:t>
      </w:r>
    </w:p>
    <w:p>
      <w:pPr>
        <w:spacing w:after="0" w:line="365" w:lineRule="exact"/>
        <w:rPr>
          <w:sz w:val="20"/>
          <w:szCs w:val="20"/>
          <w:color w:val="auto"/>
        </w:rPr>
      </w:pPr>
    </w:p>
    <w:tbl>
      <w:tblPr>
        <w:tblLayout w:type="fixed"/>
        <w:tblInd w:w="340" w:type="dxa"/>
        <w:tblCellMar>
          <w:top w:w="0" w:type="dxa"/>
          <w:left w:w="0" w:type="dxa"/>
          <w:bottom w:w="0" w:type="dxa"/>
          <w:right w:w="0" w:type="dxa"/>
        </w:tblCellMar>
      </w:tblPr>
      <w:tr>
        <w:trPr>
          <w:trHeight w:val="192"/>
        </w:trPr>
        <w:tc>
          <w:tcPr>
            <w:tcW w:w="3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280" w:type="dxa"/>
            <w:vAlign w:val="bottom"/>
            <w:tcBorders>
              <w:bottom w:val="single" w:sz="8" w:color="auto"/>
            </w:tcBorders>
            <w:gridSpan w:val="5"/>
          </w:tcPr>
          <w:p>
            <w:pPr>
              <w:ind w:left="80"/>
              <w:spacing w:after="0"/>
              <w:rPr>
                <w:sz w:val="20"/>
                <w:szCs w:val="20"/>
                <w:color w:val="auto"/>
              </w:rPr>
            </w:pPr>
            <w:r>
              <w:rPr>
                <w:rFonts w:ascii="Arial" w:cs="Arial" w:eastAsia="Arial" w:hAnsi="Arial"/>
                <w:sz w:val="14"/>
                <w:szCs w:val="14"/>
                <w:b w:val="1"/>
                <w:bCs w:val="1"/>
                <w:color w:val="auto"/>
              </w:rPr>
              <w:t>Unrealized Loss Position For</w:t>
            </w:r>
          </w:p>
        </w:tc>
        <w:tc>
          <w:tcPr>
            <w:tcW w:w="2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3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2300" w:type="dxa"/>
            <w:vAlign w:val="bottom"/>
            <w:tcBorders>
              <w:bottom w:val="single" w:sz="8" w:color="auto"/>
            </w:tcBorders>
            <w:gridSpan w:val="4"/>
          </w:tcPr>
          <w:p>
            <w:pPr>
              <w:jc w:val="right"/>
              <w:ind w:right="488"/>
              <w:spacing w:after="0"/>
              <w:rPr>
                <w:sz w:val="20"/>
                <w:szCs w:val="20"/>
                <w:color w:val="auto"/>
              </w:rPr>
            </w:pPr>
            <w:r>
              <w:rPr>
                <w:rFonts w:ascii="Arial" w:cs="Arial" w:eastAsia="Arial" w:hAnsi="Arial"/>
                <w:sz w:val="14"/>
                <w:szCs w:val="14"/>
                <w:b w:val="1"/>
                <w:bCs w:val="1"/>
                <w:color w:val="auto"/>
              </w:rPr>
              <w:t>Less than 12 Months</w:t>
            </w:r>
          </w:p>
        </w:tc>
        <w:tc>
          <w:tcPr>
            <w:tcW w:w="10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2180" w:type="dxa"/>
            <w:vAlign w:val="bottom"/>
            <w:tcBorders>
              <w:bottom w:val="single" w:sz="8" w:color="auto"/>
            </w:tcBorders>
            <w:gridSpan w:val="4"/>
          </w:tcPr>
          <w:p>
            <w:pPr>
              <w:jc w:val="right"/>
              <w:ind w:right="488"/>
              <w:spacing w:after="0"/>
              <w:rPr>
                <w:sz w:val="20"/>
                <w:szCs w:val="20"/>
                <w:color w:val="auto"/>
              </w:rPr>
            </w:pPr>
            <w:r>
              <w:rPr>
                <w:rFonts w:ascii="Arial" w:cs="Arial" w:eastAsia="Arial" w:hAnsi="Arial"/>
                <w:sz w:val="14"/>
                <w:szCs w:val="14"/>
                <w:b w:val="1"/>
                <w:bCs w:val="1"/>
                <w:color w:val="auto"/>
              </w:rPr>
              <w:t>12 Months or More</w:t>
            </w:r>
          </w:p>
        </w:tc>
        <w:tc>
          <w:tcPr>
            <w:tcW w:w="100" w:type="dxa"/>
            <w:vAlign w:val="bottom"/>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spacing w:after="0"/>
              <w:rPr>
                <w:sz w:val="22"/>
                <w:szCs w:val="22"/>
                <w:color w:val="auto"/>
              </w:rPr>
            </w:pPr>
          </w:p>
        </w:tc>
        <w:tc>
          <w:tcPr>
            <w:tcW w:w="360" w:type="dxa"/>
            <w:vAlign w:val="bottom"/>
            <w:tcBorders>
              <w:bottom w:val="single" w:sz="8" w:color="auto"/>
            </w:tcBorders>
            <w:gridSpan w:val="3"/>
          </w:tcPr>
          <w:p>
            <w:pPr>
              <w:jc w:val="right"/>
              <w:ind w:right="20"/>
              <w:spacing w:after="0"/>
              <w:rPr>
                <w:sz w:val="20"/>
                <w:szCs w:val="20"/>
                <w:color w:val="auto"/>
              </w:rPr>
            </w:pPr>
            <w:r>
              <w:rPr>
                <w:rFonts w:ascii="Arial" w:cs="Arial" w:eastAsia="Arial" w:hAnsi="Arial"/>
                <w:sz w:val="14"/>
                <w:szCs w:val="14"/>
                <w:b w:val="1"/>
                <w:bCs w:val="1"/>
                <w:color w:val="auto"/>
                <w:w w:val="95"/>
              </w:rPr>
              <w:t>Total</w:t>
            </w:r>
          </w:p>
        </w:tc>
        <w:tc>
          <w:tcPr>
            <w:tcW w:w="96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2"/>
        </w:trPr>
        <w:tc>
          <w:tcPr>
            <w:tcW w:w="33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Securities Classified as Available-for-Sale</w:t>
            </w:r>
          </w:p>
        </w:tc>
        <w:tc>
          <w:tcPr>
            <w:tcW w:w="120" w:type="dxa"/>
            <w:vAlign w:val="bottom"/>
            <w:vMerge w:val="restart"/>
          </w:tcPr>
          <w:p>
            <w:pPr>
              <w:spacing w:after="0"/>
              <w:rPr>
                <w:sz w:val="13"/>
                <w:szCs w:val="13"/>
                <w:color w:val="auto"/>
              </w:rPr>
            </w:pPr>
          </w:p>
        </w:tc>
        <w:tc>
          <w:tcPr>
            <w:tcW w:w="120" w:type="dxa"/>
            <w:vAlign w:val="bottom"/>
          </w:tcPr>
          <w:p>
            <w:pPr>
              <w:spacing w:after="0"/>
              <w:rPr>
                <w:sz w:val="13"/>
                <w:szCs w:val="13"/>
                <w:color w:val="auto"/>
              </w:rPr>
            </w:pPr>
          </w:p>
        </w:tc>
        <w:tc>
          <w:tcPr>
            <w:tcW w:w="1200" w:type="dxa"/>
            <w:vAlign w:val="bottom"/>
            <w:gridSpan w:val="2"/>
          </w:tcPr>
          <w:p>
            <w:pPr>
              <w:ind w:left="20"/>
              <w:spacing w:after="0" w:line="153" w:lineRule="exact"/>
              <w:rPr>
                <w:sz w:val="20"/>
                <w:szCs w:val="20"/>
                <w:color w:val="auto"/>
              </w:rPr>
            </w:pPr>
            <w:r>
              <w:rPr>
                <w:rFonts w:ascii="Arial" w:cs="Arial" w:eastAsia="Arial" w:hAnsi="Arial"/>
                <w:sz w:val="14"/>
                <w:szCs w:val="14"/>
                <w:b w:val="1"/>
                <w:bCs w:val="1"/>
                <w:color w:val="auto"/>
              </w:rPr>
              <w:t>Estimated Fair</w:t>
            </w:r>
          </w:p>
        </w:tc>
        <w:tc>
          <w:tcPr>
            <w:tcW w:w="160" w:type="dxa"/>
            <w:vAlign w:val="bottom"/>
          </w:tcPr>
          <w:p>
            <w:pPr>
              <w:spacing w:after="0"/>
              <w:rPr>
                <w:sz w:val="13"/>
                <w:szCs w:val="13"/>
                <w:color w:val="auto"/>
              </w:rPr>
            </w:pPr>
          </w:p>
        </w:tc>
        <w:tc>
          <w:tcPr>
            <w:tcW w:w="1040" w:type="dxa"/>
            <w:vAlign w:val="bottom"/>
            <w:gridSpan w:val="2"/>
          </w:tcPr>
          <w:p>
            <w:pPr>
              <w:ind w:left="60"/>
              <w:spacing w:after="0" w:line="153" w:lineRule="exact"/>
              <w:rPr>
                <w:sz w:val="20"/>
                <w:szCs w:val="20"/>
                <w:color w:val="auto"/>
              </w:rPr>
            </w:pPr>
            <w:r>
              <w:rPr>
                <w:rFonts w:ascii="Arial" w:cs="Arial" w:eastAsia="Arial" w:hAnsi="Arial"/>
                <w:sz w:val="14"/>
                <w:szCs w:val="14"/>
                <w:b w:val="1"/>
                <w:bCs w:val="1"/>
                <w:color w:val="auto"/>
              </w:rPr>
              <w:t>Unrealized</w:t>
            </w:r>
          </w:p>
        </w:tc>
        <w:tc>
          <w:tcPr>
            <w:tcW w:w="160" w:type="dxa"/>
            <w:vAlign w:val="bottom"/>
          </w:tcPr>
          <w:p>
            <w:pPr>
              <w:spacing w:after="0"/>
              <w:rPr>
                <w:sz w:val="13"/>
                <w:szCs w:val="13"/>
                <w:color w:val="auto"/>
              </w:rPr>
            </w:pPr>
          </w:p>
        </w:tc>
        <w:tc>
          <w:tcPr>
            <w:tcW w:w="1000" w:type="dxa"/>
            <w:vAlign w:val="bottom"/>
            <w:gridSpan w:val="2"/>
          </w:tcPr>
          <w:p>
            <w:pPr>
              <w:ind w:left="60"/>
              <w:spacing w:after="0" w:line="153" w:lineRule="exact"/>
              <w:rPr>
                <w:sz w:val="20"/>
                <w:szCs w:val="20"/>
                <w:color w:val="auto"/>
              </w:rPr>
            </w:pPr>
            <w:r>
              <w:rPr>
                <w:rFonts w:ascii="Arial" w:cs="Arial" w:eastAsia="Arial" w:hAnsi="Arial"/>
                <w:sz w:val="14"/>
                <w:szCs w:val="14"/>
                <w:b w:val="1"/>
                <w:bCs w:val="1"/>
                <w:color w:val="auto"/>
              </w:rPr>
              <w:t>Estimated</w:t>
            </w:r>
          </w:p>
        </w:tc>
        <w:tc>
          <w:tcPr>
            <w:tcW w:w="180" w:type="dxa"/>
            <w:vAlign w:val="bottom"/>
          </w:tcPr>
          <w:p>
            <w:pPr>
              <w:spacing w:after="0"/>
              <w:rPr>
                <w:sz w:val="13"/>
                <w:szCs w:val="13"/>
                <w:color w:val="auto"/>
              </w:rPr>
            </w:pPr>
          </w:p>
        </w:tc>
        <w:tc>
          <w:tcPr>
            <w:tcW w:w="1100" w:type="dxa"/>
            <w:vAlign w:val="bottom"/>
            <w:gridSpan w:val="2"/>
          </w:tcPr>
          <w:p>
            <w:pPr>
              <w:ind w:left="80"/>
              <w:spacing w:after="0" w:line="153" w:lineRule="exact"/>
              <w:rPr>
                <w:sz w:val="20"/>
                <w:szCs w:val="20"/>
                <w:color w:val="auto"/>
              </w:rPr>
            </w:pPr>
            <w:r>
              <w:rPr>
                <w:rFonts w:ascii="Arial" w:cs="Arial" w:eastAsia="Arial" w:hAnsi="Arial"/>
                <w:sz w:val="14"/>
                <w:szCs w:val="14"/>
                <w:b w:val="1"/>
                <w:bCs w:val="1"/>
                <w:color w:val="auto"/>
              </w:rPr>
              <w:t>Unrealized</w:t>
            </w:r>
          </w:p>
        </w:tc>
        <w:tc>
          <w:tcPr>
            <w:tcW w:w="1000" w:type="dxa"/>
            <w:vAlign w:val="bottom"/>
            <w:gridSpan w:val="2"/>
          </w:tcPr>
          <w:p>
            <w:pPr>
              <w:jc w:val="right"/>
              <w:spacing w:after="0" w:line="153" w:lineRule="exact"/>
              <w:rPr>
                <w:sz w:val="20"/>
                <w:szCs w:val="20"/>
                <w:color w:val="auto"/>
              </w:rPr>
            </w:pPr>
            <w:r>
              <w:rPr>
                <w:rFonts w:ascii="Arial" w:cs="Arial" w:eastAsia="Arial" w:hAnsi="Arial"/>
                <w:sz w:val="14"/>
                <w:szCs w:val="14"/>
                <w:b w:val="1"/>
                <w:bCs w:val="1"/>
                <w:color w:val="auto"/>
                <w:w w:val="99"/>
              </w:rPr>
              <w:t>Estimated Fair</w:t>
            </w: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60" w:type="dxa"/>
            <w:vAlign w:val="bottom"/>
          </w:tcPr>
          <w:p>
            <w:pPr>
              <w:jc w:val="right"/>
              <w:ind w:right="168"/>
              <w:spacing w:after="0" w:line="153" w:lineRule="exact"/>
              <w:rPr>
                <w:sz w:val="20"/>
                <w:szCs w:val="20"/>
                <w:color w:val="auto"/>
              </w:rPr>
            </w:pPr>
            <w:r>
              <w:rPr>
                <w:rFonts w:ascii="Arial" w:cs="Arial" w:eastAsia="Arial" w:hAnsi="Arial"/>
                <w:sz w:val="14"/>
                <w:szCs w:val="14"/>
                <w:b w:val="1"/>
                <w:bCs w:val="1"/>
                <w:color w:val="auto"/>
                <w:w w:val="98"/>
              </w:rPr>
              <w:t>Unrealized</w:t>
            </w:r>
          </w:p>
        </w:tc>
        <w:tc>
          <w:tcPr>
            <w:tcW w:w="0" w:type="dxa"/>
            <w:vAlign w:val="bottom"/>
          </w:tcPr>
          <w:p>
            <w:pPr>
              <w:spacing w:after="0"/>
              <w:rPr>
                <w:sz w:val="1"/>
                <w:szCs w:val="1"/>
                <w:color w:val="auto"/>
              </w:rPr>
            </w:pPr>
          </w:p>
        </w:tc>
      </w:tr>
      <w:tr>
        <w:trPr>
          <w:trHeight w:val="192"/>
        </w:trPr>
        <w:tc>
          <w:tcPr>
            <w:tcW w:w="33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Value</w:t>
            </w: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Loss</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Fair Value</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Loss</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Value</w:t>
            </w:r>
          </w:p>
        </w:tc>
        <w:tc>
          <w:tcPr>
            <w:tcW w:w="6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Loss</w:t>
            </w:r>
          </w:p>
        </w:tc>
        <w:tc>
          <w:tcPr>
            <w:tcW w:w="0" w:type="dxa"/>
            <w:vAlign w:val="bottom"/>
          </w:tcPr>
          <w:p>
            <w:pPr>
              <w:spacing w:after="0"/>
              <w:rPr>
                <w:sz w:val="1"/>
                <w:szCs w:val="1"/>
                <w:color w:val="auto"/>
              </w:rPr>
            </w:pPr>
          </w:p>
        </w:tc>
      </w:tr>
      <w:tr>
        <w:trPr>
          <w:trHeight w:val="256"/>
        </w:trPr>
        <w:tc>
          <w:tcPr>
            <w:tcW w:w="34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December 31, 2015</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24,035</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(200)</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6,793</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(195)</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30,828</w:t>
            </w:r>
          </w:p>
        </w:tc>
        <w:tc>
          <w:tcPr>
            <w:tcW w:w="360" w:type="dxa"/>
            <w:vAlign w:val="bottom"/>
            <w:gridSpan w:val="3"/>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(395)</w:t>
            </w:r>
          </w:p>
        </w:tc>
        <w:tc>
          <w:tcPr>
            <w:tcW w:w="0" w:type="dxa"/>
            <w:vAlign w:val="bottom"/>
          </w:tcPr>
          <w:p>
            <w:pPr>
              <w:spacing w:after="0"/>
              <w:rPr>
                <w:sz w:val="1"/>
                <w:szCs w:val="1"/>
                <w:color w:val="auto"/>
              </w:rPr>
            </w:pPr>
          </w:p>
        </w:tc>
      </w:tr>
      <w:tr>
        <w:trPr>
          <w:trHeight w:val="258"/>
        </w:trPr>
        <w:tc>
          <w:tcPr>
            <w:tcW w:w="3460" w:type="dxa"/>
            <w:vAlign w:val="bottom"/>
            <w:gridSpan w:val="2"/>
          </w:tcPr>
          <w:p>
            <w:pPr>
              <w:ind w:left="40"/>
              <w:spacing w:after="0"/>
              <w:rPr>
                <w:sz w:val="20"/>
                <w:szCs w:val="20"/>
                <w:color w:val="auto"/>
              </w:rPr>
            </w:pPr>
            <w:r>
              <w:rPr>
                <w:rFonts w:ascii="Arial" w:cs="Arial" w:eastAsia="Arial" w:hAnsi="Arial"/>
                <w:sz w:val="14"/>
                <w:szCs w:val="14"/>
                <w:color w:val="auto"/>
              </w:rPr>
              <w:t>December 31, 2014</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778</w:t>
            </w:r>
          </w:p>
        </w:tc>
        <w:tc>
          <w:tcPr>
            <w:tcW w:w="12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11,679</w:t>
            </w:r>
          </w:p>
        </w:tc>
        <w:tc>
          <w:tcPr>
            <w:tcW w:w="10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00" w:type="dxa"/>
            <w:vAlign w:val="bottom"/>
          </w:tcPr>
          <w:p>
            <w:pPr>
              <w:jc w:val="right"/>
              <w:spacing w:after="0"/>
              <w:rPr>
                <w:sz w:val="20"/>
                <w:szCs w:val="20"/>
                <w:color w:val="auto"/>
              </w:rPr>
            </w:pPr>
            <w:r>
              <w:rPr>
                <w:rFonts w:ascii="Arial" w:cs="Arial" w:eastAsia="Arial" w:hAnsi="Arial"/>
                <w:sz w:val="14"/>
                <w:szCs w:val="14"/>
                <w:color w:val="auto"/>
              </w:rPr>
              <w:t>(186)</w:t>
            </w:r>
          </w:p>
        </w:tc>
        <w:tc>
          <w:tcPr>
            <w:tcW w:w="10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12,457</w:t>
            </w:r>
          </w:p>
        </w:tc>
        <w:tc>
          <w:tcPr>
            <w:tcW w:w="360" w:type="dxa"/>
            <w:vAlign w:val="bottom"/>
            <w:gridSpan w:val="3"/>
          </w:tcPr>
          <w:p>
            <w:pPr>
              <w:jc w:val="right"/>
              <w:ind w:right="100"/>
              <w:spacing w:after="0"/>
              <w:rPr>
                <w:sz w:val="20"/>
                <w:szCs w:val="20"/>
                <w:color w:val="auto"/>
              </w:rPr>
            </w:pPr>
            <w:r>
              <w:rPr>
                <w:rFonts w:ascii="Arial" w:cs="Arial" w:eastAsia="Arial" w:hAnsi="Arial"/>
                <w:sz w:val="14"/>
                <w:szCs w:val="14"/>
                <w:color w:val="auto"/>
              </w:rPr>
              <w:t>$</w:t>
            </w:r>
          </w:p>
        </w:tc>
        <w:tc>
          <w:tcPr>
            <w:tcW w:w="960" w:type="dxa"/>
            <w:vAlign w:val="bottom"/>
          </w:tcPr>
          <w:p>
            <w:pPr>
              <w:jc w:val="right"/>
              <w:spacing w:after="0"/>
              <w:rPr>
                <w:sz w:val="20"/>
                <w:szCs w:val="20"/>
                <w:color w:val="auto"/>
              </w:rPr>
            </w:pPr>
            <w:r>
              <w:rPr>
                <w:rFonts w:ascii="Arial" w:cs="Arial" w:eastAsia="Arial" w:hAnsi="Arial"/>
                <w:sz w:val="14"/>
                <w:szCs w:val="14"/>
                <w:color w:val="auto"/>
              </w:rPr>
              <w:t>(188)</w:t>
            </w:r>
          </w:p>
        </w:tc>
        <w:tc>
          <w:tcPr>
            <w:tcW w:w="0" w:type="dxa"/>
            <w:vAlign w:val="bottom"/>
          </w:tcPr>
          <w:p>
            <w:pPr>
              <w:spacing w:after="0"/>
              <w:rPr>
                <w:sz w:val="1"/>
                <w:szCs w:val="1"/>
                <w:color w:val="auto"/>
              </w:rPr>
            </w:pPr>
          </w:p>
        </w:tc>
      </w:tr>
    </w:tbl>
    <w:p>
      <w:pPr>
        <w:spacing w:after="0" w:line="214" w:lineRule="exact"/>
        <w:rPr>
          <w:sz w:val="20"/>
          <w:szCs w:val="20"/>
          <w:color w:val="auto"/>
        </w:rPr>
      </w:pPr>
    </w:p>
    <w:p>
      <w:pPr>
        <w:jc w:val="both"/>
        <w:ind w:firstLine="486"/>
        <w:spacing w:after="0" w:line="255" w:lineRule="auto"/>
        <w:rPr>
          <w:sz w:val="20"/>
          <w:szCs w:val="20"/>
          <w:color w:val="auto"/>
        </w:rPr>
      </w:pPr>
      <w:r>
        <w:rPr>
          <w:rFonts w:ascii="Arial" w:cs="Arial" w:eastAsia="Arial" w:hAnsi="Arial"/>
          <w:sz w:val="18"/>
          <w:szCs w:val="18"/>
          <w:color w:val="auto"/>
        </w:rPr>
        <w:t>We did not recognize any OTTI charges on our investment securities for fiscal years 2015, 2014 and 2013. As of the end of each respective reporting period, a decision had not been made to sell any of our securities in an unrealized loss position and we did not believe it was more likely than not that we would be required to sell such securities before recovery of their amortized cost basis. The unrealized losses on our securities were not due to credit losses given the GSE guarantees and credit enhancements on our AAA non-agency securities, but rather were due to changes in interest rates and prepayment expectations. However, as we continue to actively manage our portfolio, we may recognize additional realized losses on our investment securities upon selecting specific securities to sell.</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87</w:t>
      </w:r>
    </w:p>
    <w:p>
      <w:pPr>
        <w:sectPr>
          <w:pgSz w:w="11900" w:h="16838" w:orient="portrait"/>
          <w:cols w:equalWidth="0" w:num="1">
            <w:col w:w="11420"/>
          </w:cols>
          <w:pgMar w:left="240" w:top="584" w:right="239" w:bottom="1440" w:gutter="0" w:footer="0" w:header="0"/>
        </w:sectPr>
      </w:pPr>
    </w:p>
    <w:bookmarkStart w:id="88" w:name="page89"/>
    <w:bookmarkEnd w:id="88"/>
    <w:p>
      <w:pPr>
        <w:spacing w:after="0"/>
        <w:rPr>
          <w:sz w:val="20"/>
          <w:szCs w:val="20"/>
          <w:color w:val="auto"/>
        </w:rPr>
      </w:pPr>
      <w:r>
        <w:rPr>
          <w:rFonts w:ascii="Arial" w:cs="Arial" w:eastAsia="Arial" w:hAnsi="Arial"/>
          <w:sz w:val="18"/>
          <w:szCs w:val="18"/>
          <w:b w:val="1"/>
          <w:bCs w:val="1"/>
          <w:i w:val="1"/>
          <w:iCs w:val="1"/>
          <w:color w:val="auto"/>
        </w:rPr>
        <w:t>Gains and Losses</w:t>
      </w:r>
    </w:p>
    <w:p>
      <w:pPr>
        <w:spacing w:after="0" w:line="90"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The following table is a summary of our net gain (loss) from the sale of securities classified as available-for-sale for fiscal years 2015, 2014 and 2013 (in millions):</w:t>
      </w:r>
    </w:p>
    <w:p>
      <w:pPr>
        <w:spacing w:after="0" w:line="176" w:lineRule="exact"/>
        <w:rPr>
          <w:sz w:val="20"/>
          <w:szCs w:val="20"/>
          <w:color w:val="auto"/>
        </w:rPr>
      </w:pPr>
    </w:p>
    <w:tbl>
      <w:tblPr>
        <w:tblLayout w:type="fixed"/>
        <w:tblInd w:w="1580" w:type="dxa"/>
        <w:tblCellMar>
          <w:top w:w="0" w:type="dxa"/>
          <w:left w:w="0" w:type="dxa"/>
          <w:bottom w:w="0" w:type="dxa"/>
          <w:right w:w="0" w:type="dxa"/>
        </w:tblCellMar>
      </w:tblPr>
      <w:tr>
        <w:trPr>
          <w:trHeight w:val="192"/>
        </w:trPr>
        <w:tc>
          <w:tcPr>
            <w:tcW w:w="43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gridSpan w:val="2"/>
          </w:tcPr>
          <w:p>
            <w:pPr>
              <w:ind w:left="60"/>
              <w:spacing w:after="0"/>
              <w:rPr>
                <w:sz w:val="20"/>
                <w:szCs w:val="20"/>
                <w:color w:val="auto"/>
              </w:rPr>
            </w:pPr>
            <w:r>
              <w:rPr>
                <w:rFonts w:ascii="Arial" w:cs="Arial" w:eastAsia="Arial" w:hAnsi="Arial"/>
                <w:sz w:val="14"/>
                <w:szCs w:val="14"/>
                <w:b w:val="1"/>
                <w:bCs w:val="1"/>
                <w:color w:val="auto"/>
              </w:rPr>
              <w:t>Fiscal Year</w:t>
            </w:r>
          </w:p>
        </w:tc>
        <w:tc>
          <w:tcPr>
            <w:tcW w:w="26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r>
      <w:tr>
        <w:trPr>
          <w:trHeight w:val="264"/>
        </w:trPr>
        <w:tc>
          <w:tcPr>
            <w:tcW w:w="43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Securities Classified as Available-for-Sale</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2013</w:t>
            </w:r>
          </w:p>
        </w:tc>
      </w:tr>
      <w:tr>
        <w:trPr>
          <w:trHeight w:val="256"/>
        </w:trPr>
        <w:tc>
          <w:tcPr>
            <w:tcW w:w="44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MBS sold, at cost</w:t>
            </w: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(27,578)</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(30,123)</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(81,516)</w:t>
            </w:r>
          </w:p>
        </w:tc>
      </w:tr>
      <w:tr>
        <w:trPr>
          <w:trHeight w:val="264"/>
        </w:trPr>
        <w:tc>
          <w:tcPr>
            <w:tcW w:w="446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 xml:space="preserve">Proceeds from agency MBS sold </w:t>
            </w:r>
            <w:r>
              <w:rPr>
                <w:rFonts w:ascii="Arial" w:cs="Arial" w:eastAsia="Arial" w:hAnsi="Arial"/>
                <w:sz w:val="8"/>
                <w:szCs w:val="8"/>
                <w:color w:val="auto"/>
              </w:rPr>
              <w:t>1</w:t>
            </w: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27,555</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30,174</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80,108</w:t>
            </w:r>
          </w:p>
        </w:tc>
      </w:tr>
      <w:tr>
        <w:trPr>
          <w:trHeight w:val="243"/>
        </w:trPr>
        <w:tc>
          <w:tcPr>
            <w:tcW w:w="44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Net gain (loss) on sale of MBS</w:t>
            </w:r>
          </w:p>
        </w:tc>
        <w:tc>
          <w:tcPr>
            <w:tcW w:w="3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(1,408)</w:t>
            </w:r>
          </w:p>
        </w:tc>
      </w:tr>
      <w:tr>
        <w:trPr>
          <w:trHeight w:val="20"/>
        </w:trPr>
        <w:tc>
          <w:tcPr>
            <w:tcW w:w="4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r>
        <w:trPr>
          <w:trHeight w:val="305"/>
        </w:trPr>
        <w:tc>
          <w:tcPr>
            <w:tcW w:w="4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20" w:type="dxa"/>
            <w:vAlign w:val="bottom"/>
          </w:tcPr>
          <w:p>
            <w:pPr>
              <w:spacing w:after="0"/>
              <w:rPr>
                <w:sz w:val="24"/>
                <w:szCs w:val="24"/>
                <w:color w:val="auto"/>
              </w:rPr>
            </w:pPr>
          </w:p>
        </w:tc>
      </w:tr>
      <w:tr>
        <w:trPr>
          <w:trHeight w:val="270"/>
        </w:trPr>
        <w:tc>
          <w:tcPr>
            <w:tcW w:w="44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Gross gain on sale of MBS</w:t>
            </w: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98</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172</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217</w:t>
            </w:r>
          </w:p>
        </w:tc>
      </w:tr>
      <w:tr>
        <w:trPr>
          <w:trHeight w:val="264"/>
        </w:trPr>
        <w:tc>
          <w:tcPr>
            <w:tcW w:w="446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Gross loss on sale of MBS</w:t>
            </w: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(121)</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(121)</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(1,625)</w:t>
            </w:r>
          </w:p>
        </w:tc>
      </w:tr>
      <w:tr>
        <w:trPr>
          <w:trHeight w:val="243"/>
        </w:trPr>
        <w:tc>
          <w:tcPr>
            <w:tcW w:w="44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Net gain (loss) on sale of MBS</w:t>
            </w:r>
          </w:p>
        </w:tc>
        <w:tc>
          <w:tcPr>
            <w:tcW w:w="3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(1,408)</w:t>
            </w:r>
          </w:p>
        </w:tc>
      </w:tr>
      <w:tr>
        <w:trPr>
          <w:trHeight w:val="20"/>
        </w:trPr>
        <w:tc>
          <w:tcPr>
            <w:tcW w:w="4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bl>
    <w:p>
      <w:pPr>
        <w:ind w:left="100"/>
        <w:spacing w:after="0"/>
        <w:rPr>
          <w:sz w:val="20"/>
          <w:szCs w:val="20"/>
          <w:color w:val="auto"/>
        </w:rPr>
      </w:pPr>
      <w:r>
        <w:rPr>
          <w:rFonts w:ascii="Arial" w:cs="Arial" w:eastAsia="Arial" w:hAnsi="Arial"/>
          <w:sz w:val="18"/>
          <w:szCs w:val="18"/>
          <w:color w:val="auto"/>
        </w:rPr>
        <w:t>________________________</w:t>
      </w:r>
    </w:p>
    <w:p>
      <w:pPr>
        <w:spacing w:after="0" w:line="2" w:lineRule="exact"/>
        <w:rPr>
          <w:sz w:val="20"/>
          <w:szCs w:val="20"/>
          <w:color w:val="auto"/>
        </w:rPr>
      </w:pPr>
    </w:p>
    <w:p>
      <w:pPr>
        <w:ind w:left="660" w:hanging="328"/>
        <w:spacing w:after="0"/>
        <w:tabs>
          <w:tab w:leader="none" w:pos="660" w:val="left"/>
        </w:tabs>
        <w:numPr>
          <w:ilvl w:val="0"/>
          <w:numId w:val="51"/>
        </w:numPr>
        <w:rPr>
          <w:rFonts w:ascii="Arial" w:cs="Arial" w:eastAsia="Arial" w:hAnsi="Arial"/>
          <w:sz w:val="14"/>
          <w:szCs w:val="14"/>
          <w:color w:val="auto"/>
        </w:rPr>
      </w:pPr>
      <w:r>
        <w:rPr>
          <w:rFonts w:ascii="Arial" w:cs="Arial" w:eastAsia="Arial" w:hAnsi="Arial"/>
          <w:sz w:val="14"/>
          <w:szCs w:val="14"/>
          <w:color w:val="auto"/>
        </w:rPr>
        <w:t>Proceeds include cash received during the period, plus receivable for MBS sold during the period as of period end.</w:t>
      </w:r>
    </w:p>
    <w:p>
      <w:pPr>
        <w:spacing w:after="0" w:line="156"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For fiscal years 2015 and 2014, we recognized a net unrealized gain of $5 million and $32 million, respectively, for the change in value of investments in interest and principal-only securities in gain (loss) on derivative instruments and other securities, net in our consolidated statements of comprehensive income. For fiscal year 2013, we did not recognize a net unrealized gain or loss on our interest and principal-only securities. Over the same periods, we did not recognize any realized gains or losses on our interest or principal-only securities.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Securitizations and Variable Interest Entities</w:t>
      </w:r>
    </w:p>
    <w:p>
      <w:pPr>
        <w:spacing w:after="0" w:line="90"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As of December 31, 2015 and 2014, we held investments in CMO trusts, which are VIEs. We have consolidated certain of these CMO trusts in our consolidated financial statements where we have determined we are the primary beneficiary of the trusts. All of our CMO securities are backed by fixed or adjustable-rate agency MBS. Fannie Mae or Freddie Mac guarantees the payment of interest and principal and acts as the trustee and administrator of their respective securitization trusts. Accordingly, we are not required to provide the beneficial interest holders of the CMO securities any financial or other support. Our maximum exposure to loss related to our involvement with CMO trusts is the fair value of the CMO securities and interest and principal-only securities held by us, less principal amounts guaranteed by Fannie Mae and Freddie Mac.</w:t>
      </w:r>
    </w:p>
    <w:p>
      <w:pPr>
        <w:spacing w:after="0" w:line="139" w:lineRule="exact"/>
        <w:rPr>
          <w:sz w:val="20"/>
          <w:szCs w:val="20"/>
          <w:color w:val="auto"/>
        </w:rPr>
      </w:pPr>
    </w:p>
    <w:p>
      <w:pPr>
        <w:jc w:val="both"/>
        <w:ind w:firstLine="432"/>
        <w:spacing w:after="0" w:line="271" w:lineRule="auto"/>
        <w:rPr>
          <w:sz w:val="20"/>
          <w:szCs w:val="20"/>
          <w:color w:val="auto"/>
        </w:rPr>
      </w:pPr>
      <w:r>
        <w:rPr>
          <w:rFonts w:ascii="Arial" w:cs="Arial" w:eastAsia="Arial" w:hAnsi="Arial"/>
          <w:sz w:val="17"/>
          <w:szCs w:val="17"/>
          <w:color w:val="auto"/>
        </w:rPr>
        <w:t>In connection with our consolidated CMO trusts, we recognized agency securities with a total fair value of $1.0 billion and $1.3 billion as of December 31, 2015 and 2014, respectively, and debt, at fair value, of $595 million and $761 million, respectively, in our accompanying consolidated balance sheets. As of December 31, 2015 and 2014, the agency securities had an aggregate unpaid principal balance of $1.0 billion and $1.2 billion, respectively, and the debt had an aggregate unpaid principal balance of $587 million and $742 million, respectively. We re-measure our consolidated debt at fair value through earnings in gain (loss) on derivative instruments and other securities, net in our consolidated statements of comprehensive income. For fiscal years 2015 and 2014, we recorded a gain of $16 million and a loss of $10 million, respectively, associated with our consolidated debt. Our involvement with the consolidated trusts is limited to the agency securities transferred by us upon the formation of the trusts and the CMO securities subsequently held by us. There are no arrangements that could require us to provide financial support to the trusts.</w:t>
      </w:r>
    </w:p>
    <w:p>
      <w:pPr>
        <w:spacing w:after="0" w:line="44"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As of December 31, 2015 and 2014, the fair value of our CMO securities and interest and principal-only securities was $1.3 billion and $1.6 billion, respectively, excluding the consolidated CMO trusts discussed above, or $1.8 billion and $2.1 billion, respectively, including the net asset value of our consolidated CMO trusts. Our maximum exposure to loss related to our CMO securities and interest and principal-only securities, including our consolidated CMO trusts, was $238 million and $274 million as of December 31, 2015 and 2014, respectively.</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Repurchase Agreements and Other Secured Borrowings</w:t>
      </w:r>
    </w:p>
    <w:p>
      <w:pPr>
        <w:spacing w:after="0" w:line="175" w:lineRule="exact"/>
        <w:rPr>
          <w:sz w:val="20"/>
          <w:szCs w:val="20"/>
          <w:color w:val="auto"/>
        </w:rPr>
      </w:pPr>
    </w:p>
    <w:p>
      <w:pPr>
        <w:jc w:val="both"/>
        <w:ind w:firstLine="432"/>
        <w:spacing w:after="0" w:line="272" w:lineRule="auto"/>
        <w:rPr>
          <w:sz w:val="20"/>
          <w:szCs w:val="20"/>
          <w:color w:val="auto"/>
        </w:rPr>
      </w:pPr>
      <w:r>
        <w:rPr>
          <w:rFonts w:ascii="Arial" w:cs="Arial" w:eastAsia="Arial" w:hAnsi="Arial"/>
          <w:sz w:val="17"/>
          <w:szCs w:val="17"/>
          <w:color w:val="auto"/>
        </w:rPr>
        <w:t>We pledge certain of our securities as collateral under our repurchase agreements with financial institutions and under our secured borrowing facility with the FHLB of Des Moines. Interest rates on our borrowings are generally based on LIBOR plus or minus a margin and amounts available to be borrowed are dependent upon the fair value of the securities pledged as collateral, which fluctuates with changes in interest rates, type of security and liquidity conditions within the banking, mortgage finance and real estate industries. If the fair value of our pledged securities declines, lenders will typically require us to post additional collateral or pay down borrowings to re-establish agreed upon collateral requirements, referred to as "margin calls." Similarly, if the fair value of our pledged securities increases, lenders may release collateral back to us. As of December 31, 2015 and 2014, we had met all margin call requirements. For additional information regarding our pledged assets, please refer to Note 6.</w:t>
      </w: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88</w:t>
      </w:r>
    </w:p>
    <w:p>
      <w:pPr>
        <w:sectPr>
          <w:pgSz w:w="11900" w:h="16838" w:orient="portrait"/>
          <w:cols w:equalWidth="0" w:num="1">
            <w:col w:w="11420"/>
          </w:cols>
          <w:pgMar w:left="240" w:top="827" w:right="239" w:bottom="1440" w:gutter="0" w:footer="0" w:header="0"/>
        </w:sectPr>
      </w:pPr>
    </w:p>
    <w:bookmarkStart w:id="89" w:name="page90"/>
    <w:bookmarkEnd w:id="89"/>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171"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As of December 31, 2015 and 2014, we had $41.8 billion and $50.3 billion, respectively, of repurchase agreements outstanding. The terms and conditions of our repurchase agreements are typically negotiated on a transaction-by-transaction basis. Our repurchase agreements with original maturities &gt; 90 days have floating interest rates based on an index plus or minus a fixed spread. As of December 31, 2015 and 2014, $41.7 billion and $48.4 billion, respectively, of our repurchase agreements were used to fund purchases of agency securities ("agency repo"), with an average borrowing rate of 0.61% and 0.41%, respectively, and a weighted average remaining term to maturity of 173 and 143 days, respectively. The remainder, or $25 million and $1.9 billion, of our repurchase agreements as of December 31, 2015 and 2014, respectively, were used to fund temporary holdings of U.S. Treasury securities ("U.S. Treasury repo").</w:t>
      </w:r>
    </w:p>
    <w:p>
      <w:pPr>
        <w:spacing w:after="0" w:line="135"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 summarizes our borrowings under repurchase arrangements and weighted average interest rates classified by remaining maturities as of December 31, 2015 and 2014 (dollars in millions):</w:t>
      </w:r>
    </w:p>
    <w:p>
      <w:pPr>
        <w:spacing w:after="0" w:line="338" w:lineRule="exact"/>
        <w:rPr>
          <w:sz w:val="20"/>
          <w:szCs w:val="20"/>
          <w:color w:val="auto"/>
        </w:rPr>
      </w:pPr>
    </w:p>
    <w:tbl>
      <w:tblPr>
        <w:tblLayout w:type="fixed"/>
        <w:tblInd w:w="60" w:type="dxa"/>
        <w:tblCellMar>
          <w:top w:w="0" w:type="dxa"/>
          <w:left w:w="0" w:type="dxa"/>
          <w:bottom w:w="0" w:type="dxa"/>
          <w:right w:w="0" w:type="dxa"/>
        </w:tblCellMar>
      </w:tblPr>
      <w:tr>
        <w:trPr>
          <w:trHeight w:val="192"/>
        </w:trPr>
        <w:tc>
          <w:tcPr>
            <w:tcW w:w="25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2"/>
          </w:tcPr>
          <w:p>
            <w:pPr>
              <w:jc w:val="center"/>
              <w:ind w:right="100"/>
              <w:spacing w:after="0"/>
              <w:rPr>
                <w:sz w:val="20"/>
                <w:szCs w:val="20"/>
                <w:color w:val="auto"/>
              </w:rPr>
            </w:pPr>
            <w:r>
              <w:rPr>
                <w:rFonts w:ascii="Arial" w:cs="Arial" w:eastAsia="Arial" w:hAnsi="Arial"/>
                <w:sz w:val="14"/>
                <w:szCs w:val="14"/>
                <w:b w:val="1"/>
                <w:bCs w:val="1"/>
                <w:color w:val="auto"/>
                <w:w w:val="91"/>
              </w:rPr>
              <w:t>December 31, 2015</w:t>
            </w:r>
          </w:p>
        </w:tc>
        <w:tc>
          <w:tcPr>
            <w:tcW w:w="1240" w:type="dxa"/>
            <w:vAlign w:val="bottom"/>
            <w:tcBorders>
              <w:bottom w:val="single" w:sz="8" w:color="auto"/>
            </w:tcBorders>
          </w:tcPr>
          <w:p>
            <w:pPr>
              <w:spacing w:after="0"/>
              <w:rPr>
                <w:sz w:val="16"/>
                <w:szCs w:val="16"/>
                <w:color w:val="auto"/>
              </w:rPr>
            </w:pPr>
          </w:p>
        </w:tc>
        <w:tc>
          <w:tcPr>
            <w:tcW w:w="44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2"/>
          </w:tcPr>
          <w:p>
            <w:pPr>
              <w:jc w:val="center"/>
              <w:ind w:right="120"/>
              <w:spacing w:after="0"/>
              <w:rPr>
                <w:sz w:val="20"/>
                <w:szCs w:val="20"/>
                <w:color w:val="auto"/>
              </w:rPr>
            </w:pPr>
            <w:r>
              <w:rPr>
                <w:rFonts w:ascii="Arial" w:cs="Arial" w:eastAsia="Arial" w:hAnsi="Arial"/>
                <w:sz w:val="14"/>
                <w:szCs w:val="14"/>
                <w:b w:val="1"/>
                <w:bCs w:val="1"/>
                <w:color w:val="auto"/>
                <w:w w:val="91"/>
              </w:rPr>
              <w:t>December 31, 2014</w:t>
            </w:r>
          </w:p>
        </w:tc>
        <w:tc>
          <w:tcPr>
            <w:tcW w:w="12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5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8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1"/>
              </w:rPr>
              <w:t>Weighted</w:t>
            </w:r>
          </w:p>
        </w:tc>
        <w:tc>
          <w:tcPr>
            <w:tcW w:w="1680" w:type="dxa"/>
            <w:vAlign w:val="bottom"/>
            <w:gridSpan w:val="2"/>
            <w:vMerge w:val="restart"/>
          </w:tcPr>
          <w:p>
            <w:pPr>
              <w:jc w:val="center"/>
              <w:ind w:right="460"/>
              <w:spacing w:after="0"/>
              <w:rPr>
                <w:sz w:val="20"/>
                <w:szCs w:val="20"/>
                <w:color w:val="auto"/>
              </w:rPr>
            </w:pPr>
            <w:r>
              <w:rPr>
                <w:rFonts w:ascii="Arial" w:cs="Arial" w:eastAsia="Arial" w:hAnsi="Arial"/>
                <w:sz w:val="14"/>
                <w:szCs w:val="14"/>
                <w:b w:val="1"/>
                <w:bCs w:val="1"/>
                <w:color w:val="auto"/>
                <w:w w:val="91"/>
              </w:rPr>
              <w:t>Weighted</w:t>
            </w:r>
          </w:p>
        </w:tc>
        <w:tc>
          <w:tcPr>
            <w:tcW w:w="1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0" w:type="dxa"/>
            <w:vAlign w:val="bottom"/>
            <w:gridSpan w:val="2"/>
          </w:tcPr>
          <w:p>
            <w:pPr>
              <w:jc w:val="center"/>
              <w:ind w:right="140"/>
              <w:spacing w:after="0" w:line="153" w:lineRule="exact"/>
              <w:rPr>
                <w:sz w:val="20"/>
                <w:szCs w:val="20"/>
                <w:color w:val="auto"/>
              </w:rPr>
            </w:pPr>
            <w:r>
              <w:rPr>
                <w:rFonts w:ascii="Arial" w:cs="Arial" w:eastAsia="Arial" w:hAnsi="Arial"/>
                <w:sz w:val="14"/>
                <w:szCs w:val="14"/>
                <w:b w:val="1"/>
                <w:bCs w:val="1"/>
                <w:color w:val="auto"/>
                <w:w w:val="91"/>
              </w:rPr>
              <w:t>Weighted</w:t>
            </w:r>
          </w:p>
        </w:tc>
        <w:tc>
          <w:tcPr>
            <w:tcW w:w="12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5"/>
              </w:rPr>
              <w:t>Weighted</w:t>
            </w:r>
          </w:p>
        </w:tc>
        <w:tc>
          <w:tcPr>
            <w:tcW w:w="0" w:type="dxa"/>
            <w:vAlign w:val="bottom"/>
          </w:tcPr>
          <w:p>
            <w:pPr>
              <w:spacing w:after="0"/>
              <w:rPr>
                <w:sz w:val="1"/>
                <w:szCs w:val="1"/>
                <w:color w:val="auto"/>
              </w:rPr>
            </w:pPr>
          </w:p>
        </w:tc>
      </w:tr>
      <w:tr>
        <w:trPr>
          <w:trHeight w:val="149"/>
        </w:trPr>
        <w:tc>
          <w:tcPr>
            <w:tcW w:w="25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Repurchase</w:t>
            </w:r>
          </w:p>
        </w:tc>
        <w:tc>
          <w:tcPr>
            <w:tcW w:w="13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68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Repurchase</w:t>
            </w:r>
          </w:p>
        </w:tc>
        <w:tc>
          <w:tcPr>
            <w:tcW w:w="140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0"/>
              </w:rPr>
              <w:t>Average</w:t>
            </w:r>
          </w:p>
        </w:tc>
        <w:tc>
          <w:tcPr>
            <w:tcW w:w="12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50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Remaining Maturity</w:t>
            </w:r>
          </w:p>
        </w:tc>
        <w:tc>
          <w:tcPr>
            <w:tcW w:w="460" w:type="dxa"/>
            <w:vAlign w:val="bottom"/>
            <w:vMerge w:val="restart"/>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3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Interest</w:t>
            </w:r>
          </w:p>
        </w:tc>
        <w:tc>
          <w:tcPr>
            <w:tcW w:w="168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90"/>
              </w:rPr>
              <w:t>Average Days</w:t>
            </w:r>
          </w:p>
        </w:tc>
        <w:tc>
          <w:tcPr>
            <w:tcW w:w="18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4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4"/>
              </w:rPr>
              <w:t>Interest</w:t>
            </w:r>
          </w:p>
        </w:tc>
        <w:tc>
          <w:tcPr>
            <w:tcW w:w="12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 Days</w:t>
            </w:r>
          </w:p>
        </w:tc>
        <w:tc>
          <w:tcPr>
            <w:tcW w:w="0" w:type="dxa"/>
            <w:vAlign w:val="bottom"/>
          </w:tcPr>
          <w:p>
            <w:pPr>
              <w:spacing w:after="0"/>
              <w:rPr>
                <w:sz w:val="1"/>
                <w:szCs w:val="1"/>
                <w:color w:val="auto"/>
              </w:rPr>
            </w:pPr>
          </w:p>
        </w:tc>
      </w:tr>
      <w:tr>
        <w:trPr>
          <w:trHeight w:val="192"/>
        </w:trPr>
        <w:tc>
          <w:tcPr>
            <w:tcW w:w="2500" w:type="dxa"/>
            <w:vAlign w:val="bottom"/>
            <w:tcBorders>
              <w:bottom w:val="single" w:sz="8" w:color="auto"/>
            </w:tcBorders>
            <w:vMerge w:val="continue"/>
          </w:tcPr>
          <w:p>
            <w:pPr>
              <w:spacing w:after="0"/>
              <w:rPr>
                <w:sz w:val="16"/>
                <w:szCs w:val="16"/>
                <w:color w:val="auto"/>
              </w:rPr>
            </w:pPr>
          </w:p>
        </w:tc>
        <w:tc>
          <w:tcPr>
            <w:tcW w:w="46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Agreements</w:t>
            </w:r>
          </w:p>
        </w:tc>
        <w:tc>
          <w:tcPr>
            <w:tcW w:w="120" w:type="dxa"/>
            <w:vAlign w:val="bottom"/>
            <w:tcBorders>
              <w:bottom w:val="single" w:sz="8" w:color="CCEEFF"/>
            </w:tcBorders>
          </w:tcPr>
          <w:p>
            <w:pPr>
              <w:spacing w:after="0"/>
              <w:rPr>
                <w:sz w:val="16"/>
                <w:szCs w:val="16"/>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Rate</w:t>
            </w:r>
          </w:p>
        </w:tc>
        <w:tc>
          <w:tcPr>
            <w:tcW w:w="10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to Maturity</w:t>
            </w:r>
          </w:p>
        </w:tc>
        <w:tc>
          <w:tcPr>
            <w:tcW w:w="44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Agreements</w:t>
            </w:r>
          </w:p>
        </w:tc>
        <w:tc>
          <w:tcPr>
            <w:tcW w:w="100" w:type="dxa"/>
            <w:vAlign w:val="bottom"/>
            <w:tcBorders>
              <w:bottom w:val="single" w:sz="8" w:color="CCEEFF"/>
            </w:tcBorders>
          </w:tcPr>
          <w:p>
            <w:pPr>
              <w:spacing w:after="0"/>
              <w:rPr>
                <w:sz w:val="16"/>
                <w:szCs w:val="16"/>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120" w:type="dxa"/>
            <w:vAlign w:val="bottom"/>
            <w:tcBorders>
              <w:bottom w:val="single" w:sz="8" w:color="CCEEFF"/>
            </w:tcBorders>
          </w:tcPr>
          <w:p>
            <w:pPr>
              <w:spacing w:after="0"/>
              <w:rPr>
                <w:sz w:val="16"/>
                <w:szCs w:val="16"/>
                <w:color w:val="auto"/>
              </w:rPr>
            </w:pP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to Maturity</w:t>
            </w:r>
          </w:p>
        </w:tc>
        <w:tc>
          <w:tcPr>
            <w:tcW w:w="0" w:type="dxa"/>
            <w:vAlign w:val="bottom"/>
          </w:tcPr>
          <w:p>
            <w:pPr>
              <w:spacing w:after="0"/>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Agency repo:</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2960" w:type="dxa"/>
            <w:vAlign w:val="bottom"/>
            <w:gridSpan w:val="2"/>
          </w:tcPr>
          <w:p>
            <w:pPr>
              <w:ind w:left="100"/>
              <w:spacing w:after="0"/>
              <w:rPr>
                <w:sz w:val="20"/>
                <w:szCs w:val="20"/>
                <w:color w:val="auto"/>
              </w:rPr>
            </w:pPr>
            <w:r>
              <w:rPr>
                <w:rFonts w:ascii="Arial" w:cs="Arial" w:eastAsia="Arial" w:hAnsi="Arial"/>
                <w:sz w:val="16"/>
                <w:szCs w:val="16"/>
                <w:color w:val="auto"/>
              </w:rPr>
              <w:t>≤ 1 month</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17,579</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0.54%</w:t>
            </w:r>
          </w:p>
        </w:tc>
        <w:tc>
          <w:tcPr>
            <w:tcW w:w="100" w:type="dxa"/>
            <w:vAlign w:val="bottom"/>
          </w:tcPr>
          <w:p>
            <w:pPr>
              <w:spacing w:after="0"/>
              <w:rPr>
                <w:sz w:val="20"/>
                <w:szCs w:val="20"/>
                <w:color w:val="auto"/>
              </w:rPr>
            </w:pPr>
          </w:p>
        </w:tc>
        <w:tc>
          <w:tcPr>
            <w:tcW w:w="1240" w:type="dxa"/>
            <w:vAlign w:val="bottom"/>
          </w:tcPr>
          <w:p>
            <w:pPr>
              <w:jc w:val="right"/>
              <w:ind w:right="41"/>
              <w:spacing w:after="0"/>
              <w:rPr>
                <w:sz w:val="20"/>
                <w:szCs w:val="20"/>
                <w:color w:val="auto"/>
              </w:rPr>
            </w:pPr>
            <w:r>
              <w:rPr>
                <w:rFonts w:ascii="Arial" w:cs="Arial" w:eastAsia="Arial" w:hAnsi="Arial"/>
                <w:sz w:val="16"/>
                <w:szCs w:val="16"/>
                <w:color w:val="auto"/>
              </w:rPr>
              <w:t>14</w:t>
            </w:r>
          </w:p>
        </w:tc>
        <w:tc>
          <w:tcPr>
            <w:tcW w:w="44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14,157</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0.37%</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15</w:t>
            </w:r>
          </w:p>
        </w:tc>
        <w:tc>
          <w:tcPr>
            <w:tcW w:w="0" w:type="dxa"/>
            <w:vAlign w:val="bottom"/>
          </w:tcPr>
          <w:p>
            <w:pPr>
              <w:spacing w:after="0"/>
              <w:rPr>
                <w:sz w:val="1"/>
                <w:szCs w:val="1"/>
                <w:color w:val="auto"/>
              </w:rPr>
            </w:pPr>
          </w:p>
        </w:tc>
      </w:tr>
      <w:tr>
        <w:trPr>
          <w:trHeight w:val="33"/>
        </w:trPr>
        <w:tc>
          <w:tcPr>
            <w:tcW w:w="25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100"/>
              <w:spacing w:after="0"/>
              <w:rPr>
                <w:sz w:val="20"/>
                <w:szCs w:val="20"/>
                <w:color w:val="auto"/>
              </w:rPr>
            </w:pPr>
            <w:r>
              <w:rPr>
                <w:rFonts w:ascii="Arial" w:cs="Arial" w:eastAsia="Arial" w:hAnsi="Arial"/>
                <w:sz w:val="16"/>
                <w:szCs w:val="16"/>
                <w:color w:val="auto"/>
              </w:rPr>
              <w:t>&gt; 1 to ≤ 3 months</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14,283</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0.64%</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58</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20,223</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0.38%</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61</w:t>
            </w:r>
          </w:p>
        </w:tc>
        <w:tc>
          <w:tcPr>
            <w:tcW w:w="0" w:type="dxa"/>
            <w:vAlign w:val="bottom"/>
          </w:tcPr>
          <w:p>
            <w:pPr>
              <w:spacing w:after="0"/>
              <w:rPr>
                <w:sz w:val="1"/>
                <w:szCs w:val="1"/>
                <w:color w:val="auto"/>
              </w:rPr>
            </w:pPr>
          </w:p>
        </w:tc>
      </w:tr>
      <w:tr>
        <w:trPr>
          <w:trHeight w:val="237"/>
        </w:trPr>
        <w:tc>
          <w:tcPr>
            <w:tcW w:w="2960" w:type="dxa"/>
            <w:vAlign w:val="bottom"/>
            <w:gridSpan w:val="2"/>
          </w:tcPr>
          <w:p>
            <w:pPr>
              <w:ind w:left="100"/>
              <w:spacing w:after="0"/>
              <w:rPr>
                <w:sz w:val="20"/>
                <w:szCs w:val="20"/>
                <w:color w:val="auto"/>
              </w:rPr>
            </w:pPr>
            <w:r>
              <w:rPr>
                <w:rFonts w:ascii="Arial" w:cs="Arial" w:eastAsia="Arial" w:hAnsi="Arial"/>
                <w:sz w:val="16"/>
                <w:szCs w:val="16"/>
                <w:color w:val="auto"/>
              </w:rPr>
              <w:t>&gt; 3 to ≤ 6 months</w:t>
            </w:r>
          </w:p>
        </w:tc>
        <w:tc>
          <w:tcPr>
            <w:tcW w:w="18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3,154</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0.61%</w:t>
            </w:r>
          </w:p>
        </w:tc>
        <w:tc>
          <w:tcPr>
            <w:tcW w:w="100" w:type="dxa"/>
            <w:vAlign w:val="bottom"/>
          </w:tcPr>
          <w:p>
            <w:pPr>
              <w:spacing w:after="0"/>
              <w:rPr>
                <w:sz w:val="20"/>
                <w:szCs w:val="20"/>
                <w:color w:val="auto"/>
              </w:rPr>
            </w:pPr>
          </w:p>
        </w:tc>
        <w:tc>
          <w:tcPr>
            <w:tcW w:w="1240" w:type="dxa"/>
            <w:vAlign w:val="bottom"/>
          </w:tcPr>
          <w:p>
            <w:pPr>
              <w:jc w:val="right"/>
              <w:ind w:right="41"/>
              <w:spacing w:after="0"/>
              <w:rPr>
                <w:sz w:val="20"/>
                <w:szCs w:val="20"/>
                <w:color w:val="auto"/>
              </w:rPr>
            </w:pPr>
            <w:r>
              <w:rPr>
                <w:rFonts w:ascii="Arial" w:cs="Arial" w:eastAsia="Arial" w:hAnsi="Arial"/>
                <w:sz w:val="16"/>
                <w:szCs w:val="16"/>
                <w:color w:val="auto"/>
              </w:rPr>
              <w:t>121</w:t>
            </w: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6,654</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0.42%</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120</w:t>
            </w:r>
          </w:p>
        </w:tc>
        <w:tc>
          <w:tcPr>
            <w:tcW w:w="0" w:type="dxa"/>
            <w:vAlign w:val="bottom"/>
          </w:tcPr>
          <w:p>
            <w:pPr>
              <w:spacing w:after="0"/>
              <w:rPr>
                <w:sz w:val="1"/>
                <w:szCs w:val="1"/>
                <w:color w:val="auto"/>
              </w:rPr>
            </w:pPr>
          </w:p>
        </w:tc>
      </w:tr>
      <w:tr>
        <w:trPr>
          <w:trHeight w:val="33"/>
        </w:trPr>
        <w:tc>
          <w:tcPr>
            <w:tcW w:w="25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100"/>
              <w:spacing w:after="0"/>
              <w:rPr>
                <w:sz w:val="20"/>
                <w:szCs w:val="20"/>
                <w:color w:val="auto"/>
              </w:rPr>
            </w:pPr>
            <w:r>
              <w:rPr>
                <w:rFonts w:ascii="Arial" w:cs="Arial" w:eastAsia="Arial" w:hAnsi="Arial"/>
                <w:sz w:val="16"/>
                <w:szCs w:val="16"/>
                <w:color w:val="auto"/>
              </w:rPr>
              <w:t>&gt; 6 to ≤ 9 months</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589</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0.65%</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199</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1,575</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0.50%</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225</w:t>
            </w:r>
          </w:p>
        </w:tc>
        <w:tc>
          <w:tcPr>
            <w:tcW w:w="0" w:type="dxa"/>
            <w:vAlign w:val="bottom"/>
          </w:tcPr>
          <w:p>
            <w:pPr>
              <w:spacing w:after="0"/>
              <w:rPr>
                <w:sz w:val="1"/>
                <w:szCs w:val="1"/>
                <w:color w:val="auto"/>
              </w:rPr>
            </w:pPr>
          </w:p>
        </w:tc>
      </w:tr>
      <w:tr>
        <w:trPr>
          <w:trHeight w:val="237"/>
        </w:trPr>
        <w:tc>
          <w:tcPr>
            <w:tcW w:w="2960" w:type="dxa"/>
            <w:vAlign w:val="bottom"/>
            <w:gridSpan w:val="2"/>
          </w:tcPr>
          <w:p>
            <w:pPr>
              <w:ind w:left="100"/>
              <w:spacing w:after="0"/>
              <w:rPr>
                <w:sz w:val="20"/>
                <w:szCs w:val="20"/>
                <w:color w:val="auto"/>
              </w:rPr>
            </w:pPr>
            <w:r>
              <w:rPr>
                <w:rFonts w:ascii="Arial" w:cs="Arial" w:eastAsia="Arial" w:hAnsi="Arial"/>
                <w:sz w:val="16"/>
                <w:szCs w:val="16"/>
                <w:color w:val="auto"/>
              </w:rPr>
              <w:t>&gt; 9 to ≤ 12 months</w:t>
            </w:r>
          </w:p>
        </w:tc>
        <w:tc>
          <w:tcPr>
            <w:tcW w:w="18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1,201</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0.65%</w:t>
            </w:r>
          </w:p>
        </w:tc>
        <w:tc>
          <w:tcPr>
            <w:tcW w:w="100" w:type="dxa"/>
            <w:vAlign w:val="bottom"/>
          </w:tcPr>
          <w:p>
            <w:pPr>
              <w:spacing w:after="0"/>
              <w:rPr>
                <w:sz w:val="20"/>
                <w:szCs w:val="20"/>
                <w:color w:val="auto"/>
              </w:rPr>
            </w:pPr>
          </w:p>
        </w:tc>
        <w:tc>
          <w:tcPr>
            <w:tcW w:w="1240" w:type="dxa"/>
            <w:vAlign w:val="bottom"/>
          </w:tcPr>
          <w:p>
            <w:pPr>
              <w:jc w:val="right"/>
              <w:ind w:right="41"/>
              <w:spacing w:after="0"/>
              <w:rPr>
                <w:sz w:val="20"/>
                <w:szCs w:val="20"/>
                <w:color w:val="auto"/>
              </w:rPr>
            </w:pPr>
            <w:r>
              <w:rPr>
                <w:rFonts w:ascii="Arial" w:cs="Arial" w:eastAsia="Arial" w:hAnsi="Arial"/>
                <w:sz w:val="16"/>
                <w:szCs w:val="16"/>
                <w:color w:val="auto"/>
              </w:rPr>
              <w:t>307</w:t>
            </w: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2,678</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0.54%</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313</w:t>
            </w:r>
          </w:p>
        </w:tc>
        <w:tc>
          <w:tcPr>
            <w:tcW w:w="0" w:type="dxa"/>
            <w:vAlign w:val="bottom"/>
          </w:tcPr>
          <w:p>
            <w:pPr>
              <w:spacing w:after="0"/>
              <w:rPr>
                <w:sz w:val="1"/>
                <w:szCs w:val="1"/>
                <w:color w:val="auto"/>
              </w:rPr>
            </w:pPr>
          </w:p>
        </w:tc>
      </w:tr>
      <w:tr>
        <w:trPr>
          <w:trHeight w:val="33"/>
        </w:trPr>
        <w:tc>
          <w:tcPr>
            <w:tcW w:w="25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100"/>
              <w:spacing w:after="0"/>
              <w:rPr>
                <w:sz w:val="20"/>
                <w:szCs w:val="20"/>
                <w:color w:val="auto"/>
              </w:rPr>
            </w:pPr>
            <w:r>
              <w:rPr>
                <w:rFonts w:ascii="Arial" w:cs="Arial" w:eastAsia="Arial" w:hAnsi="Arial"/>
                <w:sz w:val="16"/>
                <w:szCs w:val="16"/>
                <w:color w:val="auto"/>
              </w:rPr>
              <w:t>&gt; 12 to ≤ 24 months</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1,473</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0.73%</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600</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600</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0.57%</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551</w:t>
            </w:r>
          </w:p>
        </w:tc>
        <w:tc>
          <w:tcPr>
            <w:tcW w:w="0" w:type="dxa"/>
            <w:vAlign w:val="bottom"/>
          </w:tcPr>
          <w:p>
            <w:pPr>
              <w:spacing w:after="0"/>
              <w:rPr>
                <w:sz w:val="1"/>
                <w:szCs w:val="1"/>
                <w:color w:val="auto"/>
              </w:rPr>
            </w:pPr>
          </w:p>
        </w:tc>
      </w:tr>
      <w:tr>
        <w:trPr>
          <w:trHeight w:val="237"/>
        </w:trPr>
        <w:tc>
          <w:tcPr>
            <w:tcW w:w="2960" w:type="dxa"/>
            <w:vAlign w:val="bottom"/>
            <w:gridSpan w:val="2"/>
          </w:tcPr>
          <w:p>
            <w:pPr>
              <w:ind w:left="100"/>
              <w:spacing w:after="0"/>
              <w:rPr>
                <w:sz w:val="20"/>
                <w:szCs w:val="20"/>
                <w:color w:val="auto"/>
              </w:rPr>
            </w:pPr>
            <w:r>
              <w:rPr>
                <w:rFonts w:ascii="Arial" w:cs="Arial" w:eastAsia="Arial" w:hAnsi="Arial"/>
                <w:sz w:val="16"/>
                <w:szCs w:val="16"/>
                <w:color w:val="auto"/>
              </w:rPr>
              <w:t>&gt; 24 to ≤ 36 months</w:t>
            </w:r>
          </w:p>
        </w:tc>
        <w:tc>
          <w:tcPr>
            <w:tcW w:w="18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650</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0.81%</w:t>
            </w:r>
          </w:p>
        </w:tc>
        <w:tc>
          <w:tcPr>
            <w:tcW w:w="100" w:type="dxa"/>
            <w:vAlign w:val="bottom"/>
          </w:tcPr>
          <w:p>
            <w:pPr>
              <w:spacing w:after="0"/>
              <w:rPr>
                <w:sz w:val="20"/>
                <w:szCs w:val="20"/>
                <w:color w:val="auto"/>
              </w:rPr>
            </w:pPr>
          </w:p>
        </w:tc>
        <w:tc>
          <w:tcPr>
            <w:tcW w:w="1240" w:type="dxa"/>
            <w:vAlign w:val="bottom"/>
          </w:tcPr>
          <w:p>
            <w:pPr>
              <w:jc w:val="right"/>
              <w:ind w:right="41"/>
              <w:spacing w:after="0"/>
              <w:rPr>
                <w:sz w:val="20"/>
                <w:szCs w:val="20"/>
                <w:color w:val="auto"/>
              </w:rPr>
            </w:pPr>
            <w:r>
              <w:rPr>
                <w:rFonts w:ascii="Arial" w:cs="Arial" w:eastAsia="Arial" w:hAnsi="Arial"/>
                <w:sz w:val="16"/>
                <w:szCs w:val="16"/>
                <w:color w:val="auto"/>
              </w:rPr>
              <w:t>901</w:t>
            </w: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952</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0.60%</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999</w:t>
            </w:r>
          </w:p>
        </w:tc>
        <w:tc>
          <w:tcPr>
            <w:tcW w:w="0" w:type="dxa"/>
            <w:vAlign w:val="bottom"/>
          </w:tcPr>
          <w:p>
            <w:pPr>
              <w:spacing w:after="0"/>
              <w:rPr>
                <w:sz w:val="1"/>
                <w:szCs w:val="1"/>
                <w:color w:val="auto"/>
              </w:rPr>
            </w:pPr>
          </w:p>
        </w:tc>
      </w:tr>
      <w:tr>
        <w:trPr>
          <w:trHeight w:val="33"/>
        </w:trPr>
        <w:tc>
          <w:tcPr>
            <w:tcW w:w="25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100"/>
              <w:spacing w:after="0"/>
              <w:rPr>
                <w:sz w:val="20"/>
                <w:szCs w:val="20"/>
                <w:color w:val="auto"/>
              </w:rPr>
            </w:pPr>
            <w:r>
              <w:rPr>
                <w:rFonts w:ascii="Arial" w:cs="Arial" w:eastAsia="Arial" w:hAnsi="Arial"/>
                <w:sz w:val="16"/>
                <w:szCs w:val="16"/>
                <w:color w:val="auto"/>
              </w:rPr>
              <w:t>&gt; 36 to ≤ 48 months</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1,300</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0.86%</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1,231</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650</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0.64%</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1,266</w:t>
            </w:r>
          </w:p>
        </w:tc>
        <w:tc>
          <w:tcPr>
            <w:tcW w:w="0" w:type="dxa"/>
            <w:vAlign w:val="bottom"/>
          </w:tcPr>
          <w:p>
            <w:pPr>
              <w:spacing w:after="0"/>
              <w:rPr>
                <w:sz w:val="1"/>
                <w:szCs w:val="1"/>
                <w:color w:val="auto"/>
              </w:rPr>
            </w:pPr>
          </w:p>
        </w:tc>
      </w:tr>
      <w:tr>
        <w:trPr>
          <w:trHeight w:val="237"/>
        </w:trPr>
        <w:tc>
          <w:tcPr>
            <w:tcW w:w="2960" w:type="dxa"/>
            <w:vAlign w:val="bottom"/>
            <w:gridSpan w:val="2"/>
          </w:tcPr>
          <w:p>
            <w:pPr>
              <w:ind w:left="100"/>
              <w:spacing w:after="0"/>
              <w:rPr>
                <w:sz w:val="20"/>
                <w:szCs w:val="20"/>
                <w:color w:val="auto"/>
              </w:rPr>
            </w:pPr>
            <w:r>
              <w:rPr>
                <w:rFonts w:ascii="Arial" w:cs="Arial" w:eastAsia="Arial" w:hAnsi="Arial"/>
                <w:sz w:val="16"/>
                <w:szCs w:val="16"/>
                <w:color w:val="auto"/>
              </w:rPr>
              <w:t>&gt; 48 to &lt; 60 months</w:t>
            </w:r>
          </w:p>
        </w:tc>
        <w:tc>
          <w:tcPr>
            <w:tcW w:w="18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1,500</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0.76%</w:t>
            </w:r>
          </w:p>
        </w:tc>
        <w:tc>
          <w:tcPr>
            <w:tcW w:w="100" w:type="dxa"/>
            <w:vAlign w:val="bottom"/>
          </w:tcPr>
          <w:p>
            <w:pPr>
              <w:spacing w:after="0"/>
              <w:rPr>
                <w:sz w:val="20"/>
                <w:szCs w:val="20"/>
                <w:color w:val="auto"/>
              </w:rPr>
            </w:pPr>
          </w:p>
        </w:tc>
        <w:tc>
          <w:tcPr>
            <w:tcW w:w="1240" w:type="dxa"/>
            <w:vAlign w:val="bottom"/>
          </w:tcPr>
          <w:p>
            <w:pPr>
              <w:jc w:val="right"/>
              <w:ind w:right="41"/>
              <w:spacing w:after="0"/>
              <w:rPr>
                <w:sz w:val="20"/>
                <w:szCs w:val="20"/>
                <w:color w:val="auto"/>
              </w:rPr>
            </w:pPr>
            <w:r>
              <w:rPr>
                <w:rFonts w:ascii="Arial" w:cs="Arial" w:eastAsia="Arial" w:hAnsi="Arial"/>
                <w:sz w:val="16"/>
                <w:szCs w:val="16"/>
                <w:color w:val="auto"/>
              </w:rPr>
              <w:t>1,477</w:t>
            </w: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900</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0.68%</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1,542</w:t>
            </w:r>
          </w:p>
        </w:tc>
        <w:tc>
          <w:tcPr>
            <w:tcW w:w="0" w:type="dxa"/>
            <w:vAlign w:val="bottom"/>
          </w:tcPr>
          <w:p>
            <w:pPr>
              <w:spacing w:after="0"/>
              <w:rPr>
                <w:sz w:val="1"/>
                <w:szCs w:val="1"/>
                <w:color w:val="auto"/>
              </w:rPr>
            </w:pPr>
          </w:p>
        </w:tc>
      </w:tr>
      <w:tr>
        <w:trPr>
          <w:trHeight w:val="33"/>
        </w:trPr>
        <w:tc>
          <w:tcPr>
            <w:tcW w:w="2500" w:type="dxa"/>
            <w:vAlign w:val="bottom"/>
            <w:tcBorders>
              <w:bottom w:val="single" w:sz="8" w:color="CCEEFF"/>
            </w:tcBorders>
          </w:tcPr>
          <w:p>
            <w:pPr>
              <w:spacing w:after="0"/>
              <w:rPr>
                <w:sz w:val="2"/>
                <w:szCs w:val="2"/>
                <w:color w:val="auto"/>
              </w:rPr>
            </w:pPr>
          </w:p>
        </w:tc>
        <w:tc>
          <w:tcPr>
            <w:tcW w:w="46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4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6"/>
                <w:szCs w:val="16"/>
                <w:color w:val="auto"/>
              </w:rPr>
              <w:t>Total agency repo</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41,729</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0.61%</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173</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48,389</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0.41%</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143</w:t>
            </w:r>
          </w:p>
        </w:tc>
        <w:tc>
          <w:tcPr>
            <w:tcW w:w="0" w:type="dxa"/>
            <w:vAlign w:val="bottom"/>
          </w:tcPr>
          <w:p>
            <w:pPr>
              <w:spacing w:after="0"/>
              <w:rPr>
                <w:sz w:val="1"/>
                <w:szCs w:val="1"/>
                <w:color w:val="auto"/>
              </w:rPr>
            </w:pPr>
          </w:p>
        </w:tc>
      </w:tr>
      <w:tr>
        <w:trPr>
          <w:trHeight w:val="231"/>
        </w:trPr>
        <w:tc>
          <w:tcPr>
            <w:tcW w:w="2960" w:type="dxa"/>
            <w:vAlign w:val="bottom"/>
            <w:gridSpan w:val="2"/>
          </w:tcPr>
          <w:p>
            <w:pPr>
              <w:ind w:left="20"/>
              <w:spacing w:after="0"/>
              <w:rPr>
                <w:sz w:val="20"/>
                <w:szCs w:val="20"/>
                <w:color w:val="auto"/>
              </w:rPr>
            </w:pPr>
            <w:r>
              <w:rPr>
                <w:rFonts w:ascii="Arial" w:cs="Arial" w:eastAsia="Arial" w:hAnsi="Arial"/>
                <w:sz w:val="16"/>
                <w:szCs w:val="16"/>
                <w:color w:val="auto"/>
              </w:rPr>
              <w:t>U.S. Treasury repo:</w:t>
            </w:r>
          </w:p>
        </w:tc>
        <w:tc>
          <w:tcPr>
            <w:tcW w:w="18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2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tcBorders>
              <w:top w:val="single" w:sz="8" w:color="auto"/>
            </w:tcBorders>
          </w:tcPr>
          <w:p>
            <w:pPr>
              <w:spacing w:after="0"/>
              <w:rPr>
                <w:sz w:val="20"/>
                <w:szCs w:val="20"/>
                <w:color w:val="auto"/>
              </w:rPr>
            </w:pPr>
          </w:p>
        </w:tc>
        <w:tc>
          <w:tcPr>
            <w:tcW w:w="44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25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960" w:type="dxa"/>
            <w:vAlign w:val="bottom"/>
            <w:tcBorders>
              <w:bottom w:val="single" w:sz="8" w:color="CCEEFF"/>
            </w:tcBorders>
            <w:gridSpan w:val="2"/>
            <w:shd w:val="clear" w:color="auto" w:fill="CCEEFF"/>
          </w:tcPr>
          <w:p>
            <w:pPr>
              <w:ind w:left="100"/>
              <w:spacing w:after="0"/>
              <w:rPr>
                <w:sz w:val="20"/>
                <w:szCs w:val="20"/>
                <w:color w:val="auto"/>
              </w:rPr>
            </w:pPr>
            <w:r>
              <w:rPr>
                <w:rFonts w:ascii="Arial" w:cs="Arial" w:eastAsia="Arial" w:hAnsi="Arial"/>
                <w:sz w:val="16"/>
                <w:szCs w:val="16"/>
                <w:color w:val="auto"/>
              </w:rPr>
              <w:t>1 day</w:t>
            </w:r>
          </w:p>
        </w:tc>
        <w:tc>
          <w:tcPr>
            <w:tcW w:w="18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25</w:t>
            </w:r>
          </w:p>
        </w:tc>
        <w:tc>
          <w:tcPr>
            <w:tcW w:w="1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w:t>
            </w:r>
          </w:p>
        </w:tc>
        <w:tc>
          <w:tcPr>
            <w:tcW w:w="44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1,907</w:t>
            </w:r>
          </w:p>
        </w:tc>
        <w:tc>
          <w:tcPr>
            <w:tcW w:w="10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0.09%</w:t>
            </w:r>
          </w:p>
        </w:tc>
        <w:tc>
          <w:tcPr>
            <w:tcW w:w="12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44"/>
        </w:trPr>
        <w:tc>
          <w:tcPr>
            <w:tcW w:w="2960" w:type="dxa"/>
            <w:vAlign w:val="bottom"/>
            <w:gridSpan w:val="2"/>
          </w:tcPr>
          <w:p>
            <w:pPr>
              <w:ind w:left="20"/>
              <w:spacing w:after="0"/>
              <w:rPr>
                <w:sz w:val="20"/>
                <w:szCs w:val="20"/>
                <w:color w:val="auto"/>
              </w:rPr>
            </w:pPr>
            <w:r>
              <w:rPr>
                <w:rFonts w:ascii="Arial" w:cs="Arial" w:eastAsia="Arial" w:hAnsi="Arial"/>
                <w:sz w:val="16"/>
                <w:szCs w:val="16"/>
                <w:color w:val="auto"/>
              </w:rPr>
              <w:t>Total</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41,754</w:t>
            </w:r>
          </w:p>
        </w:tc>
        <w:tc>
          <w:tcPr>
            <w:tcW w:w="120" w:type="dxa"/>
            <w:vAlign w:val="bottom"/>
          </w:tcPr>
          <w:p>
            <w:pPr>
              <w:spacing w:after="0"/>
              <w:rPr>
                <w:sz w:val="21"/>
                <w:szCs w:val="21"/>
                <w:color w:val="auto"/>
              </w:rPr>
            </w:pP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0.61%</w:t>
            </w:r>
          </w:p>
        </w:tc>
        <w:tc>
          <w:tcPr>
            <w:tcW w:w="100" w:type="dxa"/>
            <w:vAlign w:val="bottom"/>
          </w:tcPr>
          <w:p>
            <w:pPr>
              <w:spacing w:after="0"/>
              <w:rPr>
                <w:sz w:val="21"/>
                <w:szCs w:val="21"/>
                <w:color w:val="auto"/>
              </w:rPr>
            </w:pPr>
          </w:p>
        </w:tc>
        <w:tc>
          <w:tcPr>
            <w:tcW w:w="124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173</w:t>
            </w:r>
          </w:p>
        </w:tc>
        <w:tc>
          <w:tcPr>
            <w:tcW w:w="440" w:type="dxa"/>
            <w:vAlign w:val="bottom"/>
          </w:tcPr>
          <w:p>
            <w:pPr>
              <w:spacing w:after="0"/>
              <w:rPr>
                <w:sz w:val="21"/>
                <w:szCs w:val="21"/>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50,296</w:t>
            </w:r>
          </w:p>
        </w:tc>
        <w:tc>
          <w:tcPr>
            <w:tcW w:w="100" w:type="dxa"/>
            <w:vAlign w:val="bottom"/>
          </w:tcPr>
          <w:p>
            <w:pPr>
              <w:spacing w:after="0"/>
              <w:rPr>
                <w:sz w:val="21"/>
                <w:szCs w:val="21"/>
                <w:color w:val="auto"/>
              </w:rPr>
            </w:pP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0.40%</w:t>
            </w:r>
          </w:p>
        </w:tc>
        <w:tc>
          <w:tcPr>
            <w:tcW w:w="120" w:type="dxa"/>
            <w:vAlign w:val="bottom"/>
          </w:tcPr>
          <w:p>
            <w:pPr>
              <w:spacing w:after="0"/>
              <w:rPr>
                <w:sz w:val="21"/>
                <w:szCs w:val="21"/>
                <w:color w:val="auto"/>
              </w:rPr>
            </w:pPr>
          </w:p>
        </w:tc>
        <w:tc>
          <w:tcPr>
            <w:tcW w:w="122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138</w:t>
            </w:r>
          </w:p>
        </w:tc>
        <w:tc>
          <w:tcPr>
            <w:tcW w:w="0" w:type="dxa"/>
            <w:vAlign w:val="bottom"/>
          </w:tcPr>
          <w:p>
            <w:pPr>
              <w:spacing w:after="0"/>
              <w:rPr>
                <w:sz w:val="1"/>
                <w:szCs w:val="1"/>
                <w:color w:val="auto"/>
              </w:rPr>
            </w:pPr>
          </w:p>
        </w:tc>
      </w:tr>
      <w:tr>
        <w:trPr>
          <w:trHeight w:val="20"/>
        </w:trPr>
        <w:tc>
          <w:tcPr>
            <w:tcW w:w="25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Federal Home Loan Bank Advances</w:t>
      </w:r>
    </w:p>
    <w:p>
      <w:pPr>
        <w:spacing w:after="0" w:line="171"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As of December 31, 2015, we had $3.8 billion of outstanding secured FHLB advances, with a weighted average borrowing rate of 0.53% and a weighted average remaining term to maturity of 141 days through February 2017 (the termination date of our FHLB membership), consisting of 30 day and longer-term floating rate advances:</w:t>
      </w: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5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980" w:type="dxa"/>
            <w:vAlign w:val="bottom"/>
            <w:tcBorders>
              <w:bottom w:val="single" w:sz="8" w:color="auto"/>
            </w:tcBorders>
            <w:gridSpan w:val="2"/>
          </w:tcPr>
          <w:p>
            <w:pPr>
              <w:jc w:val="center"/>
              <w:ind w:right="100"/>
              <w:spacing w:after="0"/>
              <w:rPr>
                <w:sz w:val="20"/>
                <w:szCs w:val="20"/>
                <w:color w:val="auto"/>
              </w:rPr>
            </w:pPr>
            <w:r>
              <w:rPr>
                <w:rFonts w:ascii="Arial" w:cs="Arial" w:eastAsia="Arial" w:hAnsi="Arial"/>
                <w:sz w:val="14"/>
                <w:szCs w:val="14"/>
                <w:b w:val="1"/>
                <w:bCs w:val="1"/>
                <w:color w:val="auto"/>
                <w:w w:val="91"/>
              </w:rPr>
              <w:t>December 31, 2015</w:t>
            </w:r>
          </w:p>
        </w:tc>
        <w:tc>
          <w:tcPr>
            <w:tcW w:w="18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562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Remaining Maturity</w:t>
            </w:r>
          </w:p>
        </w:tc>
        <w:tc>
          <w:tcPr>
            <w:tcW w:w="100" w:type="dxa"/>
            <w:vAlign w:val="bottom"/>
            <w:vMerge w:val="restart"/>
          </w:tcPr>
          <w:p>
            <w:pPr>
              <w:spacing w:after="0"/>
              <w:rPr>
                <w:sz w:val="13"/>
                <w:szCs w:val="13"/>
                <w:color w:val="auto"/>
              </w:rPr>
            </w:pPr>
          </w:p>
        </w:tc>
        <w:tc>
          <w:tcPr>
            <w:tcW w:w="260" w:type="dxa"/>
            <w:vAlign w:val="bottom"/>
          </w:tcPr>
          <w:p>
            <w:pPr>
              <w:spacing w:after="0"/>
              <w:rPr>
                <w:sz w:val="13"/>
                <w:szCs w:val="13"/>
                <w:color w:val="auto"/>
              </w:rPr>
            </w:pPr>
          </w:p>
        </w:tc>
        <w:tc>
          <w:tcPr>
            <w:tcW w:w="1560" w:type="dxa"/>
            <w:vAlign w:val="bottom"/>
            <w:vMerge w:val="restart"/>
          </w:tcPr>
          <w:p>
            <w:pPr>
              <w:jc w:val="right"/>
              <w:ind w:right="321"/>
              <w:spacing w:after="0"/>
              <w:rPr>
                <w:sz w:val="20"/>
                <w:szCs w:val="20"/>
                <w:color w:val="auto"/>
              </w:rPr>
            </w:pPr>
            <w:r>
              <w:rPr>
                <w:rFonts w:ascii="Arial" w:cs="Arial" w:eastAsia="Arial" w:hAnsi="Arial"/>
                <w:sz w:val="14"/>
                <w:szCs w:val="14"/>
                <w:b w:val="1"/>
                <w:bCs w:val="1"/>
                <w:color w:val="auto"/>
              </w:rPr>
              <w:t>FHLB Advances</w:t>
            </w:r>
          </w:p>
        </w:tc>
        <w:tc>
          <w:tcPr>
            <w:tcW w:w="100" w:type="dxa"/>
            <w:vAlign w:val="bottom"/>
            <w:vMerge w:val="restart"/>
          </w:tcPr>
          <w:p>
            <w:pPr>
              <w:spacing w:after="0"/>
              <w:rPr>
                <w:sz w:val="13"/>
                <w:szCs w:val="13"/>
                <w:color w:val="auto"/>
              </w:rPr>
            </w:pPr>
          </w:p>
        </w:tc>
        <w:tc>
          <w:tcPr>
            <w:tcW w:w="198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1"/>
              </w:rPr>
              <w:t>Weighted Average</w:t>
            </w:r>
          </w:p>
        </w:tc>
        <w:tc>
          <w:tcPr>
            <w:tcW w:w="1800" w:type="dxa"/>
            <w:vAlign w:val="bottom"/>
          </w:tcPr>
          <w:p>
            <w:pPr>
              <w:jc w:val="right"/>
              <w:ind w:right="282"/>
              <w:spacing w:after="0" w:line="153" w:lineRule="exact"/>
              <w:rPr>
                <w:sz w:val="20"/>
                <w:szCs w:val="20"/>
                <w:color w:val="auto"/>
              </w:rPr>
            </w:pPr>
            <w:r>
              <w:rPr>
                <w:rFonts w:ascii="Arial" w:cs="Arial" w:eastAsia="Arial" w:hAnsi="Arial"/>
                <w:sz w:val="14"/>
                <w:szCs w:val="14"/>
                <w:b w:val="1"/>
                <w:bCs w:val="1"/>
                <w:color w:val="auto"/>
              </w:rPr>
              <w:t>Weighted Average</w:t>
            </w:r>
          </w:p>
        </w:tc>
        <w:tc>
          <w:tcPr>
            <w:tcW w:w="0" w:type="dxa"/>
            <w:vAlign w:val="bottom"/>
          </w:tcPr>
          <w:p>
            <w:pPr>
              <w:spacing w:after="0"/>
              <w:rPr>
                <w:sz w:val="1"/>
                <w:szCs w:val="1"/>
                <w:color w:val="auto"/>
              </w:rPr>
            </w:pPr>
          </w:p>
        </w:tc>
      </w:tr>
      <w:tr>
        <w:trPr>
          <w:trHeight w:val="192"/>
        </w:trPr>
        <w:tc>
          <w:tcPr>
            <w:tcW w:w="56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5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8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Interest Rate</w:t>
            </w:r>
          </w:p>
        </w:tc>
        <w:tc>
          <w:tcPr>
            <w:tcW w:w="120" w:type="dxa"/>
            <w:vAlign w:val="bottom"/>
            <w:tcBorders>
              <w:bottom w:val="single" w:sz="8" w:color="CCEEFF"/>
            </w:tcBorders>
          </w:tcPr>
          <w:p>
            <w:pPr>
              <w:spacing w:after="0"/>
              <w:rPr>
                <w:sz w:val="16"/>
                <w:szCs w:val="16"/>
                <w:color w:val="auto"/>
              </w:rPr>
            </w:pPr>
          </w:p>
        </w:tc>
        <w:tc>
          <w:tcPr>
            <w:tcW w:w="1800" w:type="dxa"/>
            <w:vAlign w:val="bottom"/>
            <w:tcBorders>
              <w:bottom w:val="single" w:sz="8" w:color="auto"/>
            </w:tcBorders>
          </w:tcPr>
          <w:p>
            <w:pPr>
              <w:jc w:val="right"/>
              <w:ind w:right="302"/>
              <w:spacing w:after="0"/>
              <w:rPr>
                <w:sz w:val="20"/>
                <w:szCs w:val="20"/>
                <w:color w:val="auto"/>
              </w:rPr>
            </w:pPr>
            <w:r>
              <w:rPr>
                <w:rFonts w:ascii="Arial" w:cs="Arial" w:eastAsia="Arial" w:hAnsi="Arial"/>
                <w:sz w:val="14"/>
                <w:szCs w:val="14"/>
                <w:b w:val="1"/>
                <w:bCs w:val="1"/>
                <w:color w:val="auto"/>
              </w:rPr>
              <w:t>Days to Maturity</w:t>
            </w:r>
          </w:p>
        </w:tc>
        <w:tc>
          <w:tcPr>
            <w:tcW w:w="0" w:type="dxa"/>
            <w:vAlign w:val="bottom"/>
          </w:tcPr>
          <w:p>
            <w:pPr>
              <w:spacing w:after="0"/>
              <w:rPr>
                <w:sz w:val="1"/>
                <w:szCs w:val="1"/>
                <w:color w:val="auto"/>
              </w:rPr>
            </w:pPr>
          </w:p>
        </w:tc>
      </w:tr>
      <w:tr>
        <w:trPr>
          <w:trHeight w:val="236"/>
        </w:trPr>
        <w:tc>
          <w:tcPr>
            <w:tcW w:w="572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6"/>
                <w:szCs w:val="16"/>
                <w:color w:val="auto"/>
              </w:rPr>
              <w:t>≤ 1 month</w:t>
            </w:r>
          </w:p>
        </w:tc>
        <w:tc>
          <w:tcPr>
            <w:tcW w:w="2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15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1,952</w:t>
            </w:r>
          </w:p>
        </w:tc>
        <w:tc>
          <w:tcPr>
            <w:tcW w:w="100" w:type="dxa"/>
            <w:vAlign w:val="bottom"/>
            <w:tcBorders>
              <w:bottom w:val="single" w:sz="8" w:color="CCEEFF"/>
            </w:tcBorders>
            <w:shd w:val="clear" w:color="auto" w:fill="CCEEFF"/>
          </w:tcPr>
          <w:p>
            <w:pPr>
              <w:spacing w:after="0"/>
              <w:rPr>
                <w:sz w:val="20"/>
                <w:szCs w:val="20"/>
                <w:color w:val="auto"/>
              </w:rPr>
            </w:pPr>
          </w:p>
        </w:tc>
        <w:tc>
          <w:tcPr>
            <w:tcW w:w="1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0.47%</w:t>
            </w:r>
          </w:p>
        </w:tc>
        <w:tc>
          <w:tcPr>
            <w:tcW w:w="120" w:type="dxa"/>
            <w:vAlign w:val="bottom"/>
            <w:tcBorders>
              <w:bottom w:val="single" w:sz="8" w:color="CCEEFF"/>
            </w:tcBorders>
            <w:shd w:val="clear" w:color="auto" w:fill="CCEEFF"/>
          </w:tcPr>
          <w:p>
            <w:pPr>
              <w:spacing w:after="0"/>
              <w:rPr>
                <w:sz w:val="20"/>
                <w:szCs w:val="20"/>
                <w:color w:val="auto"/>
              </w:rPr>
            </w:pPr>
          </w:p>
        </w:tc>
        <w:tc>
          <w:tcPr>
            <w:tcW w:w="18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14</w:t>
            </w:r>
          </w:p>
        </w:tc>
        <w:tc>
          <w:tcPr>
            <w:tcW w:w="0" w:type="dxa"/>
            <w:vAlign w:val="bottom"/>
          </w:tcPr>
          <w:p>
            <w:pPr>
              <w:spacing w:after="0"/>
              <w:rPr>
                <w:sz w:val="1"/>
                <w:szCs w:val="1"/>
                <w:color w:val="auto"/>
              </w:rPr>
            </w:pPr>
          </w:p>
        </w:tc>
      </w:tr>
      <w:tr>
        <w:trPr>
          <w:trHeight w:val="237"/>
        </w:trPr>
        <w:tc>
          <w:tcPr>
            <w:tcW w:w="5720" w:type="dxa"/>
            <w:vAlign w:val="bottom"/>
            <w:gridSpan w:val="2"/>
          </w:tcPr>
          <w:p>
            <w:pPr>
              <w:ind w:left="120"/>
              <w:spacing w:after="0"/>
              <w:rPr>
                <w:sz w:val="20"/>
                <w:szCs w:val="20"/>
                <w:color w:val="auto"/>
              </w:rPr>
            </w:pPr>
            <w:r>
              <w:rPr>
                <w:rFonts w:ascii="Arial" w:cs="Arial" w:eastAsia="Arial" w:hAnsi="Arial"/>
                <w:sz w:val="16"/>
                <w:szCs w:val="16"/>
                <w:color w:val="auto"/>
              </w:rPr>
              <w:t>&gt; 1 to ≤ 3 months</w:t>
            </w:r>
          </w:p>
        </w:tc>
        <w:tc>
          <w:tcPr>
            <w:tcW w:w="260" w:type="dxa"/>
            <w:vAlign w:val="bottom"/>
          </w:tcPr>
          <w:p>
            <w:pPr>
              <w:spacing w:after="0"/>
              <w:rPr>
                <w:sz w:val="20"/>
                <w:szCs w:val="20"/>
                <w:color w:val="auto"/>
              </w:rPr>
            </w:pPr>
          </w:p>
        </w:tc>
        <w:tc>
          <w:tcPr>
            <w:tcW w:w="1560" w:type="dxa"/>
            <w:vAlign w:val="bottom"/>
          </w:tcPr>
          <w:p>
            <w:pPr>
              <w:jc w:val="right"/>
              <w:ind w:right="41"/>
              <w:spacing w:after="0"/>
              <w:rPr>
                <w:sz w:val="20"/>
                <w:szCs w:val="20"/>
                <w:color w:val="auto"/>
              </w:rPr>
            </w:pPr>
            <w:r>
              <w:rPr>
                <w:rFonts w:ascii="Arial" w:cs="Arial" w:eastAsia="Arial" w:hAnsi="Arial"/>
                <w:sz w:val="16"/>
                <w:szCs w:val="16"/>
                <w:color w:val="auto"/>
              </w:rPr>
              <w:t>681</w:t>
            </w:r>
          </w:p>
        </w:tc>
        <w:tc>
          <w:tcPr>
            <w:tcW w:w="100" w:type="dxa"/>
            <w:vAlign w:val="bottom"/>
          </w:tcPr>
          <w:p>
            <w:pPr>
              <w:spacing w:after="0"/>
              <w:rPr>
                <w:sz w:val="20"/>
                <w:szCs w:val="20"/>
                <w:color w:val="auto"/>
              </w:rPr>
            </w:pPr>
          </w:p>
        </w:tc>
        <w:tc>
          <w:tcPr>
            <w:tcW w:w="1860" w:type="dxa"/>
            <w:vAlign w:val="bottom"/>
          </w:tcPr>
          <w:p>
            <w:pPr>
              <w:jc w:val="right"/>
              <w:spacing w:after="0"/>
              <w:rPr>
                <w:sz w:val="20"/>
                <w:szCs w:val="20"/>
                <w:color w:val="auto"/>
              </w:rPr>
            </w:pPr>
            <w:r>
              <w:rPr>
                <w:rFonts w:ascii="Arial" w:cs="Arial" w:eastAsia="Arial" w:hAnsi="Arial"/>
                <w:sz w:val="16"/>
                <w:szCs w:val="16"/>
                <w:color w:val="auto"/>
              </w:rPr>
              <w:t>0.60%</w:t>
            </w:r>
          </w:p>
        </w:tc>
        <w:tc>
          <w:tcPr>
            <w:tcW w:w="120" w:type="dxa"/>
            <w:vAlign w:val="bottom"/>
          </w:tcPr>
          <w:p>
            <w:pPr>
              <w:spacing w:after="0"/>
              <w:rPr>
                <w:sz w:val="20"/>
                <w:szCs w:val="20"/>
                <w:color w:val="auto"/>
              </w:rPr>
            </w:pPr>
          </w:p>
        </w:tc>
        <w:tc>
          <w:tcPr>
            <w:tcW w:w="1800" w:type="dxa"/>
            <w:vAlign w:val="bottom"/>
          </w:tcPr>
          <w:p>
            <w:pPr>
              <w:jc w:val="right"/>
              <w:ind w:right="22"/>
              <w:spacing w:after="0"/>
              <w:rPr>
                <w:sz w:val="20"/>
                <w:szCs w:val="20"/>
                <w:color w:val="auto"/>
              </w:rPr>
            </w:pPr>
            <w:r>
              <w:rPr>
                <w:rFonts w:ascii="Arial" w:cs="Arial" w:eastAsia="Arial" w:hAnsi="Arial"/>
                <w:sz w:val="16"/>
                <w:szCs w:val="16"/>
                <w:color w:val="auto"/>
              </w:rPr>
              <w:t>84</w:t>
            </w:r>
          </w:p>
        </w:tc>
        <w:tc>
          <w:tcPr>
            <w:tcW w:w="0" w:type="dxa"/>
            <w:vAlign w:val="bottom"/>
          </w:tcPr>
          <w:p>
            <w:pPr>
              <w:spacing w:after="0"/>
              <w:rPr>
                <w:sz w:val="1"/>
                <w:szCs w:val="1"/>
                <w:color w:val="auto"/>
              </w:rPr>
            </w:pPr>
          </w:p>
        </w:tc>
      </w:tr>
      <w:tr>
        <w:trPr>
          <w:trHeight w:val="33"/>
        </w:trPr>
        <w:tc>
          <w:tcPr>
            <w:tcW w:w="5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72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 xml:space="preserve">13 months </w:t>
            </w:r>
            <w:r>
              <w:rPr>
                <w:rFonts w:ascii="Arial" w:cs="Arial" w:eastAsia="Arial" w:hAnsi="Arial"/>
                <w:sz w:val="21"/>
                <w:szCs w:val="21"/>
                <w:color w:val="auto"/>
                <w:vertAlign w:val="superscript"/>
              </w:rPr>
              <w:t>1</w:t>
            </w:r>
          </w:p>
        </w:tc>
        <w:tc>
          <w:tcPr>
            <w:tcW w:w="260" w:type="dxa"/>
            <w:vAlign w:val="bottom"/>
            <w:tcBorders>
              <w:bottom w:val="single" w:sz="8" w:color="auto"/>
            </w:tcBorders>
            <w:shd w:val="clear" w:color="auto" w:fill="CCEEFF"/>
          </w:tcPr>
          <w:p>
            <w:pPr>
              <w:spacing w:after="0"/>
              <w:rPr>
                <w:sz w:val="23"/>
                <w:szCs w:val="23"/>
                <w:color w:val="auto"/>
              </w:rPr>
            </w:pPr>
          </w:p>
        </w:tc>
        <w:tc>
          <w:tcPr>
            <w:tcW w:w="1560" w:type="dxa"/>
            <w:vAlign w:val="bottom"/>
            <w:tcBorders>
              <w:bottom w:val="single" w:sz="8" w:color="auto"/>
            </w:tcBorders>
            <w:shd w:val="clear" w:color="auto" w:fill="CCEEFF"/>
          </w:tcPr>
          <w:p>
            <w:pPr>
              <w:jc w:val="right"/>
              <w:ind w:right="41"/>
              <w:spacing w:after="0"/>
              <w:rPr>
                <w:sz w:val="20"/>
                <w:szCs w:val="20"/>
                <w:color w:val="auto"/>
              </w:rPr>
            </w:pPr>
            <w:r>
              <w:rPr>
                <w:rFonts w:ascii="Arial" w:cs="Arial" w:eastAsia="Arial" w:hAnsi="Arial"/>
                <w:sz w:val="16"/>
                <w:szCs w:val="16"/>
                <w:color w:val="auto"/>
              </w:rPr>
              <w:t>1,120</w:t>
            </w:r>
          </w:p>
        </w:tc>
        <w:tc>
          <w:tcPr>
            <w:tcW w:w="100" w:type="dxa"/>
            <w:vAlign w:val="bottom"/>
            <w:shd w:val="clear" w:color="auto" w:fill="CCEEFF"/>
          </w:tcPr>
          <w:p>
            <w:pPr>
              <w:spacing w:after="0"/>
              <w:rPr>
                <w:sz w:val="23"/>
                <w:szCs w:val="23"/>
                <w:color w:val="auto"/>
              </w:rPr>
            </w:pPr>
          </w:p>
        </w:tc>
        <w:tc>
          <w:tcPr>
            <w:tcW w:w="1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0.58%</w:t>
            </w:r>
          </w:p>
        </w:tc>
        <w:tc>
          <w:tcPr>
            <w:tcW w:w="120" w:type="dxa"/>
            <w:vAlign w:val="bottom"/>
            <w:shd w:val="clear" w:color="auto" w:fill="CCEEFF"/>
          </w:tcPr>
          <w:p>
            <w:pPr>
              <w:spacing w:after="0"/>
              <w:rPr>
                <w:sz w:val="23"/>
                <w:szCs w:val="23"/>
                <w:color w:val="auto"/>
              </w:rPr>
            </w:pPr>
          </w:p>
        </w:tc>
        <w:tc>
          <w:tcPr>
            <w:tcW w:w="1800" w:type="dxa"/>
            <w:vAlign w:val="bottom"/>
            <w:tcBorders>
              <w:bottom w:val="single" w:sz="8" w:color="auto"/>
            </w:tcBorders>
            <w:shd w:val="clear" w:color="auto" w:fill="CCEEFF"/>
          </w:tcPr>
          <w:p>
            <w:pPr>
              <w:jc w:val="right"/>
              <w:ind w:right="22"/>
              <w:spacing w:after="0"/>
              <w:rPr>
                <w:sz w:val="20"/>
                <w:szCs w:val="20"/>
                <w:color w:val="auto"/>
              </w:rPr>
            </w:pPr>
            <w:r>
              <w:rPr>
                <w:rFonts w:ascii="Arial" w:cs="Arial" w:eastAsia="Arial" w:hAnsi="Arial"/>
                <w:sz w:val="16"/>
                <w:szCs w:val="16"/>
                <w:color w:val="auto"/>
              </w:rPr>
              <w:t>397</w:t>
            </w:r>
          </w:p>
        </w:tc>
        <w:tc>
          <w:tcPr>
            <w:tcW w:w="0" w:type="dxa"/>
            <w:vAlign w:val="bottom"/>
          </w:tcPr>
          <w:p>
            <w:pPr>
              <w:spacing w:after="0"/>
              <w:rPr>
                <w:sz w:val="1"/>
                <w:szCs w:val="1"/>
                <w:color w:val="auto"/>
              </w:rPr>
            </w:pPr>
          </w:p>
        </w:tc>
      </w:tr>
      <w:tr>
        <w:trPr>
          <w:trHeight w:val="244"/>
        </w:trPr>
        <w:tc>
          <w:tcPr>
            <w:tcW w:w="5720" w:type="dxa"/>
            <w:vAlign w:val="bottom"/>
            <w:gridSpan w:val="2"/>
          </w:tcPr>
          <w:p>
            <w:pPr>
              <w:ind w:left="40"/>
              <w:spacing w:after="0"/>
              <w:rPr>
                <w:sz w:val="20"/>
                <w:szCs w:val="20"/>
                <w:color w:val="auto"/>
              </w:rPr>
            </w:pPr>
            <w:r>
              <w:rPr>
                <w:rFonts w:ascii="Arial" w:cs="Arial" w:eastAsia="Arial" w:hAnsi="Arial"/>
                <w:sz w:val="16"/>
                <w:szCs w:val="16"/>
                <w:color w:val="auto"/>
              </w:rPr>
              <w:t>Total FHLB advances</w:t>
            </w:r>
          </w:p>
        </w:tc>
        <w:tc>
          <w:tcPr>
            <w:tcW w:w="26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w w:val="89"/>
              </w:rPr>
              <w:t>$</w:t>
            </w:r>
          </w:p>
        </w:tc>
        <w:tc>
          <w:tcPr>
            <w:tcW w:w="1560" w:type="dxa"/>
            <w:vAlign w:val="bottom"/>
            <w:tcBorders>
              <w:bottom w:val="single" w:sz="8" w:color="auto"/>
            </w:tcBorders>
          </w:tcPr>
          <w:p>
            <w:pPr>
              <w:jc w:val="right"/>
              <w:ind w:right="41"/>
              <w:spacing w:after="0"/>
              <w:rPr>
                <w:sz w:val="20"/>
                <w:szCs w:val="20"/>
                <w:color w:val="auto"/>
              </w:rPr>
            </w:pPr>
            <w:r>
              <w:rPr>
                <w:rFonts w:ascii="Arial" w:cs="Arial" w:eastAsia="Arial" w:hAnsi="Arial"/>
                <w:sz w:val="16"/>
                <w:szCs w:val="16"/>
                <w:color w:val="auto"/>
              </w:rPr>
              <w:t>3,753</w:t>
            </w:r>
          </w:p>
        </w:tc>
        <w:tc>
          <w:tcPr>
            <w:tcW w:w="100" w:type="dxa"/>
            <w:vAlign w:val="bottom"/>
          </w:tcPr>
          <w:p>
            <w:pPr>
              <w:spacing w:after="0"/>
              <w:rPr>
                <w:sz w:val="21"/>
                <w:szCs w:val="21"/>
                <w:color w:val="auto"/>
              </w:rPr>
            </w:pPr>
          </w:p>
        </w:tc>
        <w:tc>
          <w:tcPr>
            <w:tcW w:w="1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0.53%</w:t>
            </w:r>
          </w:p>
        </w:tc>
        <w:tc>
          <w:tcPr>
            <w:tcW w:w="120" w:type="dxa"/>
            <w:vAlign w:val="bottom"/>
          </w:tcPr>
          <w:p>
            <w:pPr>
              <w:spacing w:after="0"/>
              <w:rPr>
                <w:sz w:val="21"/>
                <w:szCs w:val="21"/>
                <w:color w:val="auto"/>
              </w:rPr>
            </w:pPr>
          </w:p>
        </w:tc>
        <w:tc>
          <w:tcPr>
            <w:tcW w:w="1800" w:type="dxa"/>
            <w:vAlign w:val="bottom"/>
            <w:tcBorders>
              <w:bottom w:val="single" w:sz="8" w:color="auto"/>
            </w:tcBorders>
          </w:tcPr>
          <w:p>
            <w:pPr>
              <w:jc w:val="right"/>
              <w:ind w:right="22"/>
              <w:spacing w:after="0"/>
              <w:rPr>
                <w:sz w:val="20"/>
                <w:szCs w:val="20"/>
                <w:color w:val="auto"/>
              </w:rPr>
            </w:pPr>
            <w:r>
              <w:rPr>
                <w:rFonts w:ascii="Arial" w:cs="Arial" w:eastAsia="Arial" w:hAnsi="Arial"/>
                <w:sz w:val="16"/>
                <w:szCs w:val="16"/>
                <w:color w:val="auto"/>
              </w:rPr>
              <w:t>141</w:t>
            </w:r>
          </w:p>
        </w:tc>
        <w:tc>
          <w:tcPr>
            <w:tcW w:w="0" w:type="dxa"/>
            <w:vAlign w:val="bottom"/>
          </w:tcPr>
          <w:p>
            <w:pPr>
              <w:spacing w:after="0"/>
              <w:rPr>
                <w:sz w:val="1"/>
                <w:szCs w:val="1"/>
                <w:color w:val="auto"/>
              </w:rPr>
            </w:pPr>
          </w:p>
        </w:tc>
      </w:tr>
      <w:tr>
        <w:trPr>
          <w:trHeight w:val="20"/>
        </w:trPr>
        <w:tc>
          <w:tcPr>
            <w:tcW w:w="5620" w:type="dxa"/>
            <w:vAlign w:val="bottom"/>
            <w:vMerge w:val="restart"/>
          </w:tcPr>
          <w:p>
            <w:pPr>
              <w:ind w:left="40"/>
              <w:spacing w:after="0"/>
              <w:rPr>
                <w:sz w:val="20"/>
                <w:szCs w:val="20"/>
                <w:color w:val="auto"/>
              </w:rPr>
            </w:pPr>
            <w:r>
              <w:rPr>
                <w:rFonts w:ascii="Arial" w:cs="Arial" w:eastAsia="Arial" w:hAnsi="Arial"/>
                <w:sz w:val="11"/>
                <w:szCs w:val="11"/>
                <w:color w:val="auto"/>
              </w:rPr>
              <w:t>________________________</w:t>
            </w: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5620" w:type="dxa"/>
            <w:vAlign w:val="bottom"/>
            <w:vMerge w:val="continue"/>
          </w:tcPr>
          <w:p>
            <w:pPr>
              <w:spacing w:after="0"/>
              <w:rPr>
                <w:sz w:val="8"/>
                <w:szCs w:val="8"/>
                <w:color w:val="auto"/>
              </w:rPr>
            </w:pPr>
          </w:p>
        </w:tc>
        <w:tc>
          <w:tcPr>
            <w:tcW w:w="100" w:type="dxa"/>
            <w:vAlign w:val="bottom"/>
          </w:tcPr>
          <w:p>
            <w:pPr>
              <w:spacing w:after="0"/>
              <w:rPr>
                <w:sz w:val="8"/>
                <w:szCs w:val="8"/>
                <w:color w:val="auto"/>
              </w:rPr>
            </w:pPr>
          </w:p>
        </w:tc>
        <w:tc>
          <w:tcPr>
            <w:tcW w:w="260" w:type="dxa"/>
            <w:vAlign w:val="bottom"/>
          </w:tcPr>
          <w:p>
            <w:pPr>
              <w:spacing w:after="0"/>
              <w:rPr>
                <w:sz w:val="8"/>
                <w:szCs w:val="8"/>
                <w:color w:val="auto"/>
              </w:rPr>
            </w:pPr>
          </w:p>
        </w:tc>
        <w:tc>
          <w:tcPr>
            <w:tcW w:w="1560" w:type="dxa"/>
            <w:vAlign w:val="bottom"/>
          </w:tcPr>
          <w:p>
            <w:pPr>
              <w:spacing w:after="0"/>
              <w:rPr>
                <w:sz w:val="8"/>
                <w:szCs w:val="8"/>
                <w:color w:val="auto"/>
              </w:rPr>
            </w:pPr>
          </w:p>
        </w:tc>
        <w:tc>
          <w:tcPr>
            <w:tcW w:w="100" w:type="dxa"/>
            <w:vAlign w:val="bottom"/>
          </w:tcPr>
          <w:p>
            <w:pPr>
              <w:spacing w:after="0"/>
              <w:rPr>
                <w:sz w:val="8"/>
                <w:szCs w:val="8"/>
                <w:color w:val="auto"/>
              </w:rPr>
            </w:pPr>
          </w:p>
        </w:tc>
        <w:tc>
          <w:tcPr>
            <w:tcW w:w="18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660" w:right="20" w:hanging="328"/>
        <w:spacing w:after="0" w:line="255" w:lineRule="auto"/>
        <w:tabs>
          <w:tab w:leader="none" w:pos="660" w:val="left"/>
        </w:tabs>
        <w:numPr>
          <w:ilvl w:val="0"/>
          <w:numId w:val="52"/>
        </w:numPr>
        <w:rPr>
          <w:rFonts w:ascii="Arial" w:cs="Arial" w:eastAsia="Arial" w:hAnsi="Arial"/>
          <w:sz w:val="14"/>
          <w:szCs w:val="14"/>
          <w:color w:val="auto"/>
        </w:rPr>
      </w:pPr>
      <w:r>
        <w:rPr>
          <w:rFonts w:ascii="Arial" w:cs="Arial" w:eastAsia="Arial" w:hAnsi="Arial"/>
          <w:sz w:val="14"/>
          <w:szCs w:val="14"/>
          <w:color w:val="auto"/>
        </w:rPr>
        <w:t>The maturity date of our FHLB advances as of December 31, 2015 has been adjusted to reflect the termination of our FHLB membership in February 2017 (see Note 2 for further information).</w:t>
      </w:r>
    </w:p>
    <w:p>
      <w:pPr>
        <w:spacing w:after="0" w:line="200" w:lineRule="exact"/>
        <w:rPr>
          <w:sz w:val="20"/>
          <w:szCs w:val="20"/>
          <w:color w:val="auto"/>
        </w:rPr>
      </w:pP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89</w:t>
      </w:r>
    </w:p>
    <w:p>
      <w:pPr>
        <w:sectPr>
          <w:pgSz w:w="11900" w:h="16838" w:orient="portrait"/>
          <w:cols w:equalWidth="0" w:num="1">
            <w:col w:w="11420"/>
          </w:cols>
          <w:pgMar w:left="240" w:top="746" w:right="239" w:bottom="1440" w:gutter="0" w:footer="0" w:header="0"/>
        </w:sectPr>
      </w:pPr>
    </w:p>
    <w:bookmarkStart w:id="90" w:name="page91"/>
    <w:bookmarkEnd w:id="90"/>
    <w:p>
      <w:pPr>
        <w:spacing w:after="0"/>
        <w:rPr>
          <w:sz w:val="20"/>
          <w:szCs w:val="20"/>
          <w:color w:val="auto"/>
        </w:rPr>
      </w:pPr>
      <w:r>
        <w:rPr>
          <w:rFonts w:ascii="Arial" w:cs="Arial" w:eastAsia="Arial" w:hAnsi="Arial"/>
          <w:sz w:val="18"/>
          <w:szCs w:val="18"/>
          <w:b w:val="1"/>
          <w:bCs w:val="1"/>
          <w:i w:val="1"/>
          <w:iCs w:val="1"/>
          <w:color w:val="auto"/>
        </w:rPr>
        <w:t>Debt of Consolidated Variable Interest Entities</w:t>
      </w:r>
    </w:p>
    <w:p>
      <w:pPr>
        <w:spacing w:after="0" w:line="171"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As of December 31, 2015 and 2014, debt of consolidated VIEs, at fair value, was $595 million and $761 million, respectively, and had a weighted average interest rate of LIBOR plus 34 and 43 basis points, respectively, and a principal balance of $587 million and $742 million, respectively. The actual maturities of our debt of consolidated VIEs are generally shorter than the stated contractual maturities. The actual maturities are affected by the contractual lives of the underlying agency MBS securitizing the debt of our consolidated VIEs and periodic principal prepayments of such underlying securities. The estimated weighted average life of the debt of our consolidated VIEs as of December 31, 2015 and 2014 was 4.9 and 5.8 years, respectively.</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TBA Dollar Roll Financing Transactions</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As of December 31, 2015 and 2014, we had outstanding forward commitments to purchase and sell agency securities through the TBA market at a cost of $7.4 billion and $14.6 billion, respectively (see Notes 2 and 5). These transactions, also referred to as "TBA dollar roll transactions," represent a form of "off-balance sheet" financing and serve to either increase, in the case of forward purchases, or decrease, in the case of forward sales, our total "at risk" leverage. We account for such transactions as one or more series of derivative transactions and report our outstanding TBA commitments at their net carrying value of $14 million and $192 million as of December 31, 2015 and 2014, respectively, in derivative assets/(liabilities) on our accompanying consolidated balance sheets.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Derivative and Other Hedging Instruments</w:t>
      </w:r>
    </w:p>
    <w:p>
      <w:pPr>
        <w:spacing w:after="0" w:line="175"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In connection with our risk management strategy, we hedge a portion of our interest rate risk by entering into derivative and other hedging instrument contracts. We typically enter into agreements for interest rate swaps and interest rate swaptions and purchase or short TBA and U.S. Treasury securities. We may also purchase or write put or call options on TBA securities or invest in mortgage and other types of derivative instruments, such as interest and principal-only securities. Our risk management strategy attempts to manage the overall risk of the portfolio, reduce fluctuations in our net book value and generate additional income distributable to stockholders. For additional information regarding our derivative instruments and our overall risk management strategy, please refer to the discussion of derivative and other hedging instruments in Note 2.</w:t>
      </w:r>
    </w:p>
    <w:p>
      <w:pPr>
        <w:spacing w:after="0" w:line="124" w:lineRule="exact"/>
        <w:rPr>
          <w:sz w:val="20"/>
          <w:szCs w:val="20"/>
          <w:color w:val="auto"/>
        </w:rPr>
      </w:pPr>
    </w:p>
    <w:p>
      <w:pPr>
        <w:jc w:val="both"/>
        <w:ind w:firstLine="432"/>
        <w:spacing w:after="0" w:line="289" w:lineRule="auto"/>
        <w:rPr>
          <w:sz w:val="20"/>
          <w:szCs w:val="20"/>
          <w:color w:val="auto"/>
        </w:rPr>
      </w:pPr>
      <w:r>
        <w:rPr>
          <w:rFonts w:ascii="Arial" w:cs="Arial" w:eastAsia="Arial" w:hAnsi="Arial"/>
          <w:sz w:val="16"/>
          <w:szCs w:val="16"/>
          <w:color w:val="auto"/>
        </w:rPr>
        <w:t>Prior to September 30, 2011, our interest rate swaps were typically designated as cash flow hedges under ASC 815; however, as of September 30, 2011, we elected to discontinue hedge accounting for our interest rate swaps in order to increase our funding flexibility. For fiscal years 2015, 2014 and 2013, we reclassified $101 million, $156 million and $189 million, respectively, of net deferred losses from accumulated OCI into interest expense related to our de-designated interest rate swaps and recognized an equal, but offsetting, amount in other comprehensive income. Our total net periodic interest costs on our swap portfolio for those periods were $494 million, $486 million and $613 million, respectively. The difference between our total net periodic interest costs on our swap portfolio and the amount recorded in interest expense related to our de-designated hedges is reported in gain (loss) on derivative instruments and other securities, net in our accompanying consolidated statements of comprehensive income (totaling $393 million, $330 million and $424 million for fiscal years 2015, 2014 and 2013, respectively). As of December 31, 2015, the remaining net deferred loss in accumulated OCI related to de-designated interest rate swaps was $39 million and will be reclassified from OCI into interest expense over a remaining weighted average period of 0.6 years.</w:t>
      </w: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90</w:t>
      </w:r>
    </w:p>
    <w:p>
      <w:pPr>
        <w:sectPr>
          <w:pgSz w:w="11900" w:h="16838" w:orient="portrait"/>
          <w:cols w:equalWidth="0" w:num="1">
            <w:col w:w="11420"/>
          </w:cols>
          <w:pgMar w:left="240" w:top="746" w:right="239" w:bottom="1440" w:gutter="0" w:footer="0" w:header="0"/>
        </w:sectPr>
      </w:pPr>
    </w:p>
    <w:bookmarkStart w:id="91" w:name="page92"/>
    <w:bookmarkEnd w:id="91"/>
    <w:p>
      <w:pPr>
        <w:spacing w:after="0"/>
        <w:rPr>
          <w:sz w:val="20"/>
          <w:szCs w:val="20"/>
          <w:color w:val="auto"/>
        </w:rPr>
      </w:pPr>
      <w:r>
        <w:rPr>
          <w:rFonts w:ascii="Arial" w:cs="Arial" w:eastAsia="Arial" w:hAnsi="Arial"/>
          <w:sz w:val="18"/>
          <w:szCs w:val="18"/>
          <w:b w:val="1"/>
          <w:bCs w:val="1"/>
          <w:i w:val="1"/>
          <w:iCs w:val="1"/>
          <w:color w:val="auto"/>
        </w:rPr>
        <w:t>Derivative and Other Hedging Instrument Assets (Liabilities), at Fair Value</w:t>
      </w:r>
    </w:p>
    <w:p>
      <w:pPr>
        <w:spacing w:after="0" w:line="225" w:lineRule="exact"/>
        <w:rPr>
          <w:sz w:val="20"/>
          <w:szCs w:val="20"/>
          <w:color w:val="auto"/>
        </w:rPr>
      </w:pPr>
    </w:p>
    <w:p>
      <w:pPr>
        <w:ind w:right="20" w:firstLine="405"/>
        <w:spacing w:after="0" w:line="277" w:lineRule="auto"/>
        <w:rPr>
          <w:sz w:val="20"/>
          <w:szCs w:val="20"/>
          <w:color w:val="auto"/>
        </w:rPr>
      </w:pPr>
      <w:r>
        <w:rPr>
          <w:rFonts w:ascii="Arial" w:cs="Arial" w:eastAsia="Arial" w:hAnsi="Arial"/>
          <w:sz w:val="18"/>
          <w:szCs w:val="18"/>
          <w:color w:val="auto"/>
        </w:rPr>
        <w:t>The table below summarizes fair value information about our derivative and other hedging instrument assets and liabilities as of December 31, 2015 and 2014 (in millions):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46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424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760" w:type="dxa"/>
            <w:vAlign w:val="bottom"/>
            <w:tcBorders>
              <w:bottom w:val="single" w:sz="8" w:color="auto"/>
            </w:tcBorders>
          </w:tcPr>
          <w:p>
            <w:pPr>
              <w:spacing w:after="0"/>
              <w:rPr>
                <w:sz w:val="16"/>
                <w:szCs w:val="16"/>
                <w:color w:val="auto"/>
              </w:rPr>
            </w:pPr>
          </w:p>
        </w:tc>
      </w:tr>
      <w:tr>
        <w:trPr>
          <w:trHeight w:val="264"/>
        </w:trPr>
        <w:tc>
          <w:tcPr>
            <w:tcW w:w="446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Derivative and Other Hedging Instruments</w:t>
            </w:r>
          </w:p>
        </w:tc>
        <w:tc>
          <w:tcPr>
            <w:tcW w:w="120" w:type="dxa"/>
            <w:vAlign w:val="bottom"/>
            <w:tcBorders>
              <w:bottom w:val="single" w:sz="8" w:color="CCEEFF"/>
            </w:tcBorders>
          </w:tcPr>
          <w:p>
            <w:pPr>
              <w:spacing w:after="0"/>
              <w:rPr>
                <w:sz w:val="22"/>
                <w:szCs w:val="22"/>
                <w:color w:val="auto"/>
              </w:rPr>
            </w:pPr>
          </w:p>
        </w:tc>
        <w:tc>
          <w:tcPr>
            <w:tcW w:w="4240" w:type="dxa"/>
            <w:vAlign w:val="bottom"/>
            <w:tcBorders>
              <w:bottom w:val="single" w:sz="8" w:color="auto"/>
            </w:tcBorders>
          </w:tcPr>
          <w:p>
            <w:pPr>
              <w:ind w:left="1400"/>
              <w:spacing w:after="0"/>
              <w:rPr>
                <w:sz w:val="20"/>
                <w:szCs w:val="20"/>
                <w:color w:val="auto"/>
              </w:rPr>
            </w:pPr>
            <w:r>
              <w:rPr>
                <w:rFonts w:ascii="Arial" w:cs="Arial" w:eastAsia="Arial" w:hAnsi="Arial"/>
                <w:sz w:val="14"/>
                <w:szCs w:val="14"/>
                <w:b w:val="1"/>
                <w:bCs w:val="1"/>
                <w:color w:val="auto"/>
              </w:rPr>
              <w:t>Balance Sheet Location</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20"/>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340"/>
              <w:spacing w:after="0"/>
              <w:rPr>
                <w:sz w:val="20"/>
                <w:szCs w:val="20"/>
                <w:color w:val="auto"/>
              </w:rPr>
            </w:pPr>
            <w:r>
              <w:rPr>
                <w:rFonts w:ascii="Arial" w:cs="Arial" w:eastAsia="Arial" w:hAnsi="Arial"/>
                <w:sz w:val="14"/>
                <w:szCs w:val="14"/>
                <w:b w:val="1"/>
                <w:bCs w:val="1"/>
                <w:color w:val="auto"/>
              </w:rPr>
              <w:t>2014</w:t>
            </w:r>
          </w:p>
        </w:tc>
      </w:tr>
      <w:tr>
        <w:trPr>
          <w:trHeight w:val="236"/>
        </w:trPr>
        <w:tc>
          <w:tcPr>
            <w:tcW w:w="45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Interest rate swaps</w:t>
            </w:r>
          </w:p>
        </w:tc>
        <w:tc>
          <w:tcPr>
            <w:tcW w:w="4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Derivative assets, at fair value</w:t>
            </w:r>
          </w:p>
        </w:tc>
        <w:tc>
          <w:tcPr>
            <w:tcW w:w="3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31</w:t>
            </w: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jc w:val="right"/>
              <w:ind w:right="179"/>
              <w:spacing w:after="0"/>
              <w:rPr>
                <w:sz w:val="20"/>
                <w:szCs w:val="20"/>
                <w:color w:val="auto"/>
              </w:rPr>
            </w:pPr>
            <w:r>
              <w:rPr>
                <w:rFonts w:ascii="Arial" w:cs="Arial" w:eastAsia="Arial" w:hAnsi="Arial"/>
                <w:sz w:val="16"/>
                <w:szCs w:val="16"/>
                <w:color w:val="auto"/>
                <w:w w:val="89"/>
              </w:rPr>
              <w:t>$</w:t>
            </w:r>
          </w:p>
        </w:tc>
        <w:tc>
          <w:tcPr>
            <w:tcW w:w="7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136</w:t>
            </w:r>
          </w:p>
        </w:tc>
      </w:tr>
      <w:tr>
        <w:trPr>
          <w:trHeight w:val="237"/>
        </w:trPr>
        <w:tc>
          <w:tcPr>
            <w:tcW w:w="4580" w:type="dxa"/>
            <w:vAlign w:val="bottom"/>
            <w:gridSpan w:val="2"/>
          </w:tcPr>
          <w:p>
            <w:pPr>
              <w:ind w:left="40"/>
              <w:spacing w:after="0"/>
              <w:rPr>
                <w:sz w:val="20"/>
                <w:szCs w:val="20"/>
                <w:color w:val="auto"/>
              </w:rPr>
            </w:pPr>
            <w:r>
              <w:rPr>
                <w:rFonts w:ascii="Arial" w:cs="Arial" w:eastAsia="Arial" w:hAnsi="Arial"/>
                <w:sz w:val="16"/>
                <w:szCs w:val="16"/>
                <w:color w:val="auto"/>
              </w:rPr>
              <w:t>Swaptions</w:t>
            </w:r>
          </w:p>
        </w:tc>
        <w:tc>
          <w:tcPr>
            <w:tcW w:w="4360" w:type="dxa"/>
            <w:vAlign w:val="bottom"/>
            <w:gridSpan w:val="2"/>
          </w:tcPr>
          <w:p>
            <w:pPr>
              <w:ind w:left="40"/>
              <w:spacing w:after="0"/>
              <w:rPr>
                <w:sz w:val="20"/>
                <w:szCs w:val="20"/>
                <w:color w:val="auto"/>
              </w:rPr>
            </w:pPr>
            <w:r>
              <w:rPr>
                <w:rFonts w:ascii="Arial" w:cs="Arial" w:eastAsia="Arial" w:hAnsi="Arial"/>
                <w:sz w:val="16"/>
                <w:szCs w:val="16"/>
                <w:color w:val="auto"/>
              </w:rPr>
              <w:t>Derivative assets, at fair value</w:t>
            </w:r>
          </w:p>
        </w:tc>
        <w:tc>
          <w:tcPr>
            <w:tcW w:w="300" w:type="dxa"/>
            <w:vAlign w:val="bottom"/>
          </w:tcPr>
          <w:p>
            <w:pPr>
              <w:spacing w:after="0"/>
              <w:rPr>
                <w:sz w:val="20"/>
                <w:szCs w:val="20"/>
                <w:color w:val="auto"/>
              </w:rPr>
            </w:pPr>
          </w:p>
        </w:tc>
        <w:tc>
          <w:tcPr>
            <w:tcW w:w="960" w:type="dxa"/>
            <w:vAlign w:val="bottom"/>
          </w:tcPr>
          <w:p>
            <w:pPr>
              <w:jc w:val="right"/>
              <w:ind w:right="40"/>
              <w:spacing w:after="0"/>
              <w:rPr>
                <w:sz w:val="20"/>
                <w:szCs w:val="20"/>
                <w:color w:val="auto"/>
              </w:rPr>
            </w:pPr>
            <w:r>
              <w:rPr>
                <w:rFonts w:ascii="Arial" w:cs="Arial" w:eastAsia="Arial" w:hAnsi="Arial"/>
                <w:sz w:val="16"/>
                <w:szCs w:val="16"/>
                <w:color w:val="auto"/>
              </w:rPr>
              <w:t>17</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760" w:type="dxa"/>
            <w:vAlign w:val="bottom"/>
          </w:tcPr>
          <w:p>
            <w:pPr>
              <w:jc w:val="right"/>
              <w:ind w:right="20"/>
              <w:spacing w:after="0"/>
              <w:rPr>
                <w:sz w:val="20"/>
                <w:szCs w:val="20"/>
                <w:color w:val="auto"/>
              </w:rPr>
            </w:pPr>
            <w:r>
              <w:rPr>
                <w:rFonts w:ascii="Arial" w:cs="Arial" w:eastAsia="Arial" w:hAnsi="Arial"/>
                <w:sz w:val="16"/>
                <w:szCs w:val="16"/>
                <w:color w:val="auto"/>
              </w:rPr>
              <w:t>75</w:t>
            </w:r>
          </w:p>
        </w:tc>
      </w:tr>
      <w:tr>
        <w:trPr>
          <w:trHeight w:val="33"/>
        </w:trPr>
        <w:tc>
          <w:tcPr>
            <w:tcW w:w="4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45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TBA securities</w:t>
            </w:r>
          </w:p>
        </w:tc>
        <w:tc>
          <w:tcPr>
            <w:tcW w:w="4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Derivative assets, at fair value</w:t>
            </w: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197</w:t>
            </w:r>
          </w:p>
        </w:tc>
      </w:tr>
      <w:tr>
        <w:trPr>
          <w:trHeight w:val="237"/>
        </w:trPr>
        <w:tc>
          <w:tcPr>
            <w:tcW w:w="4580" w:type="dxa"/>
            <w:vAlign w:val="bottom"/>
            <w:gridSpan w:val="2"/>
          </w:tcPr>
          <w:p>
            <w:pPr>
              <w:ind w:left="40"/>
              <w:spacing w:after="0"/>
              <w:rPr>
                <w:sz w:val="20"/>
                <w:szCs w:val="20"/>
                <w:color w:val="auto"/>
              </w:rPr>
            </w:pPr>
            <w:r>
              <w:rPr>
                <w:rFonts w:ascii="Arial" w:cs="Arial" w:eastAsia="Arial" w:hAnsi="Arial"/>
                <w:sz w:val="16"/>
                <w:szCs w:val="16"/>
                <w:color w:val="auto"/>
              </w:rPr>
              <w:t>U.S. Treasury futures - short</w:t>
            </w:r>
          </w:p>
        </w:tc>
        <w:tc>
          <w:tcPr>
            <w:tcW w:w="4360" w:type="dxa"/>
            <w:vAlign w:val="bottom"/>
            <w:gridSpan w:val="2"/>
          </w:tcPr>
          <w:p>
            <w:pPr>
              <w:ind w:left="40"/>
              <w:spacing w:after="0"/>
              <w:rPr>
                <w:sz w:val="20"/>
                <w:szCs w:val="20"/>
                <w:color w:val="auto"/>
              </w:rPr>
            </w:pPr>
            <w:r>
              <w:rPr>
                <w:rFonts w:ascii="Arial" w:cs="Arial" w:eastAsia="Arial" w:hAnsi="Arial"/>
                <w:sz w:val="16"/>
                <w:szCs w:val="16"/>
                <w:color w:val="auto"/>
              </w:rPr>
              <w:t>Derivative assets, at fair value</w:t>
            </w:r>
          </w:p>
        </w:tc>
        <w:tc>
          <w:tcPr>
            <w:tcW w:w="300" w:type="dxa"/>
            <w:vAlign w:val="bottom"/>
          </w:tcPr>
          <w:p>
            <w:pPr>
              <w:spacing w:after="0"/>
              <w:rPr>
                <w:sz w:val="20"/>
                <w:szCs w:val="20"/>
                <w:color w:val="auto"/>
              </w:rPr>
            </w:pPr>
          </w:p>
        </w:tc>
        <w:tc>
          <w:tcPr>
            <w:tcW w:w="960" w:type="dxa"/>
            <w:vAlign w:val="bottom"/>
          </w:tcPr>
          <w:p>
            <w:pPr>
              <w:jc w:val="right"/>
              <w:ind w:right="40"/>
              <w:spacing w:after="0"/>
              <w:rPr>
                <w:sz w:val="20"/>
                <w:szCs w:val="20"/>
                <w:color w:val="auto"/>
              </w:rPr>
            </w:pPr>
            <w:r>
              <w:rPr>
                <w:rFonts w:ascii="Arial" w:cs="Arial" w:eastAsia="Arial" w:hAnsi="Arial"/>
                <w:sz w:val="16"/>
                <w:szCs w:val="16"/>
                <w:color w:val="auto"/>
              </w:rPr>
              <w:t>4</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760" w:type="dxa"/>
            <w:vAlign w:val="bottom"/>
          </w:tcPr>
          <w:p>
            <w:pPr>
              <w:jc w:val="right"/>
              <w:ind w:right="20"/>
              <w:spacing w:after="0"/>
              <w:rPr>
                <w:sz w:val="20"/>
                <w:szCs w:val="20"/>
                <w:color w:val="auto"/>
              </w:rPr>
            </w:pPr>
            <w:r>
              <w:rPr>
                <w:rFonts w:ascii="Arial" w:cs="Arial" w:eastAsia="Arial" w:hAnsi="Arial"/>
                <w:sz w:val="16"/>
                <w:szCs w:val="16"/>
                <w:color w:val="auto"/>
              </w:rPr>
              <w:t>—</w:t>
            </w:r>
          </w:p>
        </w:tc>
      </w:tr>
      <w:tr>
        <w:trPr>
          <w:trHeight w:val="33"/>
        </w:trPr>
        <w:tc>
          <w:tcPr>
            <w:tcW w:w="44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44"/>
        </w:trPr>
        <w:tc>
          <w:tcPr>
            <w:tcW w:w="458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Total derivative assets, at fair value</w:t>
            </w:r>
          </w:p>
        </w:tc>
        <w:tc>
          <w:tcPr>
            <w:tcW w:w="42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81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auto"/>
            </w:tcBorders>
            <w:shd w:val="clear" w:color="auto" w:fill="CCEEFF"/>
          </w:tcPr>
          <w:p>
            <w:pPr>
              <w:jc w:val="right"/>
              <w:ind w:right="179"/>
              <w:spacing w:after="0"/>
              <w:rPr>
                <w:sz w:val="20"/>
                <w:szCs w:val="20"/>
                <w:color w:val="auto"/>
              </w:rPr>
            </w:pPr>
            <w:r>
              <w:rPr>
                <w:rFonts w:ascii="Arial" w:cs="Arial" w:eastAsia="Arial" w:hAnsi="Arial"/>
                <w:sz w:val="16"/>
                <w:szCs w:val="16"/>
                <w:color w:val="auto"/>
                <w:w w:val="89"/>
              </w:rPr>
              <w:t>$</w:t>
            </w:r>
          </w:p>
        </w:tc>
        <w:tc>
          <w:tcPr>
            <w:tcW w:w="76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408</w:t>
            </w:r>
          </w:p>
        </w:tc>
      </w:tr>
      <w:tr>
        <w:trPr>
          <w:trHeight w:val="20"/>
        </w:trPr>
        <w:tc>
          <w:tcPr>
            <w:tcW w:w="44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r>
      <w:tr>
        <w:trPr>
          <w:trHeight w:val="284"/>
        </w:trPr>
        <w:tc>
          <w:tcPr>
            <w:tcW w:w="4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60" w:type="dxa"/>
            <w:vAlign w:val="bottom"/>
          </w:tcPr>
          <w:p>
            <w:pPr>
              <w:spacing w:after="0"/>
              <w:rPr>
                <w:sz w:val="24"/>
                <w:szCs w:val="24"/>
                <w:color w:val="auto"/>
              </w:rPr>
            </w:pPr>
          </w:p>
        </w:tc>
      </w:tr>
      <w:tr>
        <w:trPr>
          <w:trHeight w:val="250"/>
        </w:trPr>
        <w:tc>
          <w:tcPr>
            <w:tcW w:w="45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Interest rate swaps</w:t>
            </w:r>
          </w:p>
        </w:tc>
        <w:tc>
          <w:tcPr>
            <w:tcW w:w="4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Derivative liabilities, at fair value</w:t>
            </w:r>
          </w:p>
        </w:tc>
        <w:tc>
          <w:tcPr>
            <w:tcW w:w="3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(920)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79"/>
              <w:spacing w:after="0"/>
              <w:rPr>
                <w:sz w:val="20"/>
                <w:szCs w:val="20"/>
                <w:color w:val="auto"/>
              </w:rPr>
            </w:pPr>
            <w:r>
              <w:rPr>
                <w:rFonts w:ascii="Arial" w:cs="Arial" w:eastAsia="Arial" w:hAnsi="Arial"/>
                <w:sz w:val="16"/>
                <w:szCs w:val="16"/>
                <w:color w:val="auto"/>
                <w:w w:val="89"/>
              </w:rPr>
              <w:t>$</w:t>
            </w: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(880)</w:t>
            </w:r>
          </w:p>
        </w:tc>
      </w:tr>
      <w:tr>
        <w:trPr>
          <w:trHeight w:val="237"/>
        </w:trPr>
        <w:tc>
          <w:tcPr>
            <w:tcW w:w="4580" w:type="dxa"/>
            <w:vAlign w:val="bottom"/>
            <w:gridSpan w:val="2"/>
          </w:tcPr>
          <w:p>
            <w:pPr>
              <w:ind w:left="40"/>
              <w:spacing w:after="0"/>
              <w:rPr>
                <w:sz w:val="20"/>
                <w:szCs w:val="20"/>
                <w:color w:val="auto"/>
              </w:rPr>
            </w:pPr>
            <w:r>
              <w:rPr>
                <w:rFonts w:ascii="Arial" w:cs="Arial" w:eastAsia="Arial" w:hAnsi="Arial"/>
                <w:sz w:val="16"/>
                <w:szCs w:val="16"/>
                <w:color w:val="auto"/>
              </w:rPr>
              <w:t>TBA securities</w:t>
            </w:r>
          </w:p>
        </w:tc>
        <w:tc>
          <w:tcPr>
            <w:tcW w:w="4360" w:type="dxa"/>
            <w:vAlign w:val="bottom"/>
            <w:gridSpan w:val="2"/>
          </w:tcPr>
          <w:p>
            <w:pPr>
              <w:ind w:left="40"/>
              <w:spacing w:after="0"/>
              <w:rPr>
                <w:sz w:val="20"/>
                <w:szCs w:val="20"/>
                <w:color w:val="auto"/>
              </w:rPr>
            </w:pPr>
            <w:r>
              <w:rPr>
                <w:rFonts w:ascii="Arial" w:cs="Arial" w:eastAsia="Arial" w:hAnsi="Arial"/>
                <w:sz w:val="16"/>
                <w:szCs w:val="16"/>
                <w:color w:val="auto"/>
              </w:rPr>
              <w:t>Derivative liabilities, at fair value</w:t>
            </w:r>
          </w:p>
        </w:tc>
        <w:tc>
          <w:tcPr>
            <w:tcW w:w="30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(15)</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(5)</w:t>
            </w:r>
          </w:p>
        </w:tc>
      </w:tr>
      <w:tr>
        <w:trPr>
          <w:trHeight w:val="33"/>
        </w:trPr>
        <w:tc>
          <w:tcPr>
            <w:tcW w:w="4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70"/>
        </w:trPr>
        <w:tc>
          <w:tcPr>
            <w:tcW w:w="45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U.S. Treasury futures - short</w:t>
            </w:r>
          </w:p>
        </w:tc>
        <w:tc>
          <w:tcPr>
            <w:tcW w:w="4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Derivative liabilities, at fair value</w:t>
            </w:r>
          </w:p>
        </w:tc>
        <w:tc>
          <w:tcPr>
            <w:tcW w:w="3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36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w:t>
            </w:r>
          </w:p>
        </w:tc>
      </w:tr>
      <w:tr>
        <w:trPr>
          <w:trHeight w:val="284"/>
        </w:trPr>
        <w:tc>
          <w:tcPr>
            <w:tcW w:w="4580" w:type="dxa"/>
            <w:vAlign w:val="bottom"/>
            <w:tcBorders>
              <w:bottom w:val="single" w:sz="8" w:color="CCEEFF"/>
            </w:tcBorders>
            <w:gridSpan w:val="2"/>
          </w:tcPr>
          <w:p>
            <w:pPr>
              <w:ind w:left="200"/>
              <w:spacing w:after="0"/>
              <w:rPr>
                <w:sz w:val="20"/>
                <w:szCs w:val="20"/>
                <w:color w:val="auto"/>
              </w:rPr>
            </w:pPr>
            <w:r>
              <w:rPr>
                <w:rFonts w:ascii="Arial" w:cs="Arial" w:eastAsia="Arial" w:hAnsi="Arial"/>
                <w:sz w:val="16"/>
                <w:szCs w:val="16"/>
                <w:color w:val="auto"/>
              </w:rPr>
              <w:t>Total derivative liabilities, at fair value</w:t>
            </w:r>
          </w:p>
        </w:tc>
        <w:tc>
          <w:tcPr>
            <w:tcW w:w="4240" w:type="dxa"/>
            <w:vAlign w:val="bottom"/>
            <w:tcBorders>
              <w:bottom w:val="single" w:sz="8" w:color="CCEEFF"/>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300" w:type="dxa"/>
            <w:vAlign w:val="bottom"/>
            <w:tcBorders>
              <w:top w:val="single" w:sz="8" w:color="auto"/>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(935)</w:t>
            </w:r>
          </w:p>
        </w:tc>
        <w:tc>
          <w:tcPr>
            <w:tcW w:w="100" w:type="dxa"/>
            <w:vAlign w:val="bottom"/>
            <w:tcBorders>
              <w:bottom w:val="single" w:sz="8" w:color="CCEEFF"/>
            </w:tcBorders>
          </w:tcPr>
          <w:p>
            <w:pPr>
              <w:spacing w:after="0"/>
              <w:rPr>
                <w:sz w:val="24"/>
                <w:szCs w:val="24"/>
                <w:color w:val="auto"/>
              </w:rPr>
            </w:pPr>
          </w:p>
        </w:tc>
        <w:tc>
          <w:tcPr>
            <w:tcW w:w="360" w:type="dxa"/>
            <w:vAlign w:val="bottom"/>
            <w:tcBorders>
              <w:top w:val="single" w:sz="8" w:color="auto"/>
              <w:bottom w:val="single" w:sz="8" w:color="auto"/>
            </w:tcBorders>
          </w:tcPr>
          <w:p>
            <w:pPr>
              <w:jc w:val="right"/>
              <w:ind w:right="179"/>
              <w:spacing w:after="0"/>
              <w:rPr>
                <w:sz w:val="20"/>
                <w:szCs w:val="20"/>
                <w:color w:val="auto"/>
              </w:rPr>
            </w:pPr>
            <w:r>
              <w:rPr>
                <w:rFonts w:ascii="Arial" w:cs="Arial" w:eastAsia="Arial" w:hAnsi="Arial"/>
                <w:sz w:val="16"/>
                <w:szCs w:val="16"/>
                <w:color w:val="auto"/>
                <w:w w:val="89"/>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(890)</w:t>
            </w:r>
          </w:p>
        </w:tc>
      </w:tr>
      <w:tr>
        <w:trPr>
          <w:trHeight w:val="284"/>
        </w:trPr>
        <w:tc>
          <w:tcPr>
            <w:tcW w:w="44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2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r>
      <w:tr>
        <w:trPr>
          <w:trHeight w:val="237"/>
        </w:trPr>
        <w:tc>
          <w:tcPr>
            <w:tcW w:w="4580" w:type="dxa"/>
            <w:vAlign w:val="bottom"/>
            <w:gridSpan w:val="2"/>
          </w:tcPr>
          <w:p>
            <w:pPr>
              <w:ind w:left="40"/>
              <w:spacing w:after="0"/>
              <w:rPr>
                <w:sz w:val="20"/>
                <w:szCs w:val="20"/>
                <w:color w:val="auto"/>
              </w:rPr>
            </w:pPr>
            <w:r>
              <w:rPr>
                <w:rFonts w:ascii="Arial" w:cs="Arial" w:eastAsia="Arial" w:hAnsi="Arial"/>
                <w:sz w:val="16"/>
                <w:szCs w:val="16"/>
                <w:color w:val="auto"/>
              </w:rPr>
              <w:t>U.S. Treasury securities - long</w:t>
            </w:r>
          </w:p>
        </w:tc>
        <w:tc>
          <w:tcPr>
            <w:tcW w:w="4360" w:type="dxa"/>
            <w:vAlign w:val="bottom"/>
            <w:gridSpan w:val="2"/>
          </w:tcPr>
          <w:p>
            <w:pPr>
              <w:ind w:left="40"/>
              <w:spacing w:after="0"/>
              <w:rPr>
                <w:sz w:val="20"/>
                <w:szCs w:val="20"/>
                <w:color w:val="auto"/>
              </w:rPr>
            </w:pPr>
            <w:r>
              <w:rPr>
                <w:rFonts w:ascii="Arial" w:cs="Arial" w:eastAsia="Arial" w:hAnsi="Arial"/>
                <w:sz w:val="16"/>
                <w:szCs w:val="16"/>
                <w:color w:val="auto"/>
              </w:rPr>
              <w:t>U.S. Treasury securities, at fair value</w:t>
            </w: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ind w:right="40"/>
              <w:spacing w:after="0"/>
              <w:rPr>
                <w:sz w:val="20"/>
                <w:szCs w:val="20"/>
                <w:color w:val="auto"/>
              </w:rPr>
            </w:pPr>
            <w:r>
              <w:rPr>
                <w:rFonts w:ascii="Arial" w:cs="Arial" w:eastAsia="Arial" w:hAnsi="Arial"/>
                <w:sz w:val="16"/>
                <w:szCs w:val="16"/>
                <w:color w:val="auto"/>
              </w:rPr>
              <w:t>25</w:t>
            </w:r>
          </w:p>
        </w:tc>
        <w:tc>
          <w:tcPr>
            <w:tcW w:w="100" w:type="dxa"/>
            <w:vAlign w:val="bottom"/>
          </w:tcPr>
          <w:p>
            <w:pPr>
              <w:spacing w:after="0"/>
              <w:rPr>
                <w:sz w:val="20"/>
                <w:szCs w:val="20"/>
                <w:color w:val="auto"/>
              </w:rPr>
            </w:pPr>
          </w:p>
        </w:tc>
        <w:tc>
          <w:tcPr>
            <w:tcW w:w="360" w:type="dxa"/>
            <w:vAlign w:val="bottom"/>
          </w:tcPr>
          <w:p>
            <w:pPr>
              <w:jc w:val="right"/>
              <w:ind w:right="179"/>
              <w:spacing w:after="0"/>
              <w:rPr>
                <w:sz w:val="20"/>
                <w:szCs w:val="20"/>
                <w:color w:val="auto"/>
              </w:rPr>
            </w:pPr>
            <w:r>
              <w:rPr>
                <w:rFonts w:ascii="Arial" w:cs="Arial" w:eastAsia="Arial" w:hAnsi="Arial"/>
                <w:sz w:val="16"/>
                <w:szCs w:val="16"/>
                <w:color w:val="auto"/>
                <w:w w:val="89"/>
              </w:rPr>
              <w:t>$</w:t>
            </w:r>
          </w:p>
        </w:tc>
        <w:tc>
          <w:tcPr>
            <w:tcW w:w="760" w:type="dxa"/>
            <w:vAlign w:val="bottom"/>
          </w:tcPr>
          <w:p>
            <w:pPr>
              <w:jc w:val="right"/>
              <w:ind w:right="20"/>
              <w:spacing w:after="0"/>
              <w:rPr>
                <w:sz w:val="20"/>
                <w:szCs w:val="20"/>
                <w:color w:val="auto"/>
              </w:rPr>
            </w:pPr>
            <w:r>
              <w:rPr>
                <w:rFonts w:ascii="Arial" w:cs="Arial" w:eastAsia="Arial" w:hAnsi="Arial"/>
                <w:sz w:val="16"/>
                <w:szCs w:val="16"/>
                <w:color w:val="auto"/>
              </w:rPr>
              <w:t>2,427</w:t>
            </w:r>
          </w:p>
        </w:tc>
      </w:tr>
      <w:tr>
        <w:trPr>
          <w:trHeight w:val="33"/>
        </w:trPr>
        <w:tc>
          <w:tcPr>
            <w:tcW w:w="4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20"/>
        </w:trPr>
        <w:tc>
          <w:tcPr>
            <w:tcW w:w="44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3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Obligation to return securities borrowed under reverse</w:t>
            </w:r>
          </w:p>
        </w:tc>
        <w:tc>
          <w:tcPr>
            <w:tcW w:w="30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r>
      <w:tr>
        <w:trPr>
          <w:trHeight w:val="239"/>
        </w:trPr>
        <w:tc>
          <w:tcPr>
            <w:tcW w:w="45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U.S. Treasury securities - short</w:t>
            </w:r>
          </w:p>
        </w:tc>
        <w:tc>
          <w:tcPr>
            <w:tcW w:w="4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repurchase agreements, at fair value</w:t>
            </w:r>
          </w:p>
        </w:tc>
        <w:tc>
          <w:tcPr>
            <w:tcW w:w="30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(1,696)</w:t>
            </w: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(5,363)</w:t>
            </w:r>
          </w:p>
        </w:tc>
      </w:tr>
      <w:tr>
        <w:trPr>
          <w:trHeight w:val="244"/>
        </w:trPr>
        <w:tc>
          <w:tcPr>
            <w:tcW w:w="4580" w:type="dxa"/>
            <w:vAlign w:val="bottom"/>
            <w:gridSpan w:val="2"/>
          </w:tcPr>
          <w:p>
            <w:pPr>
              <w:ind w:left="200"/>
              <w:spacing w:after="0"/>
              <w:rPr>
                <w:sz w:val="20"/>
                <w:szCs w:val="20"/>
                <w:color w:val="auto"/>
              </w:rPr>
            </w:pPr>
            <w:r>
              <w:rPr>
                <w:rFonts w:ascii="Arial" w:cs="Arial" w:eastAsia="Arial" w:hAnsi="Arial"/>
                <w:sz w:val="16"/>
                <w:szCs w:val="16"/>
                <w:color w:val="auto"/>
              </w:rPr>
              <w:t>Total - U.S. Treasury securities, net at fair value</w:t>
            </w:r>
          </w:p>
        </w:tc>
        <w:tc>
          <w:tcPr>
            <w:tcW w:w="4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00" w:type="dxa"/>
            <w:vAlign w:val="bottom"/>
            <w:tcBorders>
              <w:top w:val="single" w:sz="8" w:color="auto"/>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(1,671)</w:t>
            </w:r>
          </w:p>
        </w:tc>
        <w:tc>
          <w:tcPr>
            <w:tcW w:w="100" w:type="dxa"/>
            <w:vAlign w:val="bottom"/>
          </w:tcPr>
          <w:p>
            <w:pPr>
              <w:spacing w:after="0"/>
              <w:rPr>
                <w:sz w:val="21"/>
                <w:szCs w:val="21"/>
                <w:color w:val="auto"/>
              </w:rPr>
            </w:pPr>
          </w:p>
        </w:tc>
        <w:tc>
          <w:tcPr>
            <w:tcW w:w="360" w:type="dxa"/>
            <w:vAlign w:val="bottom"/>
            <w:tcBorders>
              <w:top w:val="single" w:sz="8" w:color="auto"/>
              <w:bottom w:val="single" w:sz="8" w:color="auto"/>
            </w:tcBorders>
          </w:tcPr>
          <w:p>
            <w:pPr>
              <w:jc w:val="right"/>
              <w:ind w:right="179"/>
              <w:spacing w:after="0"/>
              <w:rPr>
                <w:sz w:val="20"/>
                <w:szCs w:val="20"/>
                <w:color w:val="auto"/>
              </w:rPr>
            </w:pPr>
            <w:r>
              <w:rPr>
                <w:rFonts w:ascii="Arial" w:cs="Arial" w:eastAsia="Arial" w:hAnsi="Arial"/>
                <w:sz w:val="16"/>
                <w:szCs w:val="16"/>
                <w:color w:val="auto"/>
                <w:w w:val="89"/>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(2,936)</w:t>
            </w:r>
          </w:p>
        </w:tc>
      </w:tr>
      <w:tr>
        <w:trPr>
          <w:trHeight w:val="20"/>
        </w:trPr>
        <w:tc>
          <w:tcPr>
            <w:tcW w:w="44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tables summarize our interest rate swap agreements outstanding as of December 31, 2015 and 2014 (dollars in millions):</w:t>
      </w:r>
    </w:p>
    <w:p>
      <w:pPr>
        <w:spacing w:after="0" w:line="392" w:lineRule="exact"/>
        <w:rPr>
          <w:sz w:val="20"/>
          <w:szCs w:val="20"/>
          <w:color w:val="auto"/>
        </w:rPr>
      </w:pPr>
    </w:p>
    <w:tbl>
      <w:tblPr>
        <w:tblLayout w:type="fixed"/>
        <w:tblInd w:w="60" w:type="dxa"/>
        <w:tblCellMar>
          <w:top w:w="0" w:type="dxa"/>
          <w:left w:w="0" w:type="dxa"/>
          <w:bottom w:w="0" w:type="dxa"/>
          <w:right w:w="0" w:type="dxa"/>
        </w:tblCellMar>
      </w:tblPr>
      <w:tr>
        <w:trPr>
          <w:trHeight w:val="192"/>
        </w:trPr>
        <w:tc>
          <w:tcPr>
            <w:tcW w:w="58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3"/>
          </w:tcPr>
          <w:p>
            <w:pPr>
              <w:ind w:left="80"/>
              <w:spacing w:after="0"/>
              <w:rPr>
                <w:sz w:val="20"/>
                <w:szCs w:val="20"/>
                <w:color w:val="auto"/>
              </w:rPr>
            </w:pPr>
            <w:r>
              <w:rPr>
                <w:rFonts w:ascii="Arial" w:cs="Arial" w:eastAsia="Arial" w:hAnsi="Arial"/>
                <w:sz w:val="14"/>
                <w:szCs w:val="14"/>
                <w:b w:val="1"/>
                <w:bCs w:val="1"/>
                <w:color w:val="auto"/>
                <w:w w:val="90"/>
              </w:rPr>
              <w:t>December 31, 2015</w:t>
            </w:r>
          </w:p>
        </w:tc>
        <w:tc>
          <w:tcPr>
            <w:tcW w:w="1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5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Notional</w:t>
            </w:r>
          </w:p>
        </w:tc>
        <w:tc>
          <w:tcPr>
            <w:tcW w:w="9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Average</w:t>
            </w:r>
          </w:p>
        </w:tc>
        <w:tc>
          <w:tcPr>
            <w:tcW w:w="120" w:type="dxa"/>
            <w:vAlign w:val="bottom"/>
          </w:tcPr>
          <w:p>
            <w:pPr>
              <w:spacing w:after="0"/>
              <w:rPr>
                <w:sz w:val="13"/>
                <w:szCs w:val="13"/>
                <w:color w:val="auto"/>
              </w:rPr>
            </w:pPr>
          </w:p>
        </w:tc>
        <w:tc>
          <w:tcPr>
            <w:tcW w:w="11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0"/>
              </w:rPr>
              <w:t>Average</w:t>
            </w:r>
          </w:p>
        </w:tc>
        <w:tc>
          <w:tcPr>
            <w:tcW w:w="140" w:type="dxa"/>
            <w:vAlign w:val="bottom"/>
          </w:tcPr>
          <w:p>
            <w:pPr>
              <w:spacing w:after="0"/>
              <w:rPr>
                <w:sz w:val="13"/>
                <w:szCs w:val="13"/>
                <w:color w:val="auto"/>
              </w:rPr>
            </w:pPr>
          </w:p>
        </w:tc>
        <w:tc>
          <w:tcPr>
            <w:tcW w:w="960" w:type="dxa"/>
            <w:vAlign w:val="bottom"/>
            <w:gridSpan w:val="2"/>
          </w:tcPr>
          <w:p>
            <w:pPr>
              <w:jc w:val="center"/>
              <w:ind w:right="240"/>
              <w:spacing w:after="0" w:line="153" w:lineRule="exact"/>
              <w:rPr>
                <w:sz w:val="20"/>
                <w:szCs w:val="20"/>
                <w:color w:val="auto"/>
              </w:rPr>
            </w:pPr>
            <w:r>
              <w:rPr>
                <w:rFonts w:ascii="Arial" w:cs="Arial" w:eastAsia="Arial" w:hAnsi="Arial"/>
                <w:sz w:val="14"/>
                <w:szCs w:val="14"/>
                <w:b w:val="1"/>
                <w:bCs w:val="1"/>
                <w:color w:val="auto"/>
                <w:w w:val="88"/>
              </w:rPr>
              <w:t>Net</w:t>
            </w:r>
          </w:p>
        </w:tc>
        <w:tc>
          <w:tcPr>
            <w:tcW w:w="10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580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Payer Interest Rate Swaps</w:t>
            </w:r>
          </w:p>
        </w:tc>
        <w:tc>
          <w:tcPr>
            <w:tcW w:w="120" w:type="dxa"/>
            <w:vAlign w:val="bottom"/>
            <w:vMerge w:val="restart"/>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9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Fixed</w:t>
            </w:r>
          </w:p>
        </w:tc>
        <w:tc>
          <w:tcPr>
            <w:tcW w:w="120" w:type="dxa"/>
            <w:vAlign w:val="bottom"/>
          </w:tcPr>
          <w:p>
            <w:pPr>
              <w:spacing w:after="0"/>
              <w:rPr>
                <w:sz w:val="12"/>
                <w:szCs w:val="12"/>
                <w:color w:val="auto"/>
              </w:rPr>
            </w:pPr>
          </w:p>
        </w:tc>
        <w:tc>
          <w:tcPr>
            <w:tcW w:w="11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Receive</w:t>
            </w:r>
          </w:p>
        </w:tc>
        <w:tc>
          <w:tcPr>
            <w:tcW w:w="140" w:type="dxa"/>
            <w:vAlign w:val="bottom"/>
          </w:tcPr>
          <w:p>
            <w:pPr>
              <w:spacing w:after="0"/>
              <w:rPr>
                <w:sz w:val="12"/>
                <w:szCs w:val="12"/>
                <w:color w:val="auto"/>
              </w:rPr>
            </w:pPr>
          </w:p>
        </w:tc>
        <w:tc>
          <w:tcPr>
            <w:tcW w:w="9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5"/>
              </w:rPr>
              <w:t>Estimated</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rPr>
              <w:t>Maturity</w:t>
            </w:r>
          </w:p>
        </w:tc>
        <w:tc>
          <w:tcPr>
            <w:tcW w:w="0" w:type="dxa"/>
            <w:vAlign w:val="bottom"/>
          </w:tcPr>
          <w:p>
            <w:pPr>
              <w:spacing w:after="0"/>
              <w:rPr>
                <w:sz w:val="1"/>
                <w:szCs w:val="1"/>
                <w:color w:val="auto"/>
              </w:rPr>
            </w:pPr>
          </w:p>
        </w:tc>
      </w:tr>
      <w:tr>
        <w:trPr>
          <w:trHeight w:val="192"/>
        </w:trPr>
        <w:tc>
          <w:tcPr>
            <w:tcW w:w="58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161"/>
              <w:spacing w:after="0"/>
              <w:rPr>
                <w:sz w:val="20"/>
                <w:szCs w:val="20"/>
                <w:color w:val="auto"/>
              </w:rPr>
            </w:pPr>
            <w:r>
              <w:rPr>
                <w:rFonts w:ascii="Arial" w:cs="Arial" w:eastAsia="Arial" w:hAnsi="Arial"/>
                <w:sz w:val="14"/>
                <w:szCs w:val="14"/>
                <w:b w:val="1"/>
                <w:bCs w:val="1"/>
                <w:color w:val="auto"/>
              </w:rPr>
              <w:t xml:space="preserve">Amount </w:t>
            </w:r>
            <w:r>
              <w:rPr>
                <w:rFonts w:ascii="Arial" w:cs="Arial" w:eastAsia="Arial" w:hAnsi="Arial"/>
                <w:sz w:val="8"/>
                <w:szCs w:val="8"/>
                <w:b w:val="1"/>
                <w:bCs w:val="1"/>
                <w:color w:val="auto"/>
              </w:rPr>
              <w:t>1</w:t>
            </w:r>
          </w:p>
        </w:tc>
        <w:tc>
          <w:tcPr>
            <w:tcW w:w="12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Pay Rate 2</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 xml:space="preserve">Rate </w:t>
            </w:r>
            <w:r>
              <w:rPr>
                <w:rFonts w:ascii="Arial" w:cs="Arial" w:eastAsia="Arial" w:hAnsi="Arial"/>
                <w:sz w:val="8"/>
                <w:szCs w:val="8"/>
                <w:b w:val="1"/>
                <w:bCs w:val="1"/>
                <w:color w:val="auto"/>
                <w:w w:val="92"/>
              </w:rPr>
              <w:t>3</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95"/>
              </w:rPr>
              <w:t>Fair Value</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36"/>
        </w:trPr>
        <w:tc>
          <w:tcPr>
            <w:tcW w:w="59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 3 years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14,775</w:t>
            </w:r>
          </w:p>
        </w:tc>
        <w:tc>
          <w:tcPr>
            <w:tcW w:w="12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1.06%</w:t>
            </w:r>
          </w:p>
        </w:tc>
        <w:tc>
          <w:tcPr>
            <w:tcW w:w="1140" w:type="dxa"/>
            <w:vAlign w:val="bottom"/>
            <w:tcBorders>
              <w:bottom w:val="single" w:sz="8" w:color="CCEEFF"/>
            </w:tcBorders>
            <w:gridSpan w:val="2"/>
            <w:shd w:val="clear" w:color="auto" w:fill="CCEEFF"/>
          </w:tcPr>
          <w:p>
            <w:pPr>
              <w:jc w:val="center"/>
              <w:ind w:left="40"/>
              <w:spacing w:after="0"/>
              <w:rPr>
                <w:sz w:val="20"/>
                <w:szCs w:val="20"/>
                <w:color w:val="auto"/>
              </w:rPr>
            </w:pPr>
            <w:r>
              <w:rPr>
                <w:rFonts w:ascii="Arial" w:cs="Arial" w:eastAsia="Arial" w:hAnsi="Arial"/>
                <w:sz w:val="16"/>
                <w:szCs w:val="16"/>
                <w:color w:val="auto"/>
                <w:w w:val="92"/>
              </w:rPr>
              <w:t>0.40%</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(23)</w:t>
            </w:r>
          </w:p>
        </w:tc>
        <w:tc>
          <w:tcPr>
            <w:tcW w:w="10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1.6</w:t>
            </w:r>
          </w:p>
        </w:tc>
        <w:tc>
          <w:tcPr>
            <w:tcW w:w="0" w:type="dxa"/>
            <w:vAlign w:val="bottom"/>
          </w:tcPr>
          <w:p>
            <w:pPr>
              <w:spacing w:after="0"/>
              <w:rPr>
                <w:sz w:val="1"/>
                <w:szCs w:val="1"/>
                <w:color w:val="auto"/>
              </w:rPr>
            </w:pPr>
          </w:p>
        </w:tc>
      </w:tr>
      <w:tr>
        <w:trPr>
          <w:trHeight w:val="237"/>
        </w:trPr>
        <w:tc>
          <w:tcPr>
            <w:tcW w:w="5920" w:type="dxa"/>
            <w:vAlign w:val="bottom"/>
            <w:gridSpan w:val="2"/>
          </w:tcPr>
          <w:p>
            <w:pPr>
              <w:ind w:left="20"/>
              <w:spacing w:after="0"/>
              <w:rPr>
                <w:sz w:val="20"/>
                <w:szCs w:val="20"/>
                <w:color w:val="auto"/>
              </w:rPr>
            </w:pPr>
            <w:r>
              <w:rPr>
                <w:rFonts w:ascii="Arial" w:cs="Arial" w:eastAsia="Arial" w:hAnsi="Arial"/>
                <w:sz w:val="16"/>
                <w:szCs w:val="16"/>
                <w:color w:val="auto"/>
              </w:rPr>
              <w:t>&gt; 3 to ≤ 5 years</w:t>
            </w:r>
          </w:p>
        </w:tc>
        <w:tc>
          <w:tcPr>
            <w:tcW w:w="160" w:type="dxa"/>
            <w:vAlign w:val="bottom"/>
          </w:tcPr>
          <w:p>
            <w:pPr>
              <w:spacing w:after="0"/>
              <w:rPr>
                <w:sz w:val="20"/>
                <w:szCs w:val="20"/>
                <w:color w:val="auto"/>
              </w:rPr>
            </w:pPr>
          </w:p>
        </w:tc>
        <w:tc>
          <w:tcPr>
            <w:tcW w:w="880" w:type="dxa"/>
            <w:vAlign w:val="bottom"/>
          </w:tcPr>
          <w:p>
            <w:pPr>
              <w:jc w:val="right"/>
              <w:ind w:right="41"/>
              <w:spacing w:after="0"/>
              <w:rPr>
                <w:sz w:val="20"/>
                <w:szCs w:val="20"/>
                <w:color w:val="auto"/>
              </w:rPr>
            </w:pPr>
            <w:r>
              <w:rPr>
                <w:rFonts w:ascii="Arial" w:cs="Arial" w:eastAsia="Arial" w:hAnsi="Arial"/>
                <w:sz w:val="16"/>
                <w:szCs w:val="16"/>
                <w:color w:val="auto"/>
              </w:rPr>
              <w:t>9,950</w:t>
            </w:r>
          </w:p>
        </w:tc>
        <w:tc>
          <w:tcPr>
            <w:tcW w:w="120" w:type="dxa"/>
            <w:vAlign w:val="bottom"/>
          </w:tcPr>
          <w:p>
            <w:pPr>
              <w:spacing w:after="0"/>
              <w:rPr>
                <w:sz w:val="20"/>
                <w:szCs w:val="20"/>
                <w:color w:val="auto"/>
              </w:rPr>
            </w:pPr>
          </w:p>
        </w:tc>
        <w:tc>
          <w:tcPr>
            <w:tcW w:w="920" w:type="dxa"/>
            <w:vAlign w:val="bottom"/>
          </w:tcPr>
          <w:p>
            <w:pPr>
              <w:jc w:val="center"/>
              <w:spacing w:after="0"/>
              <w:rPr>
                <w:sz w:val="20"/>
                <w:szCs w:val="20"/>
                <w:color w:val="auto"/>
              </w:rPr>
            </w:pPr>
            <w:r>
              <w:rPr>
                <w:rFonts w:ascii="Arial" w:cs="Arial" w:eastAsia="Arial" w:hAnsi="Arial"/>
                <w:sz w:val="16"/>
                <w:szCs w:val="16"/>
                <w:color w:val="auto"/>
                <w:w w:val="92"/>
              </w:rPr>
              <w:t>2.03%</w:t>
            </w:r>
          </w:p>
        </w:tc>
        <w:tc>
          <w:tcPr>
            <w:tcW w:w="1140" w:type="dxa"/>
            <w:vAlign w:val="bottom"/>
            <w:gridSpan w:val="2"/>
          </w:tcPr>
          <w:p>
            <w:pPr>
              <w:jc w:val="center"/>
              <w:ind w:left="40"/>
              <w:spacing w:after="0"/>
              <w:rPr>
                <w:sz w:val="20"/>
                <w:szCs w:val="20"/>
                <w:color w:val="auto"/>
              </w:rPr>
            </w:pPr>
            <w:r>
              <w:rPr>
                <w:rFonts w:ascii="Arial" w:cs="Arial" w:eastAsia="Arial" w:hAnsi="Arial"/>
                <w:sz w:val="16"/>
                <w:szCs w:val="16"/>
                <w:color w:val="auto"/>
                <w:w w:val="92"/>
              </w:rPr>
              <w:t>0.40%</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(203)</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4.0</w:t>
            </w:r>
          </w:p>
        </w:tc>
        <w:tc>
          <w:tcPr>
            <w:tcW w:w="0" w:type="dxa"/>
            <w:vAlign w:val="bottom"/>
          </w:tcPr>
          <w:p>
            <w:pPr>
              <w:spacing w:after="0"/>
              <w:rPr>
                <w:sz w:val="1"/>
                <w:szCs w:val="1"/>
                <w:color w:val="auto"/>
              </w:rPr>
            </w:pPr>
          </w:p>
        </w:tc>
      </w:tr>
      <w:tr>
        <w:trPr>
          <w:trHeight w:val="33"/>
        </w:trPr>
        <w:tc>
          <w:tcPr>
            <w:tcW w:w="5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9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&gt; 5 to ≤ 7 years</w:t>
            </w:r>
          </w:p>
        </w:tc>
        <w:tc>
          <w:tcPr>
            <w:tcW w:w="1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7,175</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2.47%</w:t>
            </w:r>
          </w:p>
        </w:tc>
        <w:tc>
          <w:tcPr>
            <w:tcW w:w="1140" w:type="dxa"/>
            <w:vAlign w:val="bottom"/>
            <w:tcBorders>
              <w:bottom w:val="single" w:sz="8" w:color="CCEEFF"/>
            </w:tcBorders>
            <w:gridSpan w:val="2"/>
            <w:shd w:val="clear" w:color="auto" w:fill="CCEEFF"/>
          </w:tcPr>
          <w:p>
            <w:pPr>
              <w:jc w:val="center"/>
              <w:ind w:left="40"/>
              <w:spacing w:after="0"/>
              <w:rPr>
                <w:sz w:val="20"/>
                <w:szCs w:val="20"/>
                <w:color w:val="auto"/>
              </w:rPr>
            </w:pPr>
            <w:r>
              <w:rPr>
                <w:rFonts w:ascii="Arial" w:cs="Arial" w:eastAsia="Arial" w:hAnsi="Arial"/>
                <w:sz w:val="16"/>
                <w:szCs w:val="16"/>
                <w:color w:val="auto"/>
                <w:w w:val="92"/>
              </w:rPr>
              <w:t>0.44%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(230)</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6.1</w:t>
            </w:r>
          </w:p>
        </w:tc>
        <w:tc>
          <w:tcPr>
            <w:tcW w:w="0" w:type="dxa"/>
            <w:vAlign w:val="bottom"/>
          </w:tcPr>
          <w:p>
            <w:pPr>
              <w:spacing w:after="0"/>
              <w:rPr>
                <w:sz w:val="1"/>
                <w:szCs w:val="1"/>
                <w:color w:val="auto"/>
              </w:rPr>
            </w:pPr>
          </w:p>
        </w:tc>
      </w:tr>
      <w:tr>
        <w:trPr>
          <w:trHeight w:val="237"/>
        </w:trPr>
        <w:tc>
          <w:tcPr>
            <w:tcW w:w="5920" w:type="dxa"/>
            <w:vAlign w:val="bottom"/>
            <w:gridSpan w:val="2"/>
          </w:tcPr>
          <w:p>
            <w:pPr>
              <w:ind w:left="20"/>
              <w:spacing w:after="0"/>
              <w:rPr>
                <w:sz w:val="20"/>
                <w:szCs w:val="20"/>
                <w:color w:val="auto"/>
              </w:rPr>
            </w:pPr>
            <w:r>
              <w:rPr>
                <w:rFonts w:ascii="Arial" w:cs="Arial" w:eastAsia="Arial" w:hAnsi="Arial"/>
                <w:sz w:val="16"/>
                <w:szCs w:val="16"/>
                <w:color w:val="auto"/>
              </w:rPr>
              <w:t>&gt; 7 to ≤ 10 years</w:t>
            </w:r>
          </w:p>
        </w:tc>
        <w:tc>
          <w:tcPr>
            <w:tcW w:w="160" w:type="dxa"/>
            <w:vAlign w:val="bottom"/>
          </w:tcPr>
          <w:p>
            <w:pPr>
              <w:spacing w:after="0"/>
              <w:rPr>
                <w:sz w:val="20"/>
                <w:szCs w:val="20"/>
                <w:color w:val="auto"/>
              </w:rPr>
            </w:pPr>
          </w:p>
        </w:tc>
        <w:tc>
          <w:tcPr>
            <w:tcW w:w="880" w:type="dxa"/>
            <w:vAlign w:val="bottom"/>
          </w:tcPr>
          <w:p>
            <w:pPr>
              <w:jc w:val="right"/>
              <w:ind w:right="41"/>
              <w:spacing w:after="0"/>
              <w:rPr>
                <w:sz w:val="20"/>
                <w:szCs w:val="20"/>
                <w:color w:val="auto"/>
              </w:rPr>
            </w:pPr>
            <w:r>
              <w:rPr>
                <w:rFonts w:ascii="Arial" w:cs="Arial" w:eastAsia="Arial" w:hAnsi="Arial"/>
                <w:sz w:val="16"/>
                <w:szCs w:val="16"/>
                <w:color w:val="auto"/>
              </w:rPr>
              <w:t>7,450</w:t>
            </w:r>
          </w:p>
        </w:tc>
        <w:tc>
          <w:tcPr>
            <w:tcW w:w="120" w:type="dxa"/>
            <w:vAlign w:val="bottom"/>
          </w:tcPr>
          <w:p>
            <w:pPr>
              <w:spacing w:after="0"/>
              <w:rPr>
                <w:sz w:val="20"/>
                <w:szCs w:val="20"/>
                <w:color w:val="auto"/>
              </w:rPr>
            </w:pPr>
          </w:p>
        </w:tc>
        <w:tc>
          <w:tcPr>
            <w:tcW w:w="920" w:type="dxa"/>
            <w:vAlign w:val="bottom"/>
          </w:tcPr>
          <w:p>
            <w:pPr>
              <w:jc w:val="center"/>
              <w:spacing w:after="0"/>
              <w:rPr>
                <w:sz w:val="20"/>
                <w:szCs w:val="20"/>
                <w:color w:val="auto"/>
              </w:rPr>
            </w:pPr>
            <w:r>
              <w:rPr>
                <w:rFonts w:ascii="Arial" w:cs="Arial" w:eastAsia="Arial" w:hAnsi="Arial"/>
                <w:sz w:val="16"/>
                <w:szCs w:val="16"/>
                <w:color w:val="auto"/>
                <w:w w:val="92"/>
              </w:rPr>
              <w:t>2.57%</w:t>
            </w:r>
          </w:p>
        </w:tc>
        <w:tc>
          <w:tcPr>
            <w:tcW w:w="1140" w:type="dxa"/>
            <w:vAlign w:val="bottom"/>
            <w:gridSpan w:val="2"/>
          </w:tcPr>
          <w:p>
            <w:pPr>
              <w:jc w:val="center"/>
              <w:ind w:left="40"/>
              <w:spacing w:after="0"/>
              <w:rPr>
                <w:sz w:val="20"/>
                <w:szCs w:val="20"/>
                <w:color w:val="auto"/>
              </w:rPr>
            </w:pPr>
            <w:r>
              <w:rPr>
                <w:rFonts w:ascii="Arial" w:cs="Arial" w:eastAsia="Arial" w:hAnsi="Arial"/>
                <w:sz w:val="16"/>
                <w:szCs w:val="16"/>
                <w:color w:val="auto"/>
                <w:w w:val="92"/>
              </w:rPr>
              <w:t>0.39%</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(342)</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8.3</w:t>
            </w:r>
          </w:p>
        </w:tc>
        <w:tc>
          <w:tcPr>
            <w:tcW w:w="0" w:type="dxa"/>
            <w:vAlign w:val="bottom"/>
          </w:tcPr>
          <w:p>
            <w:pPr>
              <w:spacing w:after="0"/>
              <w:rPr>
                <w:sz w:val="1"/>
                <w:szCs w:val="1"/>
                <w:color w:val="auto"/>
              </w:rPr>
            </w:pPr>
          </w:p>
        </w:tc>
      </w:tr>
      <w:tr>
        <w:trPr>
          <w:trHeight w:val="33"/>
        </w:trPr>
        <w:tc>
          <w:tcPr>
            <w:tcW w:w="5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9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&gt; 10 years</w:t>
            </w:r>
          </w:p>
        </w:tc>
        <w:tc>
          <w:tcPr>
            <w:tcW w:w="1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1,175</w:t>
            </w:r>
          </w:p>
        </w:tc>
        <w:tc>
          <w:tcPr>
            <w:tcW w:w="12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3.20%</w:t>
            </w:r>
          </w:p>
        </w:tc>
        <w:tc>
          <w:tcPr>
            <w:tcW w:w="1140" w:type="dxa"/>
            <w:vAlign w:val="bottom"/>
            <w:tcBorders>
              <w:bottom w:val="single" w:sz="8" w:color="CCEEFF"/>
            </w:tcBorders>
            <w:gridSpan w:val="2"/>
            <w:shd w:val="clear" w:color="auto" w:fill="CCEEFF"/>
          </w:tcPr>
          <w:p>
            <w:pPr>
              <w:jc w:val="center"/>
              <w:ind w:left="40"/>
              <w:spacing w:after="0"/>
              <w:rPr>
                <w:sz w:val="20"/>
                <w:szCs w:val="20"/>
                <w:color w:val="auto"/>
              </w:rPr>
            </w:pPr>
            <w:r>
              <w:rPr>
                <w:rFonts w:ascii="Arial" w:cs="Arial" w:eastAsia="Arial" w:hAnsi="Arial"/>
                <w:sz w:val="16"/>
                <w:szCs w:val="16"/>
                <w:color w:val="auto"/>
                <w:w w:val="92"/>
              </w:rPr>
              <w:t>0.39%</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(91)</w:t>
            </w:r>
          </w:p>
        </w:tc>
        <w:tc>
          <w:tcPr>
            <w:tcW w:w="1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14.7</w:t>
            </w:r>
          </w:p>
        </w:tc>
        <w:tc>
          <w:tcPr>
            <w:tcW w:w="0" w:type="dxa"/>
            <w:vAlign w:val="bottom"/>
          </w:tcPr>
          <w:p>
            <w:pPr>
              <w:spacing w:after="0"/>
              <w:rPr>
                <w:sz w:val="1"/>
                <w:szCs w:val="1"/>
                <w:color w:val="auto"/>
              </w:rPr>
            </w:pPr>
          </w:p>
        </w:tc>
      </w:tr>
      <w:tr>
        <w:trPr>
          <w:trHeight w:val="244"/>
        </w:trPr>
        <w:tc>
          <w:tcPr>
            <w:tcW w:w="5920" w:type="dxa"/>
            <w:vAlign w:val="bottom"/>
            <w:gridSpan w:val="2"/>
          </w:tcPr>
          <w:p>
            <w:pPr>
              <w:ind w:left="20"/>
              <w:spacing w:after="0"/>
              <w:rPr>
                <w:sz w:val="20"/>
                <w:szCs w:val="20"/>
                <w:color w:val="auto"/>
              </w:rPr>
            </w:pPr>
            <w:r>
              <w:rPr>
                <w:rFonts w:ascii="Arial" w:cs="Arial" w:eastAsia="Arial" w:hAnsi="Arial"/>
                <w:sz w:val="16"/>
                <w:szCs w:val="16"/>
                <w:color w:val="auto"/>
              </w:rPr>
              <w:t>Total payer interest rate swaps</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40,525</w:t>
            </w:r>
          </w:p>
        </w:tc>
        <w:tc>
          <w:tcPr>
            <w:tcW w:w="120" w:type="dxa"/>
            <w:vAlign w:val="bottom"/>
          </w:tcPr>
          <w:p>
            <w:pPr>
              <w:spacing w:after="0"/>
              <w:rPr>
                <w:sz w:val="21"/>
                <w:szCs w:val="21"/>
                <w:color w:val="auto"/>
              </w:rPr>
            </w:pPr>
          </w:p>
        </w:tc>
        <w:tc>
          <w:tcPr>
            <w:tcW w:w="9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2"/>
              </w:rPr>
              <w:t>1.89%</w:t>
            </w:r>
          </w:p>
        </w:tc>
        <w:tc>
          <w:tcPr>
            <w:tcW w:w="120" w:type="dxa"/>
            <w:vAlign w:val="bottom"/>
          </w:tcPr>
          <w:p>
            <w:pPr>
              <w:spacing w:after="0"/>
              <w:rPr>
                <w:sz w:val="21"/>
                <w:szCs w:val="21"/>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2"/>
              </w:rPr>
              <w:t>0.40%</w:t>
            </w:r>
          </w:p>
        </w:tc>
        <w:tc>
          <w:tcPr>
            <w:tcW w:w="100" w:type="dxa"/>
            <w:vAlign w:val="bottom"/>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(889)</w:t>
            </w:r>
          </w:p>
        </w:tc>
        <w:tc>
          <w:tcPr>
            <w:tcW w:w="100" w:type="dxa"/>
            <w:vAlign w:val="bottom"/>
          </w:tcPr>
          <w:p>
            <w:pPr>
              <w:spacing w:after="0"/>
              <w:rPr>
                <w:sz w:val="21"/>
                <w:szCs w:val="21"/>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89"/>
              </w:rPr>
              <w:t>4.6</w:t>
            </w:r>
          </w:p>
        </w:tc>
        <w:tc>
          <w:tcPr>
            <w:tcW w:w="0" w:type="dxa"/>
            <w:vAlign w:val="bottom"/>
          </w:tcPr>
          <w:p>
            <w:pPr>
              <w:spacing w:after="0"/>
              <w:rPr>
                <w:sz w:val="1"/>
                <w:szCs w:val="1"/>
                <w:color w:val="auto"/>
              </w:rPr>
            </w:pPr>
          </w:p>
        </w:tc>
      </w:tr>
      <w:tr>
        <w:trPr>
          <w:trHeight w:val="20"/>
        </w:trPr>
        <w:tc>
          <w:tcPr>
            <w:tcW w:w="58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 w:lineRule="exact"/>
        <w:rPr>
          <w:sz w:val="20"/>
          <w:szCs w:val="20"/>
          <w:color w:val="auto"/>
        </w:rPr>
      </w:pPr>
    </w:p>
    <w:p>
      <w:pPr>
        <w:ind w:left="140"/>
        <w:spacing w:after="0"/>
        <w:rPr>
          <w:sz w:val="20"/>
          <w:szCs w:val="20"/>
          <w:color w:val="auto"/>
        </w:rPr>
      </w:pPr>
      <w:r>
        <w:rPr>
          <w:rFonts w:ascii="Arial" w:cs="Arial" w:eastAsia="Arial" w:hAnsi="Arial"/>
          <w:sz w:val="14"/>
          <w:szCs w:val="14"/>
          <w:color w:val="auto"/>
        </w:rPr>
        <w:t>________________________</w:t>
      </w:r>
    </w:p>
    <w:p>
      <w:pPr>
        <w:spacing w:after="0" w:line="28" w:lineRule="exact"/>
        <w:rPr>
          <w:sz w:val="20"/>
          <w:szCs w:val="20"/>
          <w:color w:val="auto"/>
        </w:rPr>
      </w:pPr>
    </w:p>
    <w:p>
      <w:pPr>
        <w:ind w:left="660" w:hanging="328"/>
        <w:spacing w:after="0"/>
        <w:tabs>
          <w:tab w:leader="none" w:pos="660" w:val="left"/>
        </w:tabs>
        <w:numPr>
          <w:ilvl w:val="0"/>
          <w:numId w:val="53"/>
        </w:numPr>
        <w:rPr>
          <w:rFonts w:ascii="Arial" w:cs="Arial" w:eastAsia="Arial" w:hAnsi="Arial"/>
          <w:sz w:val="14"/>
          <w:szCs w:val="14"/>
          <w:color w:val="auto"/>
        </w:rPr>
      </w:pPr>
      <w:r>
        <w:rPr>
          <w:rFonts w:ascii="Arial" w:cs="Arial" w:eastAsia="Arial" w:hAnsi="Arial"/>
          <w:sz w:val="14"/>
          <w:szCs w:val="14"/>
          <w:color w:val="auto"/>
        </w:rPr>
        <w:t>Notional amount includes forward starting swaps of $4.5 billion with an average forward start date of 0.7 years and an average maturity of 5.5 years from December 31, 2015.</w:t>
      </w:r>
    </w:p>
    <w:p>
      <w:pPr>
        <w:spacing w:after="0" w:line="13" w:lineRule="exact"/>
        <w:rPr>
          <w:rFonts w:ascii="Arial" w:cs="Arial" w:eastAsia="Arial" w:hAnsi="Arial"/>
          <w:sz w:val="14"/>
          <w:szCs w:val="14"/>
          <w:color w:val="auto"/>
        </w:rPr>
      </w:pPr>
    </w:p>
    <w:p>
      <w:pPr>
        <w:ind w:left="660" w:hanging="328"/>
        <w:spacing w:after="0"/>
        <w:tabs>
          <w:tab w:leader="none" w:pos="660" w:val="left"/>
        </w:tabs>
        <w:numPr>
          <w:ilvl w:val="0"/>
          <w:numId w:val="53"/>
        </w:numPr>
        <w:rPr>
          <w:rFonts w:ascii="Arial" w:cs="Arial" w:eastAsia="Arial" w:hAnsi="Arial"/>
          <w:sz w:val="14"/>
          <w:szCs w:val="14"/>
          <w:color w:val="auto"/>
        </w:rPr>
      </w:pPr>
      <w:r>
        <w:rPr>
          <w:rFonts w:ascii="Arial" w:cs="Arial" w:eastAsia="Arial" w:hAnsi="Arial"/>
          <w:sz w:val="14"/>
          <w:szCs w:val="14"/>
          <w:color w:val="auto"/>
        </w:rPr>
        <w:t>Average fixed pay rate includes forward starting swaps. Excluding forward starting swaps, the average fixed pay rate was 1.75% as of December 31, 2015.</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53"/>
        </w:numPr>
        <w:rPr>
          <w:rFonts w:ascii="Arial" w:cs="Arial" w:eastAsia="Arial" w:hAnsi="Arial"/>
          <w:sz w:val="14"/>
          <w:szCs w:val="14"/>
          <w:color w:val="auto"/>
        </w:rPr>
      </w:pPr>
      <w:r>
        <w:rPr>
          <w:rFonts w:ascii="Arial" w:cs="Arial" w:eastAsia="Arial" w:hAnsi="Arial"/>
          <w:sz w:val="14"/>
          <w:szCs w:val="14"/>
          <w:color w:val="auto"/>
        </w:rPr>
        <w:t>Average receive rate excludes forward starting swaps.</w:t>
      </w:r>
    </w:p>
    <w:p>
      <w:pPr>
        <w:spacing w:after="0" w:line="200" w:lineRule="exact"/>
        <w:rPr>
          <w:sz w:val="20"/>
          <w:szCs w:val="20"/>
          <w:color w:val="auto"/>
        </w:rPr>
      </w:pPr>
    </w:p>
    <w:p>
      <w:pPr>
        <w:spacing w:after="0" w:line="3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91</w:t>
      </w:r>
    </w:p>
    <w:p>
      <w:pPr>
        <w:sectPr>
          <w:pgSz w:w="11900" w:h="16838" w:orient="portrait"/>
          <w:cols w:equalWidth="0" w:num="1">
            <w:col w:w="11420"/>
          </w:cols>
          <w:pgMar w:left="240" w:top="584" w:right="239" w:bottom="1440" w:gutter="0" w:footer="0" w:header="0"/>
        </w:sectPr>
      </w:pPr>
    </w:p>
    <w:bookmarkStart w:id="92" w:name="page93"/>
    <w:bookmarkEnd w:id="92"/>
    <w:tbl>
      <w:tblPr>
        <w:tblLayout w:type="fixed"/>
        <w:tblInd w:w="60" w:type="dxa"/>
        <w:tblCellMar>
          <w:top w:w="0" w:type="dxa"/>
          <w:left w:w="0" w:type="dxa"/>
          <w:bottom w:w="0" w:type="dxa"/>
          <w:right w:w="0" w:type="dxa"/>
        </w:tblCellMar>
      </w:tblPr>
      <w:tr>
        <w:trPr>
          <w:trHeight w:val="192"/>
        </w:trPr>
        <w:tc>
          <w:tcPr>
            <w:tcW w:w="58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4"/>
          </w:tcPr>
          <w:p>
            <w:pPr>
              <w:ind w:left="80"/>
              <w:spacing w:after="0"/>
              <w:rPr>
                <w:sz w:val="20"/>
                <w:szCs w:val="20"/>
                <w:color w:val="auto"/>
              </w:rPr>
            </w:pPr>
            <w:r>
              <w:rPr>
                <w:rFonts w:ascii="Arial" w:cs="Arial" w:eastAsia="Arial" w:hAnsi="Arial"/>
                <w:sz w:val="14"/>
                <w:szCs w:val="14"/>
                <w:b w:val="1"/>
                <w:bCs w:val="1"/>
                <w:color w:val="auto"/>
                <w:w w:val="98"/>
              </w:rPr>
              <w:t>December 31, 2014</w:t>
            </w:r>
          </w:p>
        </w:tc>
        <w:tc>
          <w:tcPr>
            <w:tcW w:w="1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5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Notional</w:t>
            </w:r>
          </w:p>
        </w:tc>
        <w:tc>
          <w:tcPr>
            <w:tcW w:w="920" w:type="dxa"/>
            <w:vAlign w:val="bottom"/>
          </w:tcPr>
          <w:p>
            <w:pPr>
              <w:jc w:val="center"/>
              <w:ind w:left="22"/>
              <w:spacing w:after="0" w:line="153" w:lineRule="exact"/>
              <w:rPr>
                <w:sz w:val="20"/>
                <w:szCs w:val="20"/>
                <w:color w:val="auto"/>
              </w:rPr>
            </w:pPr>
            <w:r>
              <w:rPr>
                <w:rFonts w:ascii="Arial" w:cs="Arial" w:eastAsia="Arial" w:hAnsi="Arial"/>
                <w:sz w:val="14"/>
                <w:szCs w:val="14"/>
                <w:b w:val="1"/>
                <w:bCs w:val="1"/>
                <w:color w:val="auto"/>
                <w:w w:val="90"/>
              </w:rPr>
              <w:t>Average</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0"/>
              </w:rPr>
              <w:t>Average</w:t>
            </w:r>
          </w:p>
        </w:tc>
        <w:tc>
          <w:tcPr>
            <w:tcW w:w="160" w:type="dxa"/>
            <w:vAlign w:val="bottom"/>
          </w:tcPr>
          <w:p>
            <w:pPr>
              <w:spacing w:after="0"/>
              <w:rPr>
                <w:sz w:val="13"/>
                <w:szCs w:val="13"/>
                <w:color w:val="auto"/>
              </w:rPr>
            </w:pPr>
          </w:p>
        </w:tc>
        <w:tc>
          <w:tcPr>
            <w:tcW w:w="96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7"/>
              </w:rPr>
              <w:t>Net</w:t>
            </w:r>
          </w:p>
        </w:tc>
        <w:tc>
          <w:tcPr>
            <w:tcW w:w="90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580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Payer Interest Rate Swaps</w:t>
            </w:r>
          </w:p>
        </w:tc>
        <w:tc>
          <w:tcPr>
            <w:tcW w:w="120" w:type="dxa"/>
            <w:vAlign w:val="bottom"/>
            <w:vMerge w:val="restart"/>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920" w:type="dxa"/>
            <w:vAlign w:val="bottom"/>
          </w:tcPr>
          <w:p>
            <w:pPr>
              <w:jc w:val="center"/>
              <w:ind w:left="22"/>
              <w:spacing w:after="0" w:line="149" w:lineRule="exact"/>
              <w:rPr>
                <w:sz w:val="20"/>
                <w:szCs w:val="20"/>
                <w:color w:val="auto"/>
              </w:rPr>
            </w:pPr>
            <w:r>
              <w:rPr>
                <w:rFonts w:ascii="Arial" w:cs="Arial" w:eastAsia="Arial" w:hAnsi="Arial"/>
                <w:sz w:val="14"/>
                <w:szCs w:val="14"/>
                <w:b w:val="1"/>
                <w:bCs w:val="1"/>
                <w:color w:val="auto"/>
                <w:w w:val="92"/>
              </w:rPr>
              <w:t>Fixed</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6"/>
              </w:rPr>
              <w:t>Receive</w:t>
            </w:r>
          </w:p>
        </w:tc>
        <w:tc>
          <w:tcPr>
            <w:tcW w:w="160" w:type="dxa"/>
            <w:vAlign w:val="bottom"/>
          </w:tcPr>
          <w:p>
            <w:pPr>
              <w:spacing w:after="0"/>
              <w:rPr>
                <w:sz w:val="12"/>
                <w:szCs w:val="12"/>
                <w:color w:val="auto"/>
              </w:rPr>
            </w:pPr>
          </w:p>
        </w:tc>
        <w:tc>
          <w:tcPr>
            <w:tcW w:w="9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Estimated</w:t>
            </w: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rPr>
              <w:t>Maturity</w:t>
            </w:r>
          </w:p>
        </w:tc>
        <w:tc>
          <w:tcPr>
            <w:tcW w:w="0" w:type="dxa"/>
            <w:vAlign w:val="bottom"/>
          </w:tcPr>
          <w:p>
            <w:pPr>
              <w:spacing w:after="0"/>
              <w:rPr>
                <w:sz w:val="1"/>
                <w:szCs w:val="1"/>
                <w:color w:val="auto"/>
              </w:rPr>
            </w:pPr>
          </w:p>
        </w:tc>
      </w:tr>
      <w:tr>
        <w:trPr>
          <w:trHeight w:val="192"/>
        </w:trPr>
        <w:tc>
          <w:tcPr>
            <w:tcW w:w="58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161"/>
              <w:spacing w:after="0"/>
              <w:rPr>
                <w:sz w:val="20"/>
                <w:szCs w:val="20"/>
                <w:color w:val="auto"/>
              </w:rPr>
            </w:pPr>
            <w:r>
              <w:rPr>
                <w:rFonts w:ascii="Arial" w:cs="Arial" w:eastAsia="Arial" w:hAnsi="Arial"/>
                <w:sz w:val="14"/>
                <w:szCs w:val="14"/>
                <w:b w:val="1"/>
                <w:bCs w:val="1"/>
                <w:color w:val="auto"/>
              </w:rPr>
              <w:t xml:space="preserve">Amount </w:t>
            </w:r>
            <w:r>
              <w:rPr>
                <w:rFonts w:ascii="Arial" w:cs="Arial" w:eastAsia="Arial" w:hAnsi="Arial"/>
                <w:sz w:val="8"/>
                <w:szCs w:val="8"/>
                <w:b w:val="1"/>
                <w:bCs w:val="1"/>
                <w:color w:val="auto"/>
              </w:rPr>
              <w:t>1</w:t>
            </w:r>
          </w:p>
        </w:tc>
        <w:tc>
          <w:tcPr>
            <w:tcW w:w="12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center"/>
              <w:ind w:left="42"/>
              <w:spacing w:after="0"/>
              <w:rPr>
                <w:sz w:val="20"/>
                <w:szCs w:val="20"/>
                <w:color w:val="auto"/>
              </w:rPr>
            </w:pPr>
            <w:r>
              <w:rPr>
                <w:rFonts w:ascii="Arial" w:cs="Arial" w:eastAsia="Arial" w:hAnsi="Arial"/>
                <w:sz w:val="14"/>
                <w:szCs w:val="14"/>
                <w:b w:val="1"/>
                <w:bCs w:val="1"/>
                <w:color w:val="auto"/>
                <w:w w:val="94"/>
              </w:rPr>
              <w:t xml:space="preserve">Pay Rate </w:t>
            </w:r>
            <w:r>
              <w:rPr>
                <w:rFonts w:ascii="Arial" w:cs="Arial" w:eastAsia="Arial" w:hAnsi="Arial"/>
                <w:sz w:val="8"/>
                <w:szCs w:val="8"/>
                <w:b w:val="1"/>
                <w:bCs w:val="1"/>
                <w:color w:val="auto"/>
                <w:w w:val="94"/>
              </w:rPr>
              <w:t>2</w:t>
            </w: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 xml:space="preserve">Rate </w:t>
            </w:r>
            <w:r>
              <w:rPr>
                <w:rFonts w:ascii="Arial" w:cs="Arial" w:eastAsia="Arial" w:hAnsi="Arial"/>
                <w:sz w:val="8"/>
                <w:szCs w:val="8"/>
                <w:b w:val="1"/>
                <w:bCs w:val="1"/>
                <w:color w:val="auto"/>
                <w:w w:val="98"/>
              </w:rPr>
              <w:t>3</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98"/>
              </w:rPr>
              <w:t>Fair Value</w:t>
            </w:r>
          </w:p>
        </w:tc>
        <w:tc>
          <w:tcPr>
            <w:tcW w:w="120" w:type="dxa"/>
            <w:vAlign w:val="bottom"/>
            <w:tcBorders>
              <w:bottom w:val="single" w:sz="8" w:color="CCEEFF"/>
            </w:tcBorders>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36"/>
        </w:trPr>
        <w:tc>
          <w:tcPr>
            <w:tcW w:w="59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 3 years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12,300</w:t>
            </w:r>
          </w:p>
        </w:tc>
        <w:tc>
          <w:tcPr>
            <w:tcW w:w="12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jc w:val="center"/>
              <w:ind w:left="22"/>
              <w:spacing w:after="0"/>
              <w:rPr>
                <w:sz w:val="20"/>
                <w:szCs w:val="20"/>
                <w:color w:val="auto"/>
              </w:rPr>
            </w:pPr>
            <w:r>
              <w:rPr>
                <w:rFonts w:ascii="Arial" w:cs="Arial" w:eastAsia="Arial" w:hAnsi="Arial"/>
                <w:sz w:val="16"/>
                <w:szCs w:val="16"/>
                <w:color w:val="auto"/>
                <w:w w:val="92"/>
              </w:rPr>
              <w:t>1.33%</w:t>
            </w:r>
          </w:p>
        </w:tc>
        <w:tc>
          <w:tcPr>
            <w:tcW w:w="1240" w:type="dxa"/>
            <w:vAlign w:val="bottom"/>
            <w:tcBorders>
              <w:bottom w:val="single" w:sz="8" w:color="CCEEFF"/>
            </w:tcBorders>
            <w:gridSpan w:val="3"/>
            <w:shd w:val="clear" w:color="auto" w:fill="CCEEFF"/>
          </w:tcPr>
          <w:p>
            <w:pPr>
              <w:jc w:val="center"/>
              <w:ind w:left="140"/>
              <w:spacing w:after="0"/>
              <w:rPr>
                <w:sz w:val="20"/>
                <w:szCs w:val="20"/>
                <w:color w:val="auto"/>
              </w:rPr>
            </w:pPr>
            <w:r>
              <w:rPr>
                <w:rFonts w:ascii="Arial" w:cs="Arial" w:eastAsia="Arial" w:hAnsi="Arial"/>
                <w:sz w:val="16"/>
                <w:szCs w:val="16"/>
                <w:color w:val="auto"/>
                <w:w w:val="92"/>
              </w:rPr>
              <w:t>0.21%</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(87)</w:t>
            </w:r>
          </w:p>
        </w:tc>
        <w:tc>
          <w:tcPr>
            <w:tcW w:w="1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2.0</w:t>
            </w:r>
          </w:p>
        </w:tc>
        <w:tc>
          <w:tcPr>
            <w:tcW w:w="0" w:type="dxa"/>
            <w:vAlign w:val="bottom"/>
          </w:tcPr>
          <w:p>
            <w:pPr>
              <w:spacing w:after="0"/>
              <w:rPr>
                <w:sz w:val="1"/>
                <w:szCs w:val="1"/>
                <w:color w:val="auto"/>
              </w:rPr>
            </w:pPr>
          </w:p>
        </w:tc>
      </w:tr>
      <w:tr>
        <w:trPr>
          <w:trHeight w:val="237"/>
        </w:trPr>
        <w:tc>
          <w:tcPr>
            <w:tcW w:w="5920" w:type="dxa"/>
            <w:vAlign w:val="bottom"/>
            <w:gridSpan w:val="2"/>
          </w:tcPr>
          <w:p>
            <w:pPr>
              <w:ind w:left="20"/>
              <w:spacing w:after="0"/>
              <w:rPr>
                <w:sz w:val="20"/>
                <w:szCs w:val="20"/>
                <w:color w:val="auto"/>
              </w:rPr>
            </w:pPr>
            <w:r>
              <w:rPr>
                <w:rFonts w:ascii="Arial" w:cs="Arial" w:eastAsia="Arial" w:hAnsi="Arial"/>
                <w:sz w:val="16"/>
                <w:szCs w:val="16"/>
                <w:color w:val="auto"/>
              </w:rPr>
              <w:t>&gt; 3 to ≤ 5 years</w:t>
            </w:r>
          </w:p>
        </w:tc>
        <w:tc>
          <w:tcPr>
            <w:tcW w:w="160" w:type="dxa"/>
            <w:vAlign w:val="bottom"/>
          </w:tcPr>
          <w:p>
            <w:pPr>
              <w:spacing w:after="0"/>
              <w:rPr>
                <w:sz w:val="20"/>
                <w:szCs w:val="20"/>
                <w:color w:val="auto"/>
              </w:rPr>
            </w:pPr>
          </w:p>
        </w:tc>
        <w:tc>
          <w:tcPr>
            <w:tcW w:w="880" w:type="dxa"/>
            <w:vAlign w:val="bottom"/>
          </w:tcPr>
          <w:p>
            <w:pPr>
              <w:jc w:val="right"/>
              <w:ind w:right="41"/>
              <w:spacing w:after="0"/>
              <w:rPr>
                <w:sz w:val="20"/>
                <w:szCs w:val="20"/>
                <w:color w:val="auto"/>
              </w:rPr>
            </w:pPr>
            <w:r>
              <w:rPr>
                <w:rFonts w:ascii="Arial" w:cs="Arial" w:eastAsia="Arial" w:hAnsi="Arial"/>
                <w:sz w:val="16"/>
                <w:szCs w:val="16"/>
                <w:color w:val="auto"/>
              </w:rPr>
              <w:t>8,975</w:t>
            </w:r>
          </w:p>
        </w:tc>
        <w:tc>
          <w:tcPr>
            <w:tcW w:w="120" w:type="dxa"/>
            <w:vAlign w:val="bottom"/>
          </w:tcPr>
          <w:p>
            <w:pPr>
              <w:spacing w:after="0"/>
              <w:rPr>
                <w:sz w:val="20"/>
                <w:szCs w:val="20"/>
                <w:color w:val="auto"/>
              </w:rPr>
            </w:pPr>
          </w:p>
        </w:tc>
        <w:tc>
          <w:tcPr>
            <w:tcW w:w="920" w:type="dxa"/>
            <w:vAlign w:val="bottom"/>
          </w:tcPr>
          <w:p>
            <w:pPr>
              <w:jc w:val="center"/>
              <w:ind w:left="22"/>
              <w:spacing w:after="0"/>
              <w:rPr>
                <w:sz w:val="20"/>
                <w:szCs w:val="20"/>
                <w:color w:val="auto"/>
              </w:rPr>
            </w:pPr>
            <w:r>
              <w:rPr>
                <w:rFonts w:ascii="Arial" w:cs="Arial" w:eastAsia="Arial" w:hAnsi="Arial"/>
                <w:sz w:val="16"/>
                <w:szCs w:val="16"/>
                <w:color w:val="auto"/>
                <w:w w:val="92"/>
              </w:rPr>
              <w:t>1.63%</w:t>
            </w:r>
          </w:p>
        </w:tc>
        <w:tc>
          <w:tcPr>
            <w:tcW w:w="1240" w:type="dxa"/>
            <w:vAlign w:val="bottom"/>
            <w:gridSpan w:val="3"/>
          </w:tcPr>
          <w:p>
            <w:pPr>
              <w:jc w:val="center"/>
              <w:ind w:left="140"/>
              <w:spacing w:after="0"/>
              <w:rPr>
                <w:sz w:val="20"/>
                <w:szCs w:val="20"/>
                <w:color w:val="auto"/>
              </w:rPr>
            </w:pPr>
            <w:r>
              <w:rPr>
                <w:rFonts w:ascii="Arial" w:cs="Arial" w:eastAsia="Arial" w:hAnsi="Arial"/>
                <w:sz w:val="16"/>
                <w:szCs w:val="16"/>
                <w:color w:val="auto"/>
                <w:w w:val="92"/>
              </w:rPr>
              <w:t>0.24%</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(4)</w:t>
            </w:r>
          </w:p>
        </w:tc>
        <w:tc>
          <w:tcPr>
            <w:tcW w:w="120" w:type="dxa"/>
            <w:vAlign w:val="bottom"/>
          </w:tcPr>
          <w:p>
            <w:pPr>
              <w:spacing w:after="0"/>
              <w:rPr>
                <w:sz w:val="20"/>
                <w:szCs w:val="20"/>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89"/>
              </w:rPr>
              <w:t>4.2</w:t>
            </w:r>
          </w:p>
        </w:tc>
        <w:tc>
          <w:tcPr>
            <w:tcW w:w="0" w:type="dxa"/>
            <w:vAlign w:val="bottom"/>
          </w:tcPr>
          <w:p>
            <w:pPr>
              <w:spacing w:after="0"/>
              <w:rPr>
                <w:sz w:val="1"/>
                <w:szCs w:val="1"/>
                <w:color w:val="auto"/>
              </w:rPr>
            </w:pPr>
          </w:p>
        </w:tc>
      </w:tr>
      <w:tr>
        <w:trPr>
          <w:trHeight w:val="33"/>
        </w:trPr>
        <w:tc>
          <w:tcPr>
            <w:tcW w:w="5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9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&gt; 5 to ≤ 7 years</w:t>
            </w:r>
          </w:p>
        </w:tc>
        <w:tc>
          <w:tcPr>
            <w:tcW w:w="1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7,250</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center"/>
              <w:ind w:left="22"/>
              <w:spacing w:after="0"/>
              <w:rPr>
                <w:sz w:val="20"/>
                <w:szCs w:val="20"/>
                <w:color w:val="auto"/>
              </w:rPr>
            </w:pPr>
            <w:r>
              <w:rPr>
                <w:rFonts w:ascii="Arial" w:cs="Arial" w:eastAsia="Arial" w:hAnsi="Arial"/>
                <w:sz w:val="16"/>
                <w:szCs w:val="16"/>
                <w:color w:val="auto"/>
                <w:w w:val="92"/>
              </w:rPr>
              <w:t>2.47%</w:t>
            </w:r>
          </w:p>
        </w:tc>
        <w:tc>
          <w:tcPr>
            <w:tcW w:w="1240" w:type="dxa"/>
            <w:vAlign w:val="bottom"/>
            <w:tcBorders>
              <w:bottom w:val="single" w:sz="8" w:color="CCEEFF"/>
            </w:tcBorders>
            <w:gridSpan w:val="3"/>
            <w:shd w:val="clear" w:color="auto" w:fill="CCEEFF"/>
          </w:tcPr>
          <w:p>
            <w:pPr>
              <w:jc w:val="center"/>
              <w:ind w:left="140"/>
              <w:spacing w:after="0"/>
              <w:rPr>
                <w:sz w:val="20"/>
                <w:szCs w:val="20"/>
                <w:color w:val="auto"/>
              </w:rPr>
            </w:pPr>
            <w:r>
              <w:rPr>
                <w:rFonts w:ascii="Arial" w:cs="Arial" w:eastAsia="Arial" w:hAnsi="Arial"/>
                <w:sz w:val="16"/>
                <w:szCs w:val="16"/>
                <w:color w:val="auto"/>
                <w:w w:val="92"/>
              </w:rPr>
              <w:t>0.23%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(139)</w:t>
            </w: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6.1</w:t>
            </w:r>
          </w:p>
        </w:tc>
        <w:tc>
          <w:tcPr>
            <w:tcW w:w="0" w:type="dxa"/>
            <w:vAlign w:val="bottom"/>
          </w:tcPr>
          <w:p>
            <w:pPr>
              <w:spacing w:after="0"/>
              <w:rPr>
                <w:sz w:val="1"/>
                <w:szCs w:val="1"/>
                <w:color w:val="auto"/>
              </w:rPr>
            </w:pPr>
          </w:p>
        </w:tc>
      </w:tr>
      <w:tr>
        <w:trPr>
          <w:trHeight w:val="237"/>
        </w:trPr>
        <w:tc>
          <w:tcPr>
            <w:tcW w:w="5920" w:type="dxa"/>
            <w:vAlign w:val="bottom"/>
            <w:gridSpan w:val="2"/>
          </w:tcPr>
          <w:p>
            <w:pPr>
              <w:ind w:left="20"/>
              <w:spacing w:after="0"/>
              <w:rPr>
                <w:sz w:val="20"/>
                <w:szCs w:val="20"/>
                <w:color w:val="auto"/>
              </w:rPr>
            </w:pPr>
            <w:r>
              <w:rPr>
                <w:rFonts w:ascii="Arial" w:cs="Arial" w:eastAsia="Arial" w:hAnsi="Arial"/>
                <w:sz w:val="16"/>
                <w:szCs w:val="16"/>
                <w:color w:val="auto"/>
              </w:rPr>
              <w:t>&gt; 7 to ≤ 10 years</w:t>
            </w:r>
          </w:p>
        </w:tc>
        <w:tc>
          <w:tcPr>
            <w:tcW w:w="160" w:type="dxa"/>
            <w:vAlign w:val="bottom"/>
          </w:tcPr>
          <w:p>
            <w:pPr>
              <w:spacing w:after="0"/>
              <w:rPr>
                <w:sz w:val="20"/>
                <w:szCs w:val="20"/>
                <w:color w:val="auto"/>
              </w:rPr>
            </w:pPr>
          </w:p>
        </w:tc>
        <w:tc>
          <w:tcPr>
            <w:tcW w:w="880" w:type="dxa"/>
            <w:vAlign w:val="bottom"/>
          </w:tcPr>
          <w:p>
            <w:pPr>
              <w:jc w:val="right"/>
              <w:ind w:right="41"/>
              <w:spacing w:after="0"/>
              <w:rPr>
                <w:sz w:val="20"/>
                <w:szCs w:val="20"/>
                <w:color w:val="auto"/>
              </w:rPr>
            </w:pPr>
            <w:r>
              <w:rPr>
                <w:rFonts w:ascii="Arial" w:cs="Arial" w:eastAsia="Arial" w:hAnsi="Arial"/>
                <w:sz w:val="16"/>
                <w:szCs w:val="16"/>
                <w:color w:val="auto"/>
              </w:rPr>
              <w:t>10,775</w:t>
            </w:r>
          </w:p>
        </w:tc>
        <w:tc>
          <w:tcPr>
            <w:tcW w:w="120" w:type="dxa"/>
            <w:vAlign w:val="bottom"/>
          </w:tcPr>
          <w:p>
            <w:pPr>
              <w:spacing w:after="0"/>
              <w:rPr>
                <w:sz w:val="20"/>
                <w:szCs w:val="20"/>
                <w:color w:val="auto"/>
              </w:rPr>
            </w:pPr>
          </w:p>
        </w:tc>
        <w:tc>
          <w:tcPr>
            <w:tcW w:w="920" w:type="dxa"/>
            <w:vAlign w:val="bottom"/>
          </w:tcPr>
          <w:p>
            <w:pPr>
              <w:jc w:val="center"/>
              <w:ind w:left="22"/>
              <w:spacing w:after="0"/>
              <w:rPr>
                <w:sz w:val="20"/>
                <w:szCs w:val="20"/>
                <w:color w:val="auto"/>
              </w:rPr>
            </w:pPr>
            <w:r>
              <w:rPr>
                <w:rFonts w:ascii="Arial" w:cs="Arial" w:eastAsia="Arial" w:hAnsi="Arial"/>
                <w:sz w:val="16"/>
                <w:szCs w:val="16"/>
                <w:color w:val="auto"/>
                <w:w w:val="92"/>
              </w:rPr>
              <w:t>2.48%</w:t>
            </w:r>
          </w:p>
        </w:tc>
        <w:tc>
          <w:tcPr>
            <w:tcW w:w="1240" w:type="dxa"/>
            <w:vAlign w:val="bottom"/>
            <w:gridSpan w:val="3"/>
          </w:tcPr>
          <w:p>
            <w:pPr>
              <w:jc w:val="center"/>
              <w:ind w:left="140"/>
              <w:spacing w:after="0"/>
              <w:rPr>
                <w:sz w:val="20"/>
                <w:szCs w:val="20"/>
                <w:color w:val="auto"/>
              </w:rPr>
            </w:pPr>
            <w:r>
              <w:rPr>
                <w:rFonts w:ascii="Arial" w:cs="Arial" w:eastAsia="Arial" w:hAnsi="Arial"/>
                <w:sz w:val="16"/>
                <w:szCs w:val="16"/>
                <w:color w:val="auto"/>
                <w:w w:val="92"/>
              </w:rPr>
              <w:t>0.24%</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(223)</w:t>
            </w:r>
          </w:p>
        </w:tc>
        <w:tc>
          <w:tcPr>
            <w:tcW w:w="120" w:type="dxa"/>
            <w:vAlign w:val="bottom"/>
          </w:tcPr>
          <w:p>
            <w:pPr>
              <w:spacing w:after="0"/>
              <w:rPr>
                <w:sz w:val="20"/>
                <w:szCs w:val="20"/>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89"/>
              </w:rPr>
              <w:t>8.3</w:t>
            </w:r>
          </w:p>
        </w:tc>
        <w:tc>
          <w:tcPr>
            <w:tcW w:w="0" w:type="dxa"/>
            <w:vAlign w:val="bottom"/>
          </w:tcPr>
          <w:p>
            <w:pPr>
              <w:spacing w:after="0"/>
              <w:rPr>
                <w:sz w:val="1"/>
                <w:szCs w:val="1"/>
                <w:color w:val="auto"/>
              </w:rPr>
            </w:pPr>
          </w:p>
        </w:tc>
      </w:tr>
      <w:tr>
        <w:trPr>
          <w:trHeight w:val="33"/>
        </w:trPr>
        <w:tc>
          <w:tcPr>
            <w:tcW w:w="5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9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&gt; 10 years</w:t>
            </w:r>
          </w:p>
        </w:tc>
        <w:tc>
          <w:tcPr>
            <w:tcW w:w="1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4,400</w:t>
            </w:r>
          </w:p>
        </w:tc>
        <w:tc>
          <w:tcPr>
            <w:tcW w:w="12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center"/>
              <w:ind w:left="22"/>
              <w:spacing w:after="0"/>
              <w:rPr>
                <w:sz w:val="20"/>
                <w:szCs w:val="20"/>
                <w:color w:val="auto"/>
              </w:rPr>
            </w:pPr>
            <w:r>
              <w:rPr>
                <w:rFonts w:ascii="Arial" w:cs="Arial" w:eastAsia="Arial" w:hAnsi="Arial"/>
                <w:sz w:val="16"/>
                <w:szCs w:val="16"/>
                <w:color w:val="auto"/>
                <w:w w:val="92"/>
              </w:rPr>
              <w:t>3.19%</w:t>
            </w:r>
          </w:p>
        </w:tc>
        <w:tc>
          <w:tcPr>
            <w:tcW w:w="1240" w:type="dxa"/>
            <w:vAlign w:val="bottom"/>
            <w:tcBorders>
              <w:bottom w:val="single" w:sz="8" w:color="CCEEFF"/>
            </w:tcBorders>
            <w:gridSpan w:val="3"/>
            <w:shd w:val="clear" w:color="auto" w:fill="CCEEFF"/>
          </w:tcPr>
          <w:p>
            <w:pPr>
              <w:jc w:val="center"/>
              <w:ind w:left="140"/>
              <w:spacing w:after="0"/>
              <w:rPr>
                <w:sz w:val="20"/>
                <w:szCs w:val="20"/>
                <w:color w:val="auto"/>
              </w:rPr>
            </w:pPr>
            <w:r>
              <w:rPr>
                <w:rFonts w:ascii="Arial" w:cs="Arial" w:eastAsia="Arial" w:hAnsi="Arial"/>
                <w:sz w:val="16"/>
                <w:szCs w:val="16"/>
                <w:color w:val="auto"/>
                <w:w w:val="92"/>
              </w:rPr>
              <w:t>0.23%</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(291)</w:t>
            </w:r>
          </w:p>
        </w:tc>
        <w:tc>
          <w:tcPr>
            <w:tcW w:w="12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12.6</w:t>
            </w:r>
          </w:p>
        </w:tc>
        <w:tc>
          <w:tcPr>
            <w:tcW w:w="0" w:type="dxa"/>
            <w:vAlign w:val="bottom"/>
          </w:tcPr>
          <w:p>
            <w:pPr>
              <w:spacing w:after="0"/>
              <w:rPr>
                <w:sz w:val="1"/>
                <w:szCs w:val="1"/>
                <w:color w:val="auto"/>
              </w:rPr>
            </w:pPr>
          </w:p>
        </w:tc>
      </w:tr>
      <w:tr>
        <w:trPr>
          <w:trHeight w:val="244"/>
        </w:trPr>
        <w:tc>
          <w:tcPr>
            <w:tcW w:w="5920" w:type="dxa"/>
            <w:vAlign w:val="bottom"/>
            <w:gridSpan w:val="2"/>
          </w:tcPr>
          <w:p>
            <w:pPr>
              <w:ind w:left="20"/>
              <w:spacing w:after="0"/>
              <w:rPr>
                <w:sz w:val="20"/>
                <w:szCs w:val="20"/>
                <w:color w:val="auto"/>
              </w:rPr>
            </w:pPr>
            <w:r>
              <w:rPr>
                <w:rFonts w:ascii="Arial" w:cs="Arial" w:eastAsia="Arial" w:hAnsi="Arial"/>
                <w:sz w:val="16"/>
                <w:szCs w:val="16"/>
                <w:color w:val="auto"/>
              </w:rPr>
              <w:t>Total payer interest rate swaps</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43,700</w:t>
            </w:r>
          </w:p>
        </w:tc>
        <w:tc>
          <w:tcPr>
            <w:tcW w:w="120" w:type="dxa"/>
            <w:vAlign w:val="bottom"/>
          </w:tcPr>
          <w:p>
            <w:pPr>
              <w:spacing w:after="0"/>
              <w:rPr>
                <w:sz w:val="21"/>
                <w:szCs w:val="21"/>
                <w:color w:val="auto"/>
              </w:rPr>
            </w:pPr>
          </w:p>
        </w:tc>
        <w:tc>
          <w:tcPr>
            <w:tcW w:w="920" w:type="dxa"/>
            <w:vAlign w:val="bottom"/>
            <w:tcBorders>
              <w:top w:val="single" w:sz="8" w:color="auto"/>
              <w:bottom w:val="single" w:sz="8" w:color="auto"/>
            </w:tcBorders>
          </w:tcPr>
          <w:p>
            <w:pPr>
              <w:jc w:val="center"/>
              <w:ind w:left="22"/>
              <w:spacing w:after="0"/>
              <w:rPr>
                <w:sz w:val="20"/>
                <w:szCs w:val="20"/>
                <w:color w:val="auto"/>
              </w:rPr>
            </w:pPr>
            <w:r>
              <w:rPr>
                <w:rFonts w:ascii="Arial" w:cs="Arial" w:eastAsia="Arial" w:hAnsi="Arial"/>
                <w:sz w:val="16"/>
                <w:szCs w:val="16"/>
                <w:color w:val="auto"/>
                <w:w w:val="92"/>
              </w:rPr>
              <w:t>2.05%</w:t>
            </w:r>
          </w:p>
        </w:tc>
        <w:tc>
          <w:tcPr>
            <w:tcW w:w="100" w:type="dxa"/>
            <w:vAlign w:val="bottom"/>
            <w:tcBorders>
              <w:top w:val="single" w:sz="8" w:color="auto"/>
              <w:bottom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2"/>
              </w:rPr>
              <w:t>0.23%</w:t>
            </w:r>
          </w:p>
        </w:tc>
        <w:tc>
          <w:tcPr>
            <w:tcW w:w="10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(744)</w:t>
            </w:r>
          </w:p>
        </w:tc>
        <w:tc>
          <w:tcPr>
            <w:tcW w:w="120" w:type="dxa"/>
            <w:vAlign w:val="bottom"/>
          </w:tcPr>
          <w:p>
            <w:pPr>
              <w:spacing w:after="0"/>
              <w:rPr>
                <w:sz w:val="21"/>
                <w:szCs w:val="21"/>
                <w:color w:val="auto"/>
              </w:rPr>
            </w:pPr>
          </w:p>
        </w:tc>
        <w:tc>
          <w:tcPr>
            <w:tcW w:w="9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89"/>
              </w:rPr>
              <w:t>5.8</w:t>
            </w:r>
          </w:p>
        </w:tc>
        <w:tc>
          <w:tcPr>
            <w:tcW w:w="0" w:type="dxa"/>
            <w:vAlign w:val="bottom"/>
          </w:tcPr>
          <w:p>
            <w:pPr>
              <w:spacing w:after="0"/>
              <w:rPr>
                <w:sz w:val="1"/>
                <w:szCs w:val="1"/>
                <w:color w:val="auto"/>
              </w:rPr>
            </w:pPr>
          </w:p>
        </w:tc>
      </w:tr>
      <w:tr>
        <w:trPr>
          <w:trHeight w:val="20"/>
        </w:trPr>
        <w:tc>
          <w:tcPr>
            <w:tcW w:w="5800" w:type="dxa"/>
            <w:vAlign w:val="bottom"/>
            <w:vMerge w:val="restart"/>
          </w:tcPr>
          <w:p>
            <w:pPr>
              <w:ind w:left="80"/>
              <w:spacing w:after="0"/>
              <w:rPr>
                <w:sz w:val="20"/>
                <w:szCs w:val="20"/>
                <w:color w:val="auto"/>
              </w:rPr>
            </w:pPr>
            <w:r>
              <w:rPr>
                <w:rFonts w:ascii="Arial" w:cs="Arial" w:eastAsia="Arial" w:hAnsi="Arial"/>
                <w:sz w:val="18"/>
                <w:szCs w:val="18"/>
                <w:color w:val="auto"/>
              </w:rPr>
              <w:t>________________________</w:t>
            </w:r>
          </w:p>
        </w:tc>
        <w:tc>
          <w:tcPr>
            <w:tcW w:w="120" w:type="dxa"/>
            <w:vAlign w:val="bottom"/>
            <w:vMerge w:val="restart"/>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800" w:type="dxa"/>
            <w:vAlign w:val="bottom"/>
            <w:vMerge w:val="continue"/>
          </w:tcPr>
          <w:p>
            <w:pPr>
              <w:spacing w:after="0"/>
              <w:rPr>
                <w:sz w:val="17"/>
                <w:szCs w:val="17"/>
                <w:color w:val="auto"/>
              </w:rPr>
            </w:pPr>
          </w:p>
        </w:tc>
        <w:tc>
          <w:tcPr>
            <w:tcW w:w="120" w:type="dxa"/>
            <w:vAlign w:val="bottom"/>
            <w:vMerge w:val="continue"/>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54"/>
        </w:numPr>
        <w:rPr>
          <w:rFonts w:ascii="Arial" w:cs="Arial" w:eastAsia="Arial" w:hAnsi="Arial"/>
          <w:sz w:val="13"/>
          <w:szCs w:val="13"/>
          <w:color w:val="auto"/>
        </w:rPr>
      </w:pPr>
      <w:r>
        <w:rPr>
          <w:rFonts w:ascii="Arial" w:cs="Arial" w:eastAsia="Arial" w:hAnsi="Arial"/>
          <w:sz w:val="13"/>
          <w:szCs w:val="13"/>
          <w:color w:val="auto"/>
        </w:rPr>
        <w:t>Notional amount includes forward starting swaps of $12.4 billion with an average forward start date of 1.1 years and an average maturity of 7.9 years from December 31, 2014.</w:t>
      </w:r>
    </w:p>
    <w:p>
      <w:pPr>
        <w:spacing w:after="0" w:line="12" w:lineRule="exact"/>
        <w:rPr>
          <w:rFonts w:ascii="Arial" w:cs="Arial" w:eastAsia="Arial" w:hAnsi="Arial"/>
          <w:sz w:val="13"/>
          <w:szCs w:val="13"/>
          <w:color w:val="auto"/>
        </w:rPr>
      </w:pPr>
    </w:p>
    <w:p>
      <w:pPr>
        <w:ind w:left="660" w:hanging="328"/>
        <w:spacing w:after="0"/>
        <w:tabs>
          <w:tab w:leader="none" w:pos="660" w:val="left"/>
        </w:tabs>
        <w:numPr>
          <w:ilvl w:val="0"/>
          <w:numId w:val="54"/>
        </w:numPr>
        <w:rPr>
          <w:rFonts w:ascii="Arial" w:cs="Arial" w:eastAsia="Arial" w:hAnsi="Arial"/>
          <w:sz w:val="14"/>
          <w:szCs w:val="14"/>
          <w:color w:val="auto"/>
        </w:rPr>
      </w:pPr>
      <w:r>
        <w:rPr>
          <w:rFonts w:ascii="Arial" w:cs="Arial" w:eastAsia="Arial" w:hAnsi="Arial"/>
          <w:sz w:val="14"/>
          <w:szCs w:val="14"/>
          <w:color w:val="auto"/>
        </w:rPr>
        <w:t>Average fixed pay rate includes forward starting swaps. Excluding forward starting swaps, the average fixed pay rate was 1.68% as of December 31, 2014.</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54"/>
        </w:numPr>
        <w:rPr>
          <w:rFonts w:ascii="Arial" w:cs="Arial" w:eastAsia="Arial" w:hAnsi="Arial"/>
          <w:sz w:val="14"/>
          <w:szCs w:val="14"/>
          <w:color w:val="auto"/>
        </w:rPr>
      </w:pPr>
      <w:r>
        <w:rPr>
          <w:rFonts w:ascii="Arial" w:cs="Arial" w:eastAsia="Arial" w:hAnsi="Arial"/>
          <w:sz w:val="14"/>
          <w:szCs w:val="14"/>
          <w:color w:val="auto"/>
        </w:rPr>
        <w:t>Average receive rate excludes forward starting swaps.</w:t>
      </w:r>
    </w:p>
    <w:p>
      <w:pPr>
        <w:spacing w:after="0" w:line="318"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following table summarizes our interest rate payer swaption agreements outstanding as of December 31, 2015 and 2014 (dollars in millions):</w:t>
      </w:r>
    </w:p>
    <w:p>
      <w:pPr>
        <w:spacing w:after="0" w:line="200" w:lineRule="exact"/>
        <w:rPr>
          <w:sz w:val="20"/>
          <w:szCs w:val="20"/>
          <w:color w:val="auto"/>
        </w:rPr>
      </w:pPr>
    </w:p>
    <w:p>
      <w:pPr>
        <w:spacing w:after="0" w:line="204"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34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Payer Swaptions</w:t>
            </w:r>
          </w:p>
        </w:tc>
        <w:tc>
          <w:tcPr>
            <w:tcW w:w="1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gridSpan w:val="2"/>
          </w:tcPr>
          <w:p>
            <w:pPr>
              <w:jc w:val="center"/>
              <w:ind w:right="320"/>
              <w:spacing w:after="0"/>
              <w:rPr>
                <w:sz w:val="20"/>
                <w:szCs w:val="20"/>
                <w:color w:val="auto"/>
              </w:rPr>
            </w:pPr>
            <w:r>
              <w:rPr>
                <w:rFonts w:ascii="Arial" w:cs="Arial" w:eastAsia="Arial" w:hAnsi="Arial"/>
                <w:sz w:val="14"/>
                <w:szCs w:val="14"/>
                <w:b w:val="1"/>
                <w:bCs w:val="1"/>
                <w:color w:val="auto"/>
                <w:w w:val="97"/>
              </w:rPr>
              <w:t>Option</w:t>
            </w:r>
          </w:p>
        </w:tc>
        <w:tc>
          <w:tcPr>
            <w:tcW w:w="10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40" w:type="dxa"/>
            <w:vAlign w:val="bottom"/>
            <w:tcBorders>
              <w:bottom w:val="single" w:sz="8" w:color="auto"/>
            </w:tcBorders>
            <w:gridSpan w:val="4"/>
          </w:tcPr>
          <w:p>
            <w:pPr>
              <w:ind w:left="340"/>
              <w:spacing w:after="0"/>
              <w:rPr>
                <w:sz w:val="20"/>
                <w:szCs w:val="20"/>
                <w:color w:val="auto"/>
              </w:rPr>
            </w:pPr>
            <w:r>
              <w:rPr>
                <w:rFonts w:ascii="Arial" w:cs="Arial" w:eastAsia="Arial" w:hAnsi="Arial"/>
                <w:sz w:val="14"/>
                <w:szCs w:val="14"/>
                <w:b w:val="1"/>
                <w:bCs w:val="1"/>
                <w:color w:val="auto"/>
              </w:rPr>
              <w:t>Underlying Payer Swap</w:t>
            </w: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4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0"/>
              </w:rPr>
              <w:t>Average</w:t>
            </w:r>
          </w:p>
        </w:tc>
        <w:tc>
          <w:tcPr>
            <w:tcW w:w="1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2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1"/>
              </w:rPr>
              <w:t>Average Fixed</w:t>
            </w:r>
          </w:p>
        </w:tc>
        <w:tc>
          <w:tcPr>
            <w:tcW w:w="1120" w:type="dxa"/>
            <w:vAlign w:val="bottom"/>
            <w:gridSpan w:val="2"/>
          </w:tcPr>
          <w:p>
            <w:pPr>
              <w:jc w:val="center"/>
              <w:ind w:right="140"/>
              <w:spacing w:after="0" w:line="153" w:lineRule="exact"/>
              <w:rPr>
                <w:sz w:val="20"/>
                <w:szCs w:val="20"/>
                <w:color w:val="auto"/>
              </w:rPr>
            </w:pPr>
            <w:r>
              <w:rPr>
                <w:rFonts w:ascii="Arial" w:cs="Arial" w:eastAsia="Arial" w:hAnsi="Arial"/>
                <w:sz w:val="14"/>
                <w:szCs w:val="14"/>
                <w:b w:val="1"/>
                <w:bCs w:val="1"/>
                <w:color w:val="auto"/>
                <w:w w:val="90"/>
              </w:rPr>
              <w:t>Average</w:t>
            </w:r>
          </w:p>
        </w:tc>
        <w:tc>
          <w:tcPr>
            <w:tcW w:w="10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Average</w:t>
            </w:r>
          </w:p>
        </w:tc>
        <w:tc>
          <w:tcPr>
            <w:tcW w:w="0" w:type="dxa"/>
            <w:vAlign w:val="bottom"/>
          </w:tcPr>
          <w:p>
            <w:pPr>
              <w:spacing w:after="0"/>
              <w:rPr>
                <w:sz w:val="1"/>
                <w:szCs w:val="1"/>
                <w:color w:val="auto"/>
              </w:rPr>
            </w:pPr>
          </w:p>
        </w:tc>
      </w:tr>
      <w:tr>
        <w:trPr>
          <w:trHeight w:val="149"/>
        </w:trPr>
        <w:tc>
          <w:tcPr>
            <w:tcW w:w="34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6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rPr>
              <w:t>Fair</w:t>
            </w:r>
          </w:p>
        </w:tc>
        <w:tc>
          <w:tcPr>
            <w:tcW w:w="114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Notional</w:t>
            </w:r>
          </w:p>
        </w:tc>
        <w:tc>
          <w:tcPr>
            <w:tcW w:w="1120" w:type="dxa"/>
            <w:vAlign w:val="bottom"/>
            <w:gridSpan w:val="2"/>
            <w:vMerge w:val="continue"/>
          </w:tcPr>
          <w:p>
            <w:pPr>
              <w:spacing w:after="0"/>
              <w:rPr>
                <w:sz w:val="12"/>
                <w:szCs w:val="12"/>
                <w:color w:val="auto"/>
              </w:rPr>
            </w:pPr>
          </w:p>
        </w:tc>
        <w:tc>
          <w:tcPr>
            <w:tcW w:w="11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Receive</w:t>
            </w:r>
          </w:p>
        </w:tc>
        <w:tc>
          <w:tcPr>
            <w:tcW w:w="10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42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Years to Expiration</w:t>
            </w:r>
          </w:p>
        </w:tc>
        <w:tc>
          <w:tcPr>
            <w:tcW w:w="120" w:type="dxa"/>
            <w:vAlign w:val="bottom"/>
            <w:vMerge w:val="restart"/>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vMerge w:val="restart"/>
          </w:tcPr>
          <w:p>
            <w:pPr>
              <w:jc w:val="right"/>
              <w:ind w:right="301"/>
              <w:spacing w:after="0"/>
              <w:rPr>
                <w:sz w:val="20"/>
                <w:szCs w:val="20"/>
                <w:color w:val="auto"/>
              </w:rPr>
            </w:pPr>
            <w:r>
              <w:rPr>
                <w:rFonts w:ascii="Arial" w:cs="Arial" w:eastAsia="Arial" w:hAnsi="Arial"/>
                <w:sz w:val="14"/>
                <w:szCs w:val="14"/>
                <w:b w:val="1"/>
                <w:bCs w:val="1"/>
                <w:color w:val="auto"/>
              </w:rPr>
              <w:t>Cost</w:t>
            </w:r>
          </w:p>
        </w:tc>
        <w:tc>
          <w:tcPr>
            <w:tcW w:w="120" w:type="dxa"/>
            <w:vAlign w:val="bottom"/>
            <w:vMerge w:val="restart"/>
          </w:tcPr>
          <w:p>
            <w:pPr>
              <w:spacing w:after="0"/>
              <w:rPr>
                <w:sz w:val="12"/>
                <w:szCs w:val="12"/>
                <w:color w:val="auto"/>
              </w:rPr>
            </w:pPr>
          </w:p>
        </w:tc>
        <w:tc>
          <w:tcPr>
            <w:tcW w:w="200" w:type="dxa"/>
            <w:vAlign w:val="bottom"/>
          </w:tcPr>
          <w:p>
            <w:pPr>
              <w:spacing w:after="0"/>
              <w:rPr>
                <w:sz w:val="12"/>
                <w:szCs w:val="12"/>
                <w:color w:val="auto"/>
              </w:rPr>
            </w:pPr>
          </w:p>
        </w:tc>
        <w:tc>
          <w:tcPr>
            <w:tcW w:w="960" w:type="dxa"/>
            <w:vAlign w:val="bottom"/>
            <w:gridSpan w:val="2"/>
            <w:vMerge w:val="continue"/>
          </w:tcPr>
          <w:p>
            <w:pPr>
              <w:spacing w:after="0"/>
              <w:rPr>
                <w:sz w:val="12"/>
                <w:szCs w:val="12"/>
                <w:color w:val="auto"/>
              </w:rPr>
            </w:pP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Months to</w:t>
            </w:r>
          </w:p>
        </w:tc>
        <w:tc>
          <w:tcPr>
            <w:tcW w:w="16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1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6"/>
              </w:rPr>
              <w:t>Pay</w:t>
            </w:r>
          </w:p>
        </w:tc>
        <w:tc>
          <w:tcPr>
            <w:tcW w:w="11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Rate</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Term</w:t>
            </w:r>
          </w:p>
        </w:tc>
        <w:tc>
          <w:tcPr>
            <w:tcW w:w="0" w:type="dxa"/>
            <w:vAlign w:val="bottom"/>
          </w:tcPr>
          <w:p>
            <w:pPr>
              <w:spacing w:after="0"/>
              <w:rPr>
                <w:sz w:val="1"/>
                <w:szCs w:val="1"/>
                <w:color w:val="auto"/>
              </w:rPr>
            </w:pPr>
          </w:p>
        </w:tc>
      </w:tr>
      <w:tr>
        <w:trPr>
          <w:trHeight w:val="192"/>
        </w:trPr>
        <w:tc>
          <w:tcPr>
            <w:tcW w:w="34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center"/>
              <w:ind w:right="123"/>
              <w:spacing w:after="0"/>
              <w:rPr>
                <w:sz w:val="20"/>
                <w:szCs w:val="20"/>
                <w:color w:val="auto"/>
              </w:rPr>
            </w:pPr>
            <w:r>
              <w:rPr>
                <w:rFonts w:ascii="Arial" w:cs="Arial" w:eastAsia="Arial" w:hAnsi="Arial"/>
                <w:sz w:val="14"/>
                <w:szCs w:val="14"/>
                <w:b w:val="1"/>
                <w:bCs w:val="1"/>
                <w:color w:val="auto"/>
                <w:w w:val="96"/>
              </w:rPr>
              <w:t>Value</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Expiration</w:t>
            </w: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182"/>
              <w:spacing w:after="0"/>
              <w:rPr>
                <w:sz w:val="20"/>
                <w:szCs w:val="20"/>
                <w:color w:val="auto"/>
              </w:rPr>
            </w:pPr>
            <w:r>
              <w:rPr>
                <w:rFonts w:ascii="Arial" w:cs="Arial" w:eastAsia="Arial" w:hAnsi="Arial"/>
                <w:sz w:val="14"/>
                <w:szCs w:val="14"/>
                <w:b w:val="1"/>
                <w:bCs w:val="1"/>
                <w:color w:val="auto"/>
              </w:rPr>
              <w:t>Amount</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(LIBOR)</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50"/>
        </w:trPr>
        <w:tc>
          <w:tcPr>
            <w:tcW w:w="35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b w:val="1"/>
                <w:bCs w:val="1"/>
                <w:color w:val="auto"/>
              </w:rPr>
              <w:t>December 31, 2015</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90"/>
        </w:trPr>
        <w:tc>
          <w:tcPr>
            <w:tcW w:w="3540" w:type="dxa"/>
            <w:vAlign w:val="bottom"/>
            <w:gridSpan w:val="2"/>
          </w:tcPr>
          <w:p>
            <w:pPr>
              <w:ind w:left="20"/>
              <w:spacing w:after="0"/>
              <w:rPr>
                <w:sz w:val="20"/>
                <w:szCs w:val="20"/>
                <w:color w:val="auto"/>
              </w:rPr>
            </w:pPr>
            <w:r>
              <w:rPr>
                <w:rFonts w:ascii="Arial" w:cs="Arial" w:eastAsia="Arial" w:hAnsi="Arial"/>
                <w:sz w:val="16"/>
                <w:szCs w:val="16"/>
                <w:color w:val="auto"/>
              </w:rPr>
              <w:t>Total ≤ 1 year</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800" w:type="dxa"/>
            <w:vAlign w:val="bottom"/>
          </w:tcPr>
          <w:p>
            <w:pPr>
              <w:jc w:val="right"/>
              <w:ind w:right="41"/>
              <w:spacing w:after="0"/>
              <w:rPr>
                <w:sz w:val="20"/>
                <w:szCs w:val="20"/>
                <w:color w:val="auto"/>
              </w:rPr>
            </w:pPr>
            <w:r>
              <w:rPr>
                <w:rFonts w:ascii="Arial" w:cs="Arial" w:eastAsia="Arial" w:hAnsi="Arial"/>
                <w:sz w:val="16"/>
                <w:szCs w:val="16"/>
                <w:color w:val="auto"/>
              </w:rPr>
              <w:t>74</w:t>
            </w:r>
          </w:p>
        </w:tc>
        <w:tc>
          <w:tcPr>
            <w:tcW w:w="120" w:type="dxa"/>
            <w:vAlign w:val="bottom"/>
          </w:tcPr>
          <w:p>
            <w:pPr>
              <w:spacing w:after="0"/>
              <w:rPr>
                <w:sz w:val="24"/>
                <w:szCs w:val="24"/>
                <w:color w:val="auto"/>
              </w:rPr>
            </w:pP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ind w:right="43"/>
              <w:spacing w:after="0"/>
              <w:rPr>
                <w:sz w:val="20"/>
                <w:szCs w:val="20"/>
                <w:color w:val="auto"/>
              </w:rPr>
            </w:pPr>
            <w:r>
              <w:rPr>
                <w:rFonts w:ascii="Arial" w:cs="Arial" w:eastAsia="Arial" w:hAnsi="Arial"/>
                <w:sz w:val="16"/>
                <w:szCs w:val="16"/>
                <w:color w:val="auto"/>
              </w:rPr>
              <w:t>17</w:t>
            </w:r>
          </w:p>
        </w:tc>
        <w:tc>
          <w:tcPr>
            <w:tcW w:w="12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rPr>
              <w:t>4</w:t>
            </w:r>
          </w:p>
        </w:tc>
        <w:tc>
          <w:tcPr>
            <w:tcW w:w="12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ind w:right="42"/>
              <w:spacing w:after="0"/>
              <w:rPr>
                <w:sz w:val="20"/>
                <w:szCs w:val="20"/>
                <w:color w:val="auto"/>
              </w:rPr>
            </w:pPr>
            <w:r>
              <w:rPr>
                <w:rFonts w:ascii="Arial" w:cs="Arial" w:eastAsia="Arial" w:hAnsi="Arial"/>
                <w:sz w:val="16"/>
                <w:szCs w:val="16"/>
                <w:color w:val="auto"/>
              </w:rPr>
              <w:t>2,150</w:t>
            </w:r>
          </w:p>
        </w:tc>
        <w:tc>
          <w:tcPr>
            <w:tcW w:w="10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3.51%</w:t>
            </w:r>
          </w:p>
        </w:tc>
        <w:tc>
          <w:tcPr>
            <w:tcW w:w="100" w:type="dxa"/>
            <w:vAlign w:val="bottom"/>
          </w:tcPr>
          <w:p>
            <w:pPr>
              <w:spacing w:after="0"/>
              <w:rPr>
                <w:sz w:val="24"/>
                <w:szCs w:val="24"/>
                <w:color w:val="auto"/>
              </w:rPr>
            </w:pPr>
          </w:p>
        </w:tc>
        <w:tc>
          <w:tcPr>
            <w:tcW w:w="1120" w:type="dxa"/>
            <w:vAlign w:val="bottom"/>
            <w:gridSpan w:val="2"/>
          </w:tcPr>
          <w:p>
            <w:pPr>
              <w:jc w:val="center"/>
              <w:ind w:right="120"/>
              <w:spacing w:after="0"/>
              <w:rPr>
                <w:sz w:val="20"/>
                <w:szCs w:val="20"/>
                <w:color w:val="auto"/>
              </w:rPr>
            </w:pPr>
            <w:r>
              <w:rPr>
                <w:rFonts w:ascii="Arial" w:cs="Arial" w:eastAsia="Arial" w:hAnsi="Arial"/>
                <w:sz w:val="16"/>
                <w:szCs w:val="16"/>
                <w:color w:val="auto"/>
              </w:rPr>
              <w:t>3M</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7.0</w:t>
            </w:r>
          </w:p>
        </w:tc>
        <w:tc>
          <w:tcPr>
            <w:tcW w:w="0" w:type="dxa"/>
            <w:vAlign w:val="bottom"/>
          </w:tcPr>
          <w:p>
            <w:pPr>
              <w:spacing w:after="0"/>
              <w:rPr>
                <w:sz w:val="1"/>
                <w:szCs w:val="1"/>
                <w:color w:val="auto"/>
              </w:rPr>
            </w:pPr>
          </w:p>
        </w:tc>
      </w:tr>
      <w:tr>
        <w:trPr>
          <w:trHeight w:val="284"/>
        </w:trPr>
        <w:tc>
          <w:tcPr>
            <w:tcW w:w="3420" w:type="dxa"/>
            <w:vAlign w:val="bottom"/>
            <w:tcBorders>
              <w:top w:val="single" w:sz="8" w:color="CCEEFF"/>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240" w:type="dxa"/>
            <w:vAlign w:val="bottom"/>
            <w:tcBorders>
              <w:top w:val="single" w:sz="8" w:color="auto"/>
            </w:tcBorders>
            <w:shd w:val="clear" w:color="auto" w:fill="CCEEFF"/>
          </w:tcPr>
          <w:p>
            <w:pPr>
              <w:spacing w:after="0"/>
              <w:rPr>
                <w:sz w:val="24"/>
                <w:szCs w:val="24"/>
                <w:color w:val="auto"/>
              </w:rPr>
            </w:pPr>
          </w:p>
        </w:tc>
        <w:tc>
          <w:tcPr>
            <w:tcW w:w="80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200" w:type="dxa"/>
            <w:vAlign w:val="bottom"/>
            <w:tcBorders>
              <w:top w:val="single" w:sz="8" w:color="auto"/>
            </w:tcBorders>
            <w:shd w:val="clear" w:color="auto" w:fill="CCEEFF"/>
          </w:tcPr>
          <w:p>
            <w:pPr>
              <w:spacing w:after="0"/>
              <w:rPr>
                <w:sz w:val="24"/>
                <w:szCs w:val="24"/>
                <w:color w:val="auto"/>
              </w:rPr>
            </w:pPr>
          </w:p>
        </w:tc>
        <w:tc>
          <w:tcPr>
            <w:tcW w:w="84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102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160" w:type="dxa"/>
            <w:vAlign w:val="bottom"/>
            <w:tcBorders>
              <w:top w:val="single" w:sz="8" w:color="auto"/>
            </w:tcBorders>
            <w:shd w:val="clear" w:color="auto" w:fill="CCEEFF"/>
          </w:tcPr>
          <w:p>
            <w:pPr>
              <w:spacing w:after="0"/>
              <w:rPr>
                <w:sz w:val="24"/>
                <w:szCs w:val="24"/>
                <w:color w:val="auto"/>
              </w:rPr>
            </w:pPr>
          </w:p>
        </w:tc>
        <w:tc>
          <w:tcPr>
            <w:tcW w:w="840" w:type="dxa"/>
            <w:vAlign w:val="bottom"/>
            <w:tcBorders>
              <w:top w:val="single" w:sz="8" w:color="auto"/>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1020" w:type="dxa"/>
            <w:vAlign w:val="bottom"/>
            <w:tcBorders>
              <w:top w:val="single" w:sz="8" w:color="auto"/>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1020" w:type="dxa"/>
            <w:vAlign w:val="bottom"/>
            <w:tcBorders>
              <w:top w:val="single" w:sz="8" w:color="auto"/>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1020" w:type="dxa"/>
            <w:vAlign w:val="bottom"/>
            <w:tcBorders>
              <w:top w:val="single" w:sz="8" w:color="auto"/>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3540" w:type="dxa"/>
            <w:vAlign w:val="bottom"/>
            <w:gridSpan w:val="2"/>
          </w:tcPr>
          <w:p>
            <w:pPr>
              <w:ind w:left="20"/>
              <w:spacing w:after="0"/>
              <w:rPr>
                <w:sz w:val="20"/>
                <w:szCs w:val="20"/>
                <w:color w:val="auto"/>
              </w:rPr>
            </w:pPr>
            <w:r>
              <w:rPr>
                <w:rFonts w:ascii="Arial" w:cs="Arial" w:eastAsia="Arial" w:hAnsi="Arial"/>
                <w:sz w:val="16"/>
                <w:szCs w:val="16"/>
                <w:b w:val="1"/>
                <w:bCs w:val="1"/>
                <w:color w:val="auto"/>
              </w:rPr>
              <w:t>December 31, 2014</w:t>
            </w:r>
          </w:p>
        </w:tc>
        <w:tc>
          <w:tcPr>
            <w:tcW w:w="24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3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 1 year</w:t>
            </w:r>
          </w:p>
        </w:tc>
        <w:tc>
          <w:tcPr>
            <w:tcW w:w="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80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113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CCEEFF"/>
            </w:tcBorders>
            <w:shd w:val="clear" w:color="auto" w:fill="CCEEFF"/>
          </w:tcPr>
          <w:p>
            <w:pPr>
              <w:jc w:val="right"/>
              <w:ind w:right="43"/>
              <w:spacing w:after="0"/>
              <w:rPr>
                <w:sz w:val="20"/>
                <w:szCs w:val="20"/>
                <w:color w:val="auto"/>
              </w:rPr>
            </w:pPr>
            <w:r>
              <w:rPr>
                <w:rFonts w:ascii="Arial" w:cs="Arial" w:eastAsia="Arial" w:hAnsi="Arial"/>
                <w:sz w:val="16"/>
                <w:szCs w:val="16"/>
                <w:color w:val="auto"/>
              </w:rPr>
              <w:t>36</w:t>
            </w: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rPr>
              <w:t>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5,600</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3.15%</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6"/>
                <w:szCs w:val="16"/>
                <w:color w:val="auto"/>
              </w:rPr>
              <w:t>3M</w:t>
            </w: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6.4</w:t>
            </w:r>
          </w:p>
        </w:tc>
        <w:tc>
          <w:tcPr>
            <w:tcW w:w="0" w:type="dxa"/>
            <w:vAlign w:val="bottom"/>
          </w:tcPr>
          <w:p>
            <w:pPr>
              <w:spacing w:after="0"/>
              <w:rPr>
                <w:sz w:val="1"/>
                <w:szCs w:val="1"/>
                <w:color w:val="auto"/>
              </w:rPr>
            </w:pPr>
          </w:p>
        </w:tc>
      </w:tr>
      <w:tr>
        <w:trPr>
          <w:trHeight w:val="237"/>
        </w:trPr>
        <w:tc>
          <w:tcPr>
            <w:tcW w:w="3540" w:type="dxa"/>
            <w:vAlign w:val="bottom"/>
            <w:gridSpan w:val="2"/>
          </w:tcPr>
          <w:p>
            <w:pPr>
              <w:ind w:left="200"/>
              <w:spacing w:after="0"/>
              <w:rPr>
                <w:sz w:val="20"/>
                <w:szCs w:val="20"/>
                <w:color w:val="auto"/>
              </w:rPr>
            </w:pPr>
            <w:r>
              <w:rPr>
                <w:rFonts w:ascii="Arial" w:cs="Arial" w:eastAsia="Arial" w:hAnsi="Arial"/>
                <w:sz w:val="16"/>
                <w:szCs w:val="16"/>
                <w:color w:val="auto"/>
              </w:rPr>
              <w:t>&gt; 1 to ≤ 2 years</w:t>
            </w:r>
          </w:p>
        </w:tc>
        <w:tc>
          <w:tcPr>
            <w:tcW w:w="240" w:type="dxa"/>
            <w:vAlign w:val="bottom"/>
          </w:tcPr>
          <w:p>
            <w:pPr>
              <w:spacing w:after="0"/>
              <w:rPr>
                <w:sz w:val="20"/>
                <w:szCs w:val="20"/>
                <w:color w:val="auto"/>
              </w:rPr>
            </w:pPr>
          </w:p>
        </w:tc>
        <w:tc>
          <w:tcPr>
            <w:tcW w:w="800" w:type="dxa"/>
            <w:vAlign w:val="bottom"/>
          </w:tcPr>
          <w:p>
            <w:pPr>
              <w:jc w:val="right"/>
              <w:ind w:right="41"/>
              <w:spacing w:after="0"/>
              <w:rPr>
                <w:sz w:val="20"/>
                <w:szCs w:val="20"/>
                <w:color w:val="auto"/>
              </w:rPr>
            </w:pPr>
            <w:r>
              <w:rPr>
                <w:rFonts w:ascii="Arial" w:cs="Arial" w:eastAsia="Arial" w:hAnsi="Arial"/>
                <w:sz w:val="16"/>
                <w:szCs w:val="16"/>
                <w:color w:val="auto"/>
              </w:rPr>
              <w:t>32</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jc w:val="right"/>
              <w:ind w:right="43"/>
              <w:spacing w:after="0"/>
              <w:rPr>
                <w:sz w:val="20"/>
                <w:szCs w:val="20"/>
                <w:color w:val="auto"/>
              </w:rPr>
            </w:pPr>
            <w:r>
              <w:rPr>
                <w:rFonts w:ascii="Arial" w:cs="Arial" w:eastAsia="Arial" w:hAnsi="Arial"/>
                <w:sz w:val="16"/>
                <w:szCs w:val="16"/>
                <w:color w:val="auto"/>
              </w:rPr>
              <w:t>10</w:t>
            </w:r>
          </w:p>
        </w:tc>
        <w:tc>
          <w:tcPr>
            <w:tcW w:w="12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rPr>
              <w:t>16</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40" w:type="dxa"/>
            <w:vAlign w:val="bottom"/>
          </w:tcPr>
          <w:p>
            <w:pPr>
              <w:jc w:val="right"/>
              <w:ind w:right="42"/>
              <w:spacing w:after="0"/>
              <w:rPr>
                <w:sz w:val="20"/>
                <w:szCs w:val="20"/>
                <w:color w:val="auto"/>
              </w:rPr>
            </w:pPr>
            <w:r>
              <w:rPr>
                <w:rFonts w:ascii="Arial" w:cs="Arial" w:eastAsia="Arial" w:hAnsi="Arial"/>
                <w:sz w:val="16"/>
                <w:szCs w:val="16"/>
                <w:color w:val="auto"/>
              </w:rPr>
              <w:t>1,200</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3.87%</w:t>
            </w:r>
          </w:p>
        </w:tc>
        <w:tc>
          <w:tcPr>
            <w:tcW w:w="100" w:type="dxa"/>
            <w:vAlign w:val="bottom"/>
          </w:tcPr>
          <w:p>
            <w:pPr>
              <w:spacing w:after="0"/>
              <w:rPr>
                <w:sz w:val="20"/>
                <w:szCs w:val="20"/>
                <w:color w:val="auto"/>
              </w:rPr>
            </w:pPr>
          </w:p>
        </w:tc>
        <w:tc>
          <w:tcPr>
            <w:tcW w:w="1120" w:type="dxa"/>
            <w:vAlign w:val="bottom"/>
            <w:gridSpan w:val="2"/>
          </w:tcPr>
          <w:p>
            <w:pPr>
              <w:jc w:val="center"/>
              <w:ind w:right="120"/>
              <w:spacing w:after="0"/>
              <w:rPr>
                <w:sz w:val="20"/>
                <w:szCs w:val="20"/>
                <w:color w:val="auto"/>
              </w:rPr>
            </w:pPr>
            <w:r>
              <w:rPr>
                <w:rFonts w:ascii="Arial" w:cs="Arial" w:eastAsia="Arial" w:hAnsi="Arial"/>
                <w:sz w:val="16"/>
                <w:szCs w:val="16"/>
                <w:color w:val="auto"/>
              </w:rPr>
              <w:t>3M</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5.1</w:t>
            </w:r>
          </w:p>
        </w:tc>
        <w:tc>
          <w:tcPr>
            <w:tcW w:w="0" w:type="dxa"/>
            <w:vAlign w:val="bottom"/>
          </w:tcPr>
          <w:p>
            <w:pPr>
              <w:spacing w:after="0"/>
              <w:rPr>
                <w:sz w:val="1"/>
                <w:szCs w:val="1"/>
                <w:color w:val="auto"/>
              </w:rPr>
            </w:pPr>
          </w:p>
        </w:tc>
      </w:tr>
      <w:tr>
        <w:trPr>
          <w:trHeight w:val="33"/>
        </w:trPr>
        <w:tc>
          <w:tcPr>
            <w:tcW w:w="34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5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24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80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145</w:t>
            </w:r>
          </w:p>
        </w:tc>
        <w:tc>
          <w:tcPr>
            <w:tcW w:w="120" w:type="dxa"/>
            <w:vAlign w:val="bottom"/>
            <w:shd w:val="clear" w:color="auto" w:fill="CCEEFF"/>
          </w:tcPr>
          <w:p>
            <w:pPr>
              <w:spacing w:after="0"/>
              <w:rPr>
                <w:sz w:val="21"/>
                <w:szCs w:val="21"/>
                <w:color w:val="auto"/>
              </w:rPr>
            </w:pPr>
          </w:p>
        </w:tc>
        <w:tc>
          <w:tcPr>
            <w:tcW w:w="2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840" w:type="dxa"/>
            <w:vAlign w:val="bottom"/>
            <w:shd w:val="clear" w:color="auto" w:fill="CCEEFF"/>
          </w:tcPr>
          <w:p>
            <w:pPr>
              <w:jc w:val="right"/>
              <w:ind w:right="43"/>
              <w:spacing w:after="0"/>
              <w:rPr>
                <w:sz w:val="20"/>
                <w:szCs w:val="20"/>
                <w:color w:val="auto"/>
              </w:rPr>
            </w:pPr>
            <w:r>
              <w:rPr>
                <w:rFonts w:ascii="Arial" w:cs="Arial" w:eastAsia="Arial" w:hAnsi="Arial"/>
                <w:sz w:val="16"/>
                <w:szCs w:val="16"/>
                <w:color w:val="auto"/>
              </w:rPr>
              <w:t>46</w:t>
            </w:r>
          </w:p>
        </w:tc>
        <w:tc>
          <w:tcPr>
            <w:tcW w:w="120" w:type="dxa"/>
            <w:vAlign w:val="bottom"/>
            <w:shd w:val="clear" w:color="auto" w:fill="CCEEFF"/>
          </w:tcPr>
          <w:p>
            <w:pPr>
              <w:spacing w:after="0"/>
              <w:rPr>
                <w:sz w:val="21"/>
                <w:szCs w:val="21"/>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8</w:t>
            </w:r>
          </w:p>
        </w:tc>
        <w:tc>
          <w:tcPr>
            <w:tcW w:w="12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shd w:val="clear" w:color="auto" w:fill="CCEEFF"/>
          </w:tcPr>
          <w:p>
            <w:pPr>
              <w:jc w:val="right"/>
              <w:ind w:right="42"/>
              <w:spacing w:after="0"/>
              <w:rPr>
                <w:sz w:val="20"/>
                <w:szCs w:val="20"/>
                <w:color w:val="auto"/>
              </w:rPr>
            </w:pPr>
            <w:r>
              <w:rPr>
                <w:rFonts w:ascii="Arial" w:cs="Arial" w:eastAsia="Arial" w:hAnsi="Arial"/>
                <w:sz w:val="16"/>
                <w:szCs w:val="16"/>
                <w:color w:val="auto"/>
              </w:rPr>
              <w:t>6,800</w:t>
            </w:r>
          </w:p>
        </w:tc>
        <w:tc>
          <w:tcPr>
            <w:tcW w:w="100" w:type="dxa"/>
            <w:vAlign w:val="bottom"/>
            <w:shd w:val="clear" w:color="auto" w:fill="CCEEFF"/>
          </w:tcPr>
          <w:p>
            <w:pPr>
              <w:spacing w:after="0"/>
              <w:rPr>
                <w:sz w:val="21"/>
                <w:szCs w:val="21"/>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3.28%</w:t>
            </w:r>
          </w:p>
        </w:tc>
        <w:tc>
          <w:tcPr>
            <w:tcW w:w="100" w:type="dxa"/>
            <w:vAlign w:val="bottom"/>
            <w:shd w:val="clear" w:color="auto" w:fill="CCEEFF"/>
          </w:tcPr>
          <w:p>
            <w:pPr>
              <w:spacing w:after="0"/>
              <w:rPr>
                <w:sz w:val="21"/>
                <w:szCs w:val="21"/>
                <w:color w:val="auto"/>
              </w:rPr>
            </w:pPr>
          </w:p>
        </w:tc>
        <w:tc>
          <w:tcPr>
            <w:tcW w:w="1120" w:type="dxa"/>
            <w:vAlign w:val="bottom"/>
            <w:gridSpan w:val="2"/>
            <w:shd w:val="clear" w:color="auto" w:fill="CCEEFF"/>
          </w:tcPr>
          <w:p>
            <w:pPr>
              <w:jc w:val="center"/>
              <w:ind w:right="120"/>
              <w:spacing w:after="0"/>
              <w:rPr>
                <w:sz w:val="20"/>
                <w:szCs w:val="20"/>
                <w:color w:val="auto"/>
              </w:rPr>
            </w:pPr>
            <w:r>
              <w:rPr>
                <w:rFonts w:ascii="Arial" w:cs="Arial" w:eastAsia="Arial" w:hAnsi="Arial"/>
                <w:sz w:val="16"/>
                <w:szCs w:val="16"/>
                <w:color w:val="auto"/>
              </w:rPr>
              <w:t>3M</w:t>
            </w: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6.2</w:t>
            </w:r>
          </w:p>
        </w:tc>
        <w:tc>
          <w:tcPr>
            <w:tcW w:w="0" w:type="dxa"/>
            <w:vAlign w:val="bottom"/>
          </w:tcPr>
          <w:p>
            <w:pPr>
              <w:spacing w:after="0"/>
              <w:rPr>
                <w:sz w:val="1"/>
                <w:szCs w:val="1"/>
                <w:color w:val="auto"/>
              </w:rPr>
            </w:pPr>
          </w:p>
        </w:tc>
      </w:tr>
      <w:tr>
        <w:trPr>
          <w:trHeight w:val="20"/>
        </w:trPr>
        <w:tc>
          <w:tcPr>
            <w:tcW w:w="34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0"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 summarizes our interest rate receiver swaption agreements outstanding as of 2014 (dollars in millions). We did not have any interest rate receiver swaptions outstanding as of December 31, 2015.</w:t>
      </w:r>
    </w:p>
    <w:p>
      <w:pPr>
        <w:spacing w:after="0" w:line="338"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34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Receiver Swaptions</w:t>
            </w:r>
          </w:p>
        </w:tc>
        <w:tc>
          <w:tcPr>
            <w:tcW w:w="1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gridSpan w:val="2"/>
          </w:tcPr>
          <w:p>
            <w:pPr>
              <w:jc w:val="center"/>
              <w:ind w:right="320"/>
              <w:spacing w:after="0"/>
              <w:rPr>
                <w:sz w:val="20"/>
                <w:szCs w:val="20"/>
                <w:color w:val="auto"/>
              </w:rPr>
            </w:pPr>
            <w:r>
              <w:rPr>
                <w:rFonts w:ascii="Arial" w:cs="Arial" w:eastAsia="Arial" w:hAnsi="Arial"/>
                <w:sz w:val="14"/>
                <w:szCs w:val="14"/>
                <w:b w:val="1"/>
                <w:bCs w:val="1"/>
                <w:color w:val="auto"/>
                <w:w w:val="97"/>
              </w:rPr>
              <w:t>Option</w:t>
            </w:r>
          </w:p>
        </w:tc>
        <w:tc>
          <w:tcPr>
            <w:tcW w:w="10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40" w:type="dxa"/>
            <w:vAlign w:val="bottom"/>
            <w:tcBorders>
              <w:bottom w:val="single" w:sz="8" w:color="auto"/>
            </w:tcBorders>
            <w:gridSpan w:val="4"/>
          </w:tcPr>
          <w:p>
            <w:pPr>
              <w:ind w:left="260"/>
              <w:spacing w:after="0"/>
              <w:rPr>
                <w:sz w:val="20"/>
                <w:szCs w:val="20"/>
                <w:color w:val="auto"/>
              </w:rPr>
            </w:pPr>
            <w:r>
              <w:rPr>
                <w:rFonts w:ascii="Arial" w:cs="Arial" w:eastAsia="Arial" w:hAnsi="Arial"/>
                <w:sz w:val="14"/>
                <w:szCs w:val="14"/>
                <w:b w:val="1"/>
                <w:bCs w:val="1"/>
                <w:color w:val="auto"/>
              </w:rPr>
              <w:t>Underlying Receiver Swap</w:t>
            </w: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4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0"/>
              </w:rPr>
              <w:t>Average</w:t>
            </w:r>
          </w:p>
        </w:tc>
        <w:tc>
          <w:tcPr>
            <w:tcW w:w="1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2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1"/>
              </w:rPr>
              <w:t>Average Fixed</w:t>
            </w:r>
          </w:p>
        </w:tc>
        <w:tc>
          <w:tcPr>
            <w:tcW w:w="1120" w:type="dxa"/>
            <w:vAlign w:val="bottom"/>
            <w:gridSpan w:val="2"/>
          </w:tcPr>
          <w:p>
            <w:pPr>
              <w:jc w:val="center"/>
              <w:ind w:right="140"/>
              <w:spacing w:after="0" w:line="153" w:lineRule="exact"/>
              <w:rPr>
                <w:sz w:val="20"/>
                <w:szCs w:val="20"/>
                <w:color w:val="auto"/>
              </w:rPr>
            </w:pPr>
            <w:r>
              <w:rPr>
                <w:rFonts w:ascii="Arial" w:cs="Arial" w:eastAsia="Arial" w:hAnsi="Arial"/>
                <w:sz w:val="14"/>
                <w:szCs w:val="14"/>
                <w:b w:val="1"/>
                <w:bCs w:val="1"/>
                <w:color w:val="auto"/>
                <w:w w:val="90"/>
              </w:rPr>
              <w:t>Average</w:t>
            </w:r>
          </w:p>
        </w:tc>
        <w:tc>
          <w:tcPr>
            <w:tcW w:w="10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Average</w:t>
            </w:r>
          </w:p>
        </w:tc>
        <w:tc>
          <w:tcPr>
            <w:tcW w:w="0" w:type="dxa"/>
            <w:vAlign w:val="bottom"/>
          </w:tcPr>
          <w:p>
            <w:pPr>
              <w:spacing w:after="0"/>
              <w:rPr>
                <w:sz w:val="1"/>
                <w:szCs w:val="1"/>
                <w:color w:val="auto"/>
              </w:rPr>
            </w:pPr>
          </w:p>
        </w:tc>
      </w:tr>
      <w:tr>
        <w:trPr>
          <w:trHeight w:val="149"/>
        </w:trPr>
        <w:tc>
          <w:tcPr>
            <w:tcW w:w="34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6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rPr>
              <w:t>Fair</w:t>
            </w:r>
          </w:p>
        </w:tc>
        <w:tc>
          <w:tcPr>
            <w:tcW w:w="114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Notional</w:t>
            </w:r>
          </w:p>
        </w:tc>
        <w:tc>
          <w:tcPr>
            <w:tcW w:w="1120" w:type="dxa"/>
            <w:vAlign w:val="bottom"/>
            <w:gridSpan w:val="2"/>
            <w:vMerge w:val="continue"/>
          </w:tcPr>
          <w:p>
            <w:pPr>
              <w:spacing w:after="0"/>
              <w:rPr>
                <w:sz w:val="12"/>
                <w:szCs w:val="12"/>
                <w:color w:val="auto"/>
              </w:rPr>
            </w:pPr>
          </w:p>
        </w:tc>
        <w:tc>
          <w:tcPr>
            <w:tcW w:w="112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6"/>
              </w:rPr>
              <w:t>Pay</w:t>
            </w:r>
          </w:p>
        </w:tc>
        <w:tc>
          <w:tcPr>
            <w:tcW w:w="10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42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Years to Expiration</w:t>
            </w:r>
          </w:p>
        </w:tc>
        <w:tc>
          <w:tcPr>
            <w:tcW w:w="120" w:type="dxa"/>
            <w:vAlign w:val="bottom"/>
            <w:vMerge w:val="restart"/>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vMerge w:val="restart"/>
          </w:tcPr>
          <w:p>
            <w:pPr>
              <w:jc w:val="right"/>
              <w:ind w:right="303"/>
              <w:spacing w:after="0"/>
              <w:rPr>
                <w:sz w:val="20"/>
                <w:szCs w:val="20"/>
                <w:color w:val="auto"/>
              </w:rPr>
            </w:pPr>
            <w:r>
              <w:rPr>
                <w:rFonts w:ascii="Arial" w:cs="Arial" w:eastAsia="Arial" w:hAnsi="Arial"/>
                <w:sz w:val="14"/>
                <w:szCs w:val="14"/>
                <w:b w:val="1"/>
                <w:bCs w:val="1"/>
                <w:color w:val="auto"/>
              </w:rPr>
              <w:t>Cost</w:t>
            </w:r>
          </w:p>
        </w:tc>
        <w:tc>
          <w:tcPr>
            <w:tcW w:w="120" w:type="dxa"/>
            <w:vAlign w:val="bottom"/>
            <w:vMerge w:val="restart"/>
          </w:tcPr>
          <w:p>
            <w:pPr>
              <w:spacing w:after="0"/>
              <w:rPr>
                <w:sz w:val="12"/>
                <w:szCs w:val="12"/>
                <w:color w:val="auto"/>
              </w:rPr>
            </w:pPr>
          </w:p>
        </w:tc>
        <w:tc>
          <w:tcPr>
            <w:tcW w:w="200" w:type="dxa"/>
            <w:vAlign w:val="bottom"/>
          </w:tcPr>
          <w:p>
            <w:pPr>
              <w:spacing w:after="0"/>
              <w:rPr>
                <w:sz w:val="12"/>
                <w:szCs w:val="12"/>
                <w:color w:val="auto"/>
              </w:rPr>
            </w:pPr>
          </w:p>
        </w:tc>
        <w:tc>
          <w:tcPr>
            <w:tcW w:w="960" w:type="dxa"/>
            <w:vAlign w:val="bottom"/>
            <w:gridSpan w:val="2"/>
            <w:vMerge w:val="continue"/>
          </w:tcPr>
          <w:p>
            <w:pPr>
              <w:spacing w:after="0"/>
              <w:rPr>
                <w:sz w:val="12"/>
                <w:szCs w:val="12"/>
                <w:color w:val="auto"/>
              </w:rPr>
            </w:pP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Months to</w:t>
            </w:r>
          </w:p>
        </w:tc>
        <w:tc>
          <w:tcPr>
            <w:tcW w:w="16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1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Receive</w:t>
            </w:r>
          </w:p>
        </w:tc>
        <w:tc>
          <w:tcPr>
            <w:tcW w:w="11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Rate</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Term</w:t>
            </w:r>
          </w:p>
        </w:tc>
        <w:tc>
          <w:tcPr>
            <w:tcW w:w="0" w:type="dxa"/>
            <w:vAlign w:val="bottom"/>
          </w:tcPr>
          <w:p>
            <w:pPr>
              <w:spacing w:after="0"/>
              <w:rPr>
                <w:sz w:val="1"/>
                <w:szCs w:val="1"/>
                <w:color w:val="auto"/>
              </w:rPr>
            </w:pPr>
          </w:p>
        </w:tc>
      </w:tr>
      <w:tr>
        <w:trPr>
          <w:trHeight w:val="192"/>
        </w:trPr>
        <w:tc>
          <w:tcPr>
            <w:tcW w:w="34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center"/>
              <w:ind w:right="126"/>
              <w:spacing w:after="0"/>
              <w:rPr>
                <w:sz w:val="20"/>
                <w:szCs w:val="20"/>
                <w:color w:val="auto"/>
              </w:rPr>
            </w:pPr>
            <w:r>
              <w:rPr>
                <w:rFonts w:ascii="Arial" w:cs="Arial" w:eastAsia="Arial" w:hAnsi="Arial"/>
                <w:sz w:val="14"/>
                <w:szCs w:val="14"/>
                <w:b w:val="1"/>
                <w:bCs w:val="1"/>
                <w:color w:val="auto"/>
                <w:w w:val="96"/>
              </w:rPr>
              <w:t>Value</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Expiration</w:t>
            </w: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ind w:left="80"/>
              <w:spacing w:after="0"/>
              <w:rPr>
                <w:sz w:val="20"/>
                <w:szCs w:val="20"/>
                <w:color w:val="auto"/>
              </w:rPr>
            </w:pPr>
            <w:r>
              <w:rPr>
                <w:rFonts w:ascii="Arial" w:cs="Arial" w:eastAsia="Arial" w:hAnsi="Arial"/>
                <w:sz w:val="14"/>
                <w:szCs w:val="14"/>
                <w:b w:val="1"/>
                <w:bCs w:val="1"/>
                <w:color w:val="auto"/>
              </w:rPr>
              <w:t>Amount</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(LIBOR)</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50"/>
        </w:trPr>
        <w:tc>
          <w:tcPr>
            <w:tcW w:w="35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b w:val="1"/>
                <w:bCs w:val="1"/>
                <w:color w:val="auto"/>
              </w:rPr>
              <w:t>December 31, 2014</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3540" w:type="dxa"/>
            <w:vAlign w:val="bottom"/>
            <w:gridSpan w:val="2"/>
          </w:tcPr>
          <w:p>
            <w:pPr>
              <w:ind w:left="200"/>
              <w:spacing w:after="0"/>
              <w:rPr>
                <w:sz w:val="20"/>
                <w:szCs w:val="20"/>
                <w:color w:val="auto"/>
              </w:rPr>
            </w:pPr>
            <w:r>
              <w:rPr>
                <w:rFonts w:ascii="Arial" w:cs="Arial" w:eastAsia="Arial" w:hAnsi="Arial"/>
                <w:sz w:val="16"/>
                <w:szCs w:val="16"/>
                <w:color w:val="auto"/>
              </w:rPr>
              <w:t>≤ 1 year</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800" w:type="dxa"/>
            <w:vAlign w:val="bottom"/>
          </w:tcPr>
          <w:p>
            <w:pPr>
              <w:jc w:val="right"/>
              <w:ind w:right="43"/>
              <w:spacing w:after="0"/>
              <w:rPr>
                <w:sz w:val="20"/>
                <w:szCs w:val="20"/>
                <w:color w:val="auto"/>
              </w:rPr>
            </w:pPr>
            <w:r>
              <w:rPr>
                <w:rFonts w:ascii="Arial" w:cs="Arial" w:eastAsia="Arial" w:hAnsi="Arial"/>
                <w:sz w:val="16"/>
                <w:szCs w:val="16"/>
                <w:color w:val="auto"/>
              </w:rPr>
              <w:t>18</w:t>
            </w:r>
          </w:p>
        </w:tc>
        <w:tc>
          <w:tcPr>
            <w:tcW w:w="120" w:type="dxa"/>
            <w:vAlign w:val="bottom"/>
          </w:tcPr>
          <w:p>
            <w:pPr>
              <w:spacing w:after="0"/>
              <w:rPr>
                <w:sz w:val="21"/>
                <w:szCs w:val="21"/>
                <w:color w:val="auto"/>
              </w:rPr>
            </w:pP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ind w:right="46"/>
              <w:spacing w:after="0"/>
              <w:rPr>
                <w:sz w:val="20"/>
                <w:szCs w:val="20"/>
                <w:color w:val="auto"/>
              </w:rPr>
            </w:pPr>
            <w:r>
              <w:rPr>
                <w:rFonts w:ascii="Arial" w:cs="Arial" w:eastAsia="Arial" w:hAnsi="Arial"/>
                <w:sz w:val="16"/>
                <w:szCs w:val="16"/>
                <w:color w:val="auto"/>
              </w:rPr>
              <w:t>29</w:t>
            </w:r>
          </w:p>
        </w:tc>
        <w:tc>
          <w:tcPr>
            <w:tcW w:w="12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rPr>
              <w:t>5</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ind w:right="45"/>
              <w:spacing w:after="0"/>
              <w:rPr>
                <w:sz w:val="20"/>
                <w:szCs w:val="20"/>
                <w:color w:val="auto"/>
              </w:rPr>
            </w:pPr>
            <w:r>
              <w:rPr>
                <w:rFonts w:ascii="Arial" w:cs="Arial" w:eastAsia="Arial" w:hAnsi="Arial"/>
                <w:sz w:val="16"/>
                <w:szCs w:val="16"/>
                <w:color w:val="auto"/>
              </w:rPr>
              <w:t>4,250</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1.78%</w:t>
            </w:r>
          </w:p>
        </w:tc>
        <w:tc>
          <w:tcPr>
            <w:tcW w:w="100" w:type="dxa"/>
            <w:vAlign w:val="bottom"/>
          </w:tcPr>
          <w:p>
            <w:pPr>
              <w:spacing w:after="0"/>
              <w:rPr>
                <w:sz w:val="21"/>
                <w:szCs w:val="21"/>
                <w:color w:val="auto"/>
              </w:rPr>
            </w:pPr>
          </w:p>
        </w:tc>
        <w:tc>
          <w:tcPr>
            <w:tcW w:w="1120" w:type="dxa"/>
            <w:vAlign w:val="bottom"/>
            <w:gridSpan w:val="2"/>
          </w:tcPr>
          <w:p>
            <w:pPr>
              <w:jc w:val="center"/>
              <w:ind w:right="120"/>
              <w:spacing w:after="0"/>
              <w:rPr>
                <w:sz w:val="20"/>
                <w:szCs w:val="20"/>
                <w:color w:val="auto"/>
              </w:rPr>
            </w:pPr>
            <w:r>
              <w:rPr>
                <w:rFonts w:ascii="Arial" w:cs="Arial" w:eastAsia="Arial" w:hAnsi="Arial"/>
                <w:sz w:val="16"/>
                <w:szCs w:val="16"/>
                <w:color w:val="auto"/>
              </w:rPr>
              <w:t>3M</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6.4</w:t>
            </w:r>
          </w:p>
        </w:tc>
        <w:tc>
          <w:tcPr>
            <w:tcW w:w="0" w:type="dxa"/>
            <w:vAlign w:val="bottom"/>
          </w:tcPr>
          <w:p>
            <w:pPr>
              <w:spacing w:after="0"/>
              <w:rPr>
                <w:sz w:val="1"/>
                <w:szCs w:val="1"/>
                <w:color w:val="auto"/>
              </w:rPr>
            </w:pPr>
          </w:p>
        </w:tc>
      </w:tr>
      <w:tr>
        <w:trPr>
          <w:trHeight w:val="20"/>
        </w:trPr>
        <w:tc>
          <w:tcPr>
            <w:tcW w:w="34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summarizes our U.S. Treasury securities as of December 31, 2015 and 2014 (in millions):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rPr>
              <w:t>December 31, 2015</w:t>
            </w:r>
          </w:p>
        </w:tc>
        <w:tc>
          <w:tcPr>
            <w:tcW w:w="1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4"/>
          </w:tcPr>
          <w:p>
            <w:pPr>
              <w:ind w:left="100"/>
              <w:spacing w:after="0"/>
              <w:rPr>
                <w:sz w:val="20"/>
                <w:szCs w:val="20"/>
                <w:color w:val="auto"/>
              </w:rPr>
            </w:pPr>
            <w:r>
              <w:rPr>
                <w:rFonts w:ascii="Arial" w:cs="Arial" w:eastAsia="Arial" w:hAnsi="Arial"/>
                <w:sz w:val="14"/>
                <w:szCs w:val="14"/>
                <w:b w:val="1"/>
                <w:bCs w:val="1"/>
                <w:color w:val="auto"/>
              </w:rPr>
              <w:t>December 31, 2014</w:t>
            </w:r>
          </w:p>
        </w:tc>
        <w:tc>
          <w:tcPr>
            <w:tcW w:w="1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02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Maturity</w:t>
            </w:r>
          </w:p>
        </w:tc>
        <w:tc>
          <w:tcPr>
            <w:tcW w:w="120" w:type="dxa"/>
            <w:vAlign w:val="bottom"/>
            <w:vMerge w:val="restart"/>
          </w:tcPr>
          <w:p>
            <w:pPr>
              <w:spacing w:after="0"/>
              <w:rPr>
                <w:sz w:val="13"/>
                <w:szCs w:val="13"/>
                <w:color w:val="auto"/>
              </w:rPr>
            </w:pPr>
          </w:p>
        </w:tc>
        <w:tc>
          <w:tcPr>
            <w:tcW w:w="1380" w:type="dxa"/>
            <w:vAlign w:val="bottom"/>
            <w:gridSpan w:val="3"/>
          </w:tcPr>
          <w:p>
            <w:pPr>
              <w:ind w:left="80"/>
              <w:spacing w:after="0" w:line="153" w:lineRule="exact"/>
              <w:rPr>
                <w:sz w:val="20"/>
                <w:szCs w:val="20"/>
                <w:color w:val="auto"/>
              </w:rPr>
            </w:pPr>
            <w:r>
              <w:rPr>
                <w:rFonts w:ascii="Arial" w:cs="Arial" w:eastAsia="Arial" w:hAnsi="Arial"/>
                <w:sz w:val="14"/>
                <w:szCs w:val="14"/>
                <w:b w:val="1"/>
                <w:bCs w:val="1"/>
                <w:color w:val="auto"/>
              </w:rPr>
              <w:t>Face Amount Net</w:t>
            </w:r>
          </w:p>
        </w:tc>
        <w:tc>
          <w:tcPr>
            <w:tcW w:w="200" w:type="dxa"/>
            <w:vAlign w:val="bottom"/>
          </w:tcPr>
          <w:p>
            <w:pPr>
              <w:spacing w:after="0"/>
              <w:rPr>
                <w:sz w:val="13"/>
                <w:szCs w:val="13"/>
                <w:color w:val="auto"/>
              </w:rPr>
            </w:pPr>
          </w:p>
        </w:tc>
        <w:tc>
          <w:tcPr>
            <w:tcW w:w="1020" w:type="dxa"/>
            <w:vAlign w:val="bottom"/>
            <w:vMerge w:val="restart"/>
          </w:tcPr>
          <w:p>
            <w:pPr>
              <w:jc w:val="right"/>
              <w:ind w:right="201"/>
              <w:spacing w:after="0"/>
              <w:rPr>
                <w:sz w:val="20"/>
                <w:szCs w:val="20"/>
                <w:color w:val="auto"/>
              </w:rPr>
            </w:pPr>
            <w:r>
              <w:rPr>
                <w:rFonts w:ascii="Arial" w:cs="Arial" w:eastAsia="Arial" w:hAnsi="Arial"/>
                <w:sz w:val="14"/>
                <w:szCs w:val="14"/>
                <w:b w:val="1"/>
                <w:bCs w:val="1"/>
                <w:color w:val="auto"/>
                <w:w w:val="99"/>
              </w:rPr>
              <w:t>Cost Basis</w:t>
            </w:r>
          </w:p>
        </w:tc>
        <w:tc>
          <w:tcPr>
            <w:tcW w:w="120" w:type="dxa"/>
            <w:vAlign w:val="bottom"/>
            <w:vMerge w:val="restart"/>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vMerge w:val="restart"/>
          </w:tcPr>
          <w:p>
            <w:pPr>
              <w:jc w:val="right"/>
              <w:ind w:right="121"/>
              <w:spacing w:after="0"/>
              <w:rPr>
                <w:sz w:val="20"/>
                <w:szCs w:val="20"/>
                <w:color w:val="auto"/>
              </w:rPr>
            </w:pPr>
            <w:r>
              <w:rPr>
                <w:rFonts w:ascii="Arial" w:cs="Arial" w:eastAsia="Arial" w:hAnsi="Arial"/>
                <w:sz w:val="14"/>
                <w:szCs w:val="14"/>
                <w:b w:val="1"/>
                <w:bCs w:val="1"/>
                <w:color w:val="auto"/>
                <w:w w:val="99"/>
              </w:rPr>
              <w:t>Market Value</w:t>
            </w:r>
          </w:p>
        </w:tc>
        <w:tc>
          <w:tcPr>
            <w:tcW w:w="100" w:type="dxa"/>
            <w:vAlign w:val="bottom"/>
            <w:vMerge w:val="restart"/>
          </w:tcPr>
          <w:p>
            <w:pPr>
              <w:spacing w:after="0"/>
              <w:rPr>
                <w:sz w:val="13"/>
                <w:szCs w:val="13"/>
                <w:color w:val="auto"/>
              </w:rPr>
            </w:pPr>
          </w:p>
        </w:tc>
        <w:tc>
          <w:tcPr>
            <w:tcW w:w="120" w:type="dxa"/>
            <w:vAlign w:val="bottom"/>
          </w:tcPr>
          <w:p>
            <w:pPr>
              <w:spacing w:after="0"/>
              <w:rPr>
                <w:sz w:val="13"/>
                <w:szCs w:val="13"/>
                <w:color w:val="auto"/>
              </w:rPr>
            </w:pPr>
          </w:p>
        </w:tc>
        <w:tc>
          <w:tcPr>
            <w:tcW w:w="1200" w:type="dxa"/>
            <w:vAlign w:val="bottom"/>
          </w:tcPr>
          <w:p>
            <w:pPr>
              <w:jc w:val="right"/>
              <w:ind w:right="42"/>
              <w:spacing w:after="0" w:line="153" w:lineRule="exact"/>
              <w:rPr>
                <w:sz w:val="20"/>
                <w:szCs w:val="20"/>
                <w:color w:val="auto"/>
              </w:rPr>
            </w:pPr>
            <w:r>
              <w:rPr>
                <w:rFonts w:ascii="Arial" w:cs="Arial" w:eastAsia="Arial" w:hAnsi="Arial"/>
                <w:sz w:val="14"/>
                <w:szCs w:val="14"/>
                <w:b w:val="1"/>
                <w:bCs w:val="1"/>
                <w:color w:val="auto"/>
                <w:w w:val="92"/>
              </w:rPr>
              <w:t>Face Amount Net</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20" w:type="dxa"/>
            <w:vAlign w:val="bottom"/>
            <w:vMerge w:val="restart"/>
          </w:tcPr>
          <w:p>
            <w:pPr>
              <w:jc w:val="right"/>
              <w:ind w:right="201"/>
              <w:spacing w:after="0"/>
              <w:rPr>
                <w:sz w:val="20"/>
                <w:szCs w:val="20"/>
                <w:color w:val="auto"/>
              </w:rPr>
            </w:pPr>
            <w:r>
              <w:rPr>
                <w:rFonts w:ascii="Arial" w:cs="Arial" w:eastAsia="Arial" w:hAnsi="Arial"/>
                <w:sz w:val="14"/>
                <w:szCs w:val="14"/>
                <w:b w:val="1"/>
                <w:bCs w:val="1"/>
                <w:color w:val="auto"/>
                <w:w w:val="99"/>
              </w:rPr>
              <w:t>Cost Basis</w:t>
            </w:r>
          </w:p>
        </w:tc>
        <w:tc>
          <w:tcPr>
            <w:tcW w:w="120" w:type="dxa"/>
            <w:vAlign w:val="bottom"/>
            <w:vMerge w:val="restart"/>
          </w:tcPr>
          <w:p>
            <w:pPr>
              <w:spacing w:after="0"/>
              <w:rPr>
                <w:sz w:val="13"/>
                <w:szCs w:val="13"/>
                <w:color w:val="auto"/>
              </w:rPr>
            </w:pPr>
          </w:p>
        </w:tc>
        <w:tc>
          <w:tcPr>
            <w:tcW w:w="140" w:type="dxa"/>
            <w:vAlign w:val="bottom"/>
          </w:tcPr>
          <w:p>
            <w:pPr>
              <w:spacing w:after="0"/>
              <w:rPr>
                <w:sz w:val="13"/>
                <w:szCs w:val="13"/>
                <w:color w:val="auto"/>
              </w:rPr>
            </w:pPr>
          </w:p>
        </w:tc>
        <w:tc>
          <w:tcPr>
            <w:tcW w:w="1060" w:type="dxa"/>
            <w:vAlign w:val="bottom"/>
            <w:vMerge w:val="restart"/>
          </w:tcPr>
          <w:p>
            <w:pPr>
              <w:jc w:val="right"/>
              <w:ind w:right="101"/>
              <w:spacing w:after="0"/>
              <w:rPr>
                <w:sz w:val="20"/>
                <w:szCs w:val="20"/>
                <w:color w:val="auto"/>
              </w:rPr>
            </w:pPr>
            <w:r>
              <w:rPr>
                <w:rFonts w:ascii="Arial" w:cs="Arial" w:eastAsia="Arial" w:hAnsi="Arial"/>
                <w:sz w:val="14"/>
                <w:szCs w:val="14"/>
                <w:b w:val="1"/>
                <w:bCs w:val="1"/>
                <w:color w:val="auto"/>
                <w:w w:val="99"/>
              </w:rPr>
              <w:t>Market Value</w:t>
            </w:r>
          </w:p>
        </w:tc>
        <w:tc>
          <w:tcPr>
            <w:tcW w:w="0" w:type="dxa"/>
            <w:vAlign w:val="bottom"/>
          </w:tcPr>
          <w:p>
            <w:pPr>
              <w:spacing w:after="0"/>
              <w:rPr>
                <w:sz w:val="1"/>
                <w:szCs w:val="1"/>
                <w:color w:val="auto"/>
              </w:rPr>
            </w:pPr>
          </w:p>
        </w:tc>
      </w:tr>
      <w:tr>
        <w:trPr>
          <w:trHeight w:val="192"/>
        </w:trPr>
        <w:tc>
          <w:tcPr>
            <w:tcW w:w="30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121"/>
              <w:spacing w:after="0"/>
              <w:rPr>
                <w:sz w:val="20"/>
                <w:szCs w:val="20"/>
                <w:color w:val="auto"/>
              </w:rPr>
            </w:pPr>
            <w:r>
              <w:rPr>
                <w:rFonts w:ascii="Arial" w:cs="Arial" w:eastAsia="Arial" w:hAnsi="Arial"/>
                <w:sz w:val="14"/>
                <w:szCs w:val="14"/>
                <w:b w:val="1"/>
                <w:bCs w:val="1"/>
                <w:color w:val="auto"/>
                <w:w w:val="95"/>
              </w:rPr>
              <w:t>Long / (Short)</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142"/>
              <w:spacing w:after="0"/>
              <w:rPr>
                <w:sz w:val="20"/>
                <w:szCs w:val="20"/>
                <w:color w:val="auto"/>
              </w:rPr>
            </w:pPr>
            <w:r>
              <w:rPr>
                <w:rFonts w:ascii="Arial" w:cs="Arial" w:eastAsia="Arial" w:hAnsi="Arial"/>
                <w:sz w:val="14"/>
                <w:szCs w:val="14"/>
                <w:b w:val="1"/>
                <w:bCs w:val="1"/>
                <w:color w:val="auto"/>
              </w:rPr>
              <w:t>Long / (Short)</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36"/>
        </w:trPr>
        <w:tc>
          <w:tcPr>
            <w:tcW w:w="31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5 years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(250)</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(249)</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(249)</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(4,674)</w:t>
            </w:r>
          </w:p>
        </w:tc>
        <w:tc>
          <w:tcPr>
            <w:tcW w:w="3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(4,650)</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(4,645)</w:t>
            </w:r>
          </w:p>
        </w:tc>
        <w:tc>
          <w:tcPr>
            <w:tcW w:w="0" w:type="dxa"/>
            <w:vAlign w:val="bottom"/>
          </w:tcPr>
          <w:p>
            <w:pPr>
              <w:spacing w:after="0"/>
              <w:rPr>
                <w:sz w:val="1"/>
                <w:szCs w:val="1"/>
                <w:color w:val="auto"/>
              </w:rPr>
            </w:pPr>
          </w:p>
        </w:tc>
      </w:tr>
      <w:tr>
        <w:trPr>
          <w:trHeight w:val="237"/>
        </w:trPr>
        <w:tc>
          <w:tcPr>
            <w:tcW w:w="3140" w:type="dxa"/>
            <w:vAlign w:val="bottom"/>
            <w:gridSpan w:val="2"/>
          </w:tcPr>
          <w:p>
            <w:pPr>
              <w:ind w:left="40"/>
              <w:spacing w:after="0"/>
              <w:rPr>
                <w:sz w:val="20"/>
                <w:szCs w:val="20"/>
                <w:color w:val="auto"/>
              </w:rPr>
            </w:pPr>
            <w:r>
              <w:rPr>
                <w:rFonts w:ascii="Arial" w:cs="Arial" w:eastAsia="Arial" w:hAnsi="Arial"/>
                <w:sz w:val="16"/>
                <w:szCs w:val="16"/>
                <w:color w:val="auto"/>
              </w:rPr>
              <w:t>7 years</w:t>
            </w:r>
          </w:p>
        </w:tc>
        <w:tc>
          <w:tcPr>
            <w:tcW w:w="160" w:type="dxa"/>
            <w:vAlign w:val="bottom"/>
          </w:tcPr>
          <w:p>
            <w:pPr>
              <w:spacing w:after="0"/>
              <w:rPr>
                <w:sz w:val="20"/>
                <w:szCs w:val="20"/>
                <w:color w:val="auto"/>
              </w:rPr>
            </w:pPr>
          </w:p>
        </w:tc>
        <w:tc>
          <w:tcPr>
            <w:tcW w:w="1100" w:type="dxa"/>
            <w:vAlign w:val="bottom"/>
          </w:tcPr>
          <w:p>
            <w:pPr>
              <w:jc w:val="right"/>
              <w:ind w:right="1"/>
              <w:spacing w:after="0"/>
              <w:rPr>
                <w:sz w:val="20"/>
                <w:szCs w:val="20"/>
                <w:color w:val="auto"/>
              </w:rPr>
            </w:pPr>
            <w:r>
              <w:rPr>
                <w:rFonts w:ascii="Arial" w:cs="Arial" w:eastAsia="Arial" w:hAnsi="Arial"/>
                <w:sz w:val="16"/>
                <w:szCs w:val="16"/>
                <w:color w:val="auto"/>
              </w:rPr>
              <w:t>(354)</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(353)</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(352)</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(717)</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(717)</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(718)</w:t>
            </w:r>
          </w:p>
        </w:tc>
        <w:tc>
          <w:tcPr>
            <w:tcW w:w="0" w:type="dxa"/>
            <w:vAlign w:val="bottom"/>
          </w:tcPr>
          <w:p>
            <w:pPr>
              <w:spacing w:after="0"/>
              <w:rPr>
                <w:sz w:val="1"/>
                <w:szCs w:val="1"/>
                <w:color w:val="auto"/>
              </w:rPr>
            </w:pPr>
          </w:p>
        </w:tc>
      </w:tr>
      <w:tr>
        <w:trPr>
          <w:trHeight w:val="33"/>
        </w:trPr>
        <w:tc>
          <w:tcPr>
            <w:tcW w:w="3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1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10 years</w:t>
            </w:r>
          </w:p>
        </w:tc>
        <w:tc>
          <w:tcPr>
            <w:tcW w:w="1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(1,085)</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(1,078)</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(1,070)</w:t>
            </w: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2,410</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2,422</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2,427</w:t>
            </w:r>
          </w:p>
        </w:tc>
        <w:tc>
          <w:tcPr>
            <w:tcW w:w="0" w:type="dxa"/>
            <w:vAlign w:val="bottom"/>
          </w:tcPr>
          <w:p>
            <w:pPr>
              <w:spacing w:after="0"/>
              <w:rPr>
                <w:sz w:val="1"/>
                <w:szCs w:val="1"/>
                <w:color w:val="auto"/>
              </w:rPr>
            </w:pPr>
          </w:p>
        </w:tc>
      </w:tr>
      <w:tr>
        <w:trPr>
          <w:trHeight w:val="244"/>
        </w:trPr>
        <w:tc>
          <w:tcPr>
            <w:tcW w:w="3140" w:type="dxa"/>
            <w:vAlign w:val="bottom"/>
            <w:gridSpan w:val="2"/>
          </w:tcPr>
          <w:p>
            <w:pPr>
              <w:ind w:left="40"/>
              <w:spacing w:after="0"/>
              <w:rPr>
                <w:sz w:val="20"/>
                <w:szCs w:val="20"/>
                <w:color w:val="auto"/>
              </w:rPr>
            </w:pPr>
            <w:r>
              <w:rPr>
                <w:rFonts w:ascii="Arial" w:cs="Arial" w:eastAsia="Arial" w:hAnsi="Arial"/>
                <w:sz w:val="16"/>
                <w:szCs w:val="16"/>
                <w:color w:val="auto"/>
              </w:rPr>
              <w:t>Total U.S. Treasury securities, net</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top w:val="single" w:sz="8" w:color="auto"/>
              <w:bottom w:val="single" w:sz="8" w:color="auto"/>
            </w:tcBorders>
          </w:tcPr>
          <w:p>
            <w:pPr>
              <w:jc w:val="right"/>
              <w:ind w:right="1"/>
              <w:spacing w:after="0"/>
              <w:rPr>
                <w:sz w:val="20"/>
                <w:szCs w:val="20"/>
                <w:color w:val="auto"/>
              </w:rPr>
            </w:pPr>
            <w:r>
              <w:rPr>
                <w:rFonts w:ascii="Arial" w:cs="Arial" w:eastAsia="Arial" w:hAnsi="Arial"/>
                <w:sz w:val="16"/>
                <w:szCs w:val="16"/>
                <w:color w:val="auto"/>
              </w:rPr>
              <w:t>(1,689)</w:t>
            </w:r>
          </w:p>
        </w:tc>
        <w:tc>
          <w:tcPr>
            <w:tcW w:w="120" w:type="dxa"/>
            <w:vAlign w:val="bottom"/>
          </w:tcPr>
          <w:p>
            <w:pPr>
              <w:spacing w:after="0"/>
              <w:rPr>
                <w:sz w:val="21"/>
                <w:szCs w:val="21"/>
                <w:color w:val="auto"/>
              </w:rPr>
            </w:pPr>
          </w:p>
        </w:tc>
        <w:tc>
          <w:tcPr>
            <w:tcW w:w="2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6"/>
                <w:szCs w:val="16"/>
                <w:color w:val="auto"/>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(1,680)</w:t>
            </w:r>
          </w:p>
        </w:tc>
        <w:tc>
          <w:tcPr>
            <w:tcW w:w="120" w:type="dxa"/>
            <w:vAlign w:val="bottom"/>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(1,671)</w:t>
            </w:r>
          </w:p>
        </w:tc>
        <w:tc>
          <w:tcPr>
            <w:tcW w:w="100" w:type="dxa"/>
            <w:vAlign w:val="bottom"/>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(2,981)</w:t>
            </w:r>
          </w:p>
        </w:tc>
        <w:tc>
          <w:tcPr>
            <w:tcW w:w="120" w:type="dxa"/>
            <w:vAlign w:val="bottom"/>
          </w:tcPr>
          <w:p>
            <w:pPr>
              <w:spacing w:after="0"/>
              <w:rPr>
                <w:sz w:val="21"/>
                <w:szCs w:val="21"/>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(2,945)</w:t>
            </w:r>
          </w:p>
        </w:tc>
        <w:tc>
          <w:tcPr>
            <w:tcW w:w="120" w:type="dxa"/>
            <w:vAlign w:val="bottom"/>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(2,936)</w:t>
            </w:r>
          </w:p>
        </w:tc>
        <w:tc>
          <w:tcPr>
            <w:tcW w:w="0" w:type="dxa"/>
            <w:vAlign w:val="bottom"/>
          </w:tcPr>
          <w:p>
            <w:pPr>
              <w:spacing w:after="0"/>
              <w:rPr>
                <w:sz w:val="1"/>
                <w:szCs w:val="1"/>
                <w:color w:val="auto"/>
              </w:rPr>
            </w:pPr>
          </w:p>
        </w:tc>
      </w:tr>
      <w:tr>
        <w:trPr>
          <w:trHeight w:val="20"/>
        </w:trPr>
        <w:tc>
          <w:tcPr>
            <w:tcW w:w="3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92</w:t>
      </w:r>
    </w:p>
    <w:p>
      <w:pPr>
        <w:sectPr>
          <w:pgSz w:w="11900" w:h="16838" w:orient="portrait"/>
          <w:cols w:equalWidth="0" w:num="1">
            <w:col w:w="11420"/>
          </w:cols>
          <w:pgMar w:left="240" w:top="806" w:right="239" w:bottom="1440" w:gutter="0" w:footer="0" w:header="0"/>
        </w:sectPr>
      </w:pPr>
    </w:p>
    <w:bookmarkStart w:id="93" w:name="page94"/>
    <w:bookmarkEnd w:id="93"/>
    <w:p>
      <w:pPr>
        <w:ind w:left="440"/>
        <w:spacing w:after="0"/>
        <w:rPr>
          <w:sz w:val="20"/>
          <w:szCs w:val="20"/>
          <w:color w:val="auto"/>
        </w:rPr>
      </w:pPr>
      <w:r>
        <w:rPr>
          <w:rFonts w:ascii="Arial" w:cs="Arial" w:eastAsia="Arial" w:hAnsi="Arial"/>
          <w:sz w:val="18"/>
          <w:szCs w:val="18"/>
          <w:color w:val="auto"/>
        </w:rPr>
        <w:t>The following table summarizes our U.S. Treasury futures as of December 31, 2015 and 2014 (in millions):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7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920" w:type="dxa"/>
            <w:vAlign w:val="bottom"/>
            <w:tcBorders>
              <w:bottom w:val="single" w:sz="8" w:color="auto"/>
            </w:tcBorders>
            <w:gridSpan w:val="5"/>
          </w:tcPr>
          <w:p>
            <w:pPr>
              <w:ind w:left="120"/>
              <w:spacing w:after="0"/>
              <w:rPr>
                <w:sz w:val="20"/>
                <w:szCs w:val="20"/>
                <w:color w:val="auto"/>
              </w:rPr>
            </w:pPr>
            <w:r>
              <w:rPr>
                <w:rFonts w:ascii="Arial" w:cs="Arial" w:eastAsia="Arial" w:hAnsi="Arial"/>
                <w:sz w:val="14"/>
                <w:szCs w:val="14"/>
                <w:b w:val="1"/>
                <w:bCs w:val="1"/>
                <w:color w:val="auto"/>
              </w:rPr>
              <w:t>December 31, 2015</w:t>
            </w:r>
          </w:p>
        </w:tc>
        <w:tc>
          <w:tcPr>
            <w:tcW w:w="1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800" w:type="dxa"/>
            <w:vAlign w:val="bottom"/>
            <w:tcBorders>
              <w:bottom w:val="single" w:sz="8" w:color="auto"/>
            </w:tcBorders>
            <w:gridSpan w:val="5"/>
          </w:tcPr>
          <w:p>
            <w:pPr>
              <w:ind w:left="80"/>
              <w:spacing w:after="0"/>
              <w:rPr>
                <w:sz w:val="20"/>
                <w:szCs w:val="20"/>
                <w:color w:val="auto"/>
              </w:rPr>
            </w:pPr>
            <w:r>
              <w:rPr>
                <w:rFonts w:ascii="Arial" w:cs="Arial" w:eastAsia="Arial" w:hAnsi="Arial"/>
                <w:sz w:val="14"/>
                <w:szCs w:val="14"/>
                <w:b w:val="1"/>
                <w:bCs w:val="1"/>
                <w:color w:val="auto"/>
              </w:rPr>
              <w:t>December 31, 2014</w:t>
            </w:r>
          </w:p>
        </w:tc>
        <w:tc>
          <w:tcPr>
            <w:tcW w:w="18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43"/>
        </w:trPr>
        <w:tc>
          <w:tcPr>
            <w:tcW w:w="27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60" w:type="dxa"/>
            <w:vAlign w:val="bottom"/>
            <w:gridSpan w:val="2"/>
          </w:tcPr>
          <w:p>
            <w:pPr>
              <w:jc w:val="center"/>
              <w:ind w:right="300"/>
              <w:spacing w:after="0" w:line="144" w:lineRule="exact"/>
              <w:rPr>
                <w:sz w:val="20"/>
                <w:szCs w:val="20"/>
                <w:color w:val="auto"/>
              </w:rPr>
            </w:pPr>
            <w:r>
              <w:rPr>
                <w:rFonts w:ascii="Arial" w:cs="Arial" w:eastAsia="Arial" w:hAnsi="Arial"/>
                <w:sz w:val="13"/>
                <w:szCs w:val="13"/>
                <w:b w:val="1"/>
                <w:bCs w:val="1"/>
                <w:color w:val="auto"/>
                <w:w w:val="88"/>
              </w:rPr>
              <w:t>Notional</w:t>
            </w:r>
          </w:p>
        </w:tc>
        <w:tc>
          <w:tcPr>
            <w:tcW w:w="1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gridSpan w:val="2"/>
          </w:tcPr>
          <w:p>
            <w:pPr>
              <w:jc w:val="center"/>
              <w:ind w:right="240"/>
              <w:spacing w:after="0" w:line="144" w:lineRule="exact"/>
              <w:rPr>
                <w:sz w:val="20"/>
                <w:szCs w:val="20"/>
                <w:color w:val="auto"/>
              </w:rPr>
            </w:pPr>
            <w:r>
              <w:rPr>
                <w:rFonts w:ascii="Arial" w:cs="Arial" w:eastAsia="Arial" w:hAnsi="Arial"/>
                <w:sz w:val="13"/>
                <w:szCs w:val="13"/>
                <w:b w:val="1"/>
                <w:bCs w:val="1"/>
                <w:color w:val="auto"/>
                <w:w w:val="88"/>
              </w:rPr>
              <w:t>Notional</w:t>
            </w:r>
          </w:p>
        </w:tc>
        <w:tc>
          <w:tcPr>
            <w:tcW w:w="2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6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88"/>
              </w:rPr>
              <w:t>Amount - Long</w:t>
            </w:r>
          </w:p>
        </w:tc>
        <w:tc>
          <w:tcPr>
            <w:tcW w:w="180" w:type="dxa"/>
            <w:vAlign w:val="bottom"/>
          </w:tcPr>
          <w:p>
            <w:pPr>
              <w:spacing w:after="0"/>
              <w:rPr>
                <w:sz w:val="11"/>
                <w:szCs w:val="11"/>
                <w:color w:val="auto"/>
              </w:rPr>
            </w:pPr>
          </w:p>
        </w:tc>
        <w:tc>
          <w:tcPr>
            <w:tcW w:w="860" w:type="dxa"/>
            <w:vAlign w:val="bottom"/>
            <w:gridSpan w:val="2"/>
          </w:tcPr>
          <w:p>
            <w:pPr>
              <w:ind w:left="160"/>
              <w:spacing w:after="0" w:line="135" w:lineRule="exact"/>
              <w:rPr>
                <w:sz w:val="20"/>
                <w:szCs w:val="20"/>
                <w:color w:val="auto"/>
              </w:rPr>
            </w:pPr>
            <w:r>
              <w:rPr>
                <w:rFonts w:ascii="Arial" w:cs="Arial" w:eastAsia="Arial" w:hAnsi="Arial"/>
                <w:sz w:val="13"/>
                <w:szCs w:val="13"/>
                <w:b w:val="1"/>
                <w:bCs w:val="1"/>
                <w:color w:val="auto"/>
              </w:rPr>
              <w:t>Cost</w:t>
            </w:r>
          </w:p>
        </w:tc>
        <w:tc>
          <w:tcPr>
            <w:tcW w:w="180" w:type="dxa"/>
            <w:vAlign w:val="bottom"/>
          </w:tcPr>
          <w:p>
            <w:pPr>
              <w:spacing w:after="0"/>
              <w:rPr>
                <w:sz w:val="11"/>
                <w:szCs w:val="11"/>
                <w:color w:val="auto"/>
              </w:rPr>
            </w:pPr>
          </w:p>
        </w:tc>
        <w:tc>
          <w:tcPr>
            <w:tcW w:w="880" w:type="dxa"/>
            <w:vAlign w:val="bottom"/>
            <w:gridSpan w:val="2"/>
          </w:tcPr>
          <w:p>
            <w:pPr>
              <w:ind w:left="100"/>
              <w:spacing w:after="0" w:line="135" w:lineRule="exact"/>
              <w:rPr>
                <w:sz w:val="20"/>
                <w:szCs w:val="20"/>
                <w:color w:val="auto"/>
              </w:rPr>
            </w:pPr>
            <w:r>
              <w:rPr>
                <w:rFonts w:ascii="Arial" w:cs="Arial" w:eastAsia="Arial" w:hAnsi="Arial"/>
                <w:sz w:val="13"/>
                <w:szCs w:val="13"/>
                <w:b w:val="1"/>
                <w:bCs w:val="1"/>
                <w:color w:val="auto"/>
              </w:rPr>
              <w:t>Market</w:t>
            </w:r>
          </w:p>
        </w:tc>
        <w:tc>
          <w:tcPr>
            <w:tcW w:w="100" w:type="dxa"/>
            <w:vAlign w:val="bottom"/>
          </w:tcPr>
          <w:p>
            <w:pPr>
              <w:spacing w:after="0"/>
              <w:rPr>
                <w:sz w:val="11"/>
                <w:szCs w:val="11"/>
                <w:color w:val="auto"/>
              </w:rPr>
            </w:pPr>
          </w:p>
        </w:tc>
        <w:tc>
          <w:tcPr>
            <w:tcW w:w="940" w:type="dxa"/>
            <w:vAlign w:val="bottom"/>
            <w:gridSpan w:val="2"/>
          </w:tcPr>
          <w:p>
            <w:pPr>
              <w:spacing w:after="0" w:line="135" w:lineRule="exact"/>
              <w:rPr>
                <w:sz w:val="20"/>
                <w:szCs w:val="20"/>
                <w:color w:val="auto"/>
              </w:rPr>
            </w:pPr>
            <w:r>
              <w:rPr>
                <w:rFonts w:ascii="Arial" w:cs="Arial" w:eastAsia="Arial" w:hAnsi="Arial"/>
                <w:sz w:val="13"/>
                <w:szCs w:val="13"/>
                <w:b w:val="1"/>
                <w:bCs w:val="1"/>
                <w:color w:val="auto"/>
              </w:rPr>
              <w:t>Net Carrying</w:t>
            </w:r>
          </w:p>
        </w:tc>
        <w:tc>
          <w:tcPr>
            <w:tcW w:w="120" w:type="dxa"/>
            <w:vAlign w:val="bottom"/>
          </w:tcPr>
          <w:p>
            <w:pPr>
              <w:spacing w:after="0"/>
              <w:rPr>
                <w:sz w:val="11"/>
                <w:szCs w:val="11"/>
                <w:color w:val="auto"/>
              </w:rPr>
            </w:pPr>
          </w:p>
        </w:tc>
        <w:tc>
          <w:tcPr>
            <w:tcW w:w="110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0"/>
              </w:rPr>
              <w:t>Amount - Long</w:t>
            </w:r>
          </w:p>
        </w:tc>
        <w:tc>
          <w:tcPr>
            <w:tcW w:w="200" w:type="dxa"/>
            <w:vAlign w:val="bottom"/>
          </w:tcPr>
          <w:p>
            <w:pPr>
              <w:spacing w:after="0"/>
              <w:rPr>
                <w:sz w:val="11"/>
                <w:szCs w:val="11"/>
                <w:color w:val="auto"/>
              </w:rPr>
            </w:pPr>
          </w:p>
        </w:tc>
        <w:tc>
          <w:tcPr>
            <w:tcW w:w="800" w:type="dxa"/>
            <w:vAlign w:val="bottom"/>
            <w:gridSpan w:val="2"/>
          </w:tcPr>
          <w:p>
            <w:pPr>
              <w:ind w:left="140"/>
              <w:spacing w:after="0" w:line="135" w:lineRule="exact"/>
              <w:rPr>
                <w:sz w:val="20"/>
                <w:szCs w:val="20"/>
                <w:color w:val="auto"/>
              </w:rPr>
            </w:pPr>
            <w:r>
              <w:rPr>
                <w:rFonts w:ascii="Arial" w:cs="Arial" w:eastAsia="Arial" w:hAnsi="Arial"/>
                <w:sz w:val="13"/>
                <w:szCs w:val="13"/>
                <w:b w:val="1"/>
                <w:bCs w:val="1"/>
                <w:color w:val="auto"/>
              </w:rPr>
              <w:t>Cost</w:t>
            </w:r>
          </w:p>
        </w:tc>
        <w:tc>
          <w:tcPr>
            <w:tcW w:w="18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3"/>
                <w:szCs w:val="13"/>
                <w:b w:val="1"/>
                <w:bCs w:val="1"/>
                <w:color w:val="auto"/>
              </w:rPr>
              <w:t>Market</w:t>
            </w:r>
          </w:p>
        </w:tc>
        <w:tc>
          <w:tcPr>
            <w:tcW w:w="900" w:type="dxa"/>
            <w:vAlign w:val="bottom"/>
            <w:gridSpan w:val="2"/>
          </w:tcPr>
          <w:p>
            <w:pPr>
              <w:jc w:val="right"/>
              <w:ind w:right="10"/>
              <w:spacing w:after="0" w:line="135" w:lineRule="exact"/>
              <w:rPr>
                <w:sz w:val="20"/>
                <w:szCs w:val="20"/>
                <w:color w:val="auto"/>
              </w:rPr>
            </w:pPr>
            <w:r>
              <w:rPr>
                <w:rFonts w:ascii="Arial" w:cs="Arial" w:eastAsia="Arial" w:hAnsi="Arial"/>
                <w:sz w:val="13"/>
                <w:szCs w:val="13"/>
                <w:b w:val="1"/>
                <w:bCs w:val="1"/>
                <w:color w:val="auto"/>
              </w:rPr>
              <w:t>Net Carrying</w:t>
            </w:r>
          </w:p>
        </w:tc>
        <w:tc>
          <w:tcPr>
            <w:tcW w:w="0" w:type="dxa"/>
            <w:vAlign w:val="bottom"/>
          </w:tcPr>
          <w:p>
            <w:pPr>
              <w:spacing w:after="0"/>
              <w:rPr>
                <w:sz w:val="1"/>
                <w:szCs w:val="1"/>
                <w:color w:val="auto"/>
              </w:rPr>
            </w:pPr>
          </w:p>
        </w:tc>
      </w:tr>
      <w:tr>
        <w:trPr>
          <w:trHeight w:val="174"/>
        </w:trPr>
        <w:tc>
          <w:tcPr>
            <w:tcW w:w="274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Maturity</w:t>
            </w:r>
          </w:p>
        </w:tc>
        <w:tc>
          <w:tcPr>
            <w:tcW w:w="14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center"/>
              <w:ind w:right="73"/>
              <w:spacing w:after="0"/>
              <w:rPr>
                <w:sz w:val="20"/>
                <w:szCs w:val="20"/>
                <w:color w:val="auto"/>
              </w:rPr>
            </w:pPr>
            <w:r>
              <w:rPr>
                <w:rFonts w:ascii="Arial" w:cs="Arial" w:eastAsia="Arial" w:hAnsi="Arial"/>
                <w:sz w:val="13"/>
                <w:szCs w:val="13"/>
                <w:b w:val="1"/>
                <w:bCs w:val="1"/>
                <w:color w:val="auto"/>
                <w:w w:val="90"/>
              </w:rPr>
              <w:t xml:space="preserve">(Short) </w:t>
            </w:r>
            <w:r>
              <w:rPr>
                <w:rFonts w:ascii="Arial" w:cs="Arial" w:eastAsia="Arial" w:hAnsi="Arial"/>
                <w:sz w:val="8"/>
                <w:szCs w:val="8"/>
                <w:b w:val="1"/>
                <w:bCs w:val="1"/>
                <w:color w:val="auto"/>
                <w:w w:val="90"/>
              </w:rPr>
              <w:t>1</w:t>
            </w:r>
          </w:p>
        </w:tc>
        <w:tc>
          <w:tcPr>
            <w:tcW w:w="12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ind w:right="211"/>
              <w:spacing w:after="0"/>
              <w:rPr>
                <w:sz w:val="20"/>
                <w:szCs w:val="20"/>
                <w:color w:val="auto"/>
              </w:rPr>
            </w:pPr>
            <w:r>
              <w:rPr>
                <w:rFonts w:ascii="Arial" w:cs="Arial" w:eastAsia="Arial" w:hAnsi="Arial"/>
                <w:sz w:val="13"/>
                <w:szCs w:val="13"/>
                <w:b w:val="1"/>
                <w:bCs w:val="1"/>
                <w:color w:val="auto"/>
              </w:rPr>
              <w:t xml:space="preserve">Basis </w:t>
            </w:r>
            <w:r>
              <w:rPr>
                <w:rFonts w:ascii="Arial" w:cs="Arial" w:eastAsia="Arial" w:hAnsi="Arial"/>
                <w:sz w:val="8"/>
                <w:szCs w:val="8"/>
                <w:b w:val="1"/>
                <w:bCs w:val="1"/>
                <w:color w:val="auto"/>
              </w:rPr>
              <w:t>2</w:t>
            </w:r>
          </w:p>
        </w:tc>
        <w:tc>
          <w:tcPr>
            <w:tcW w:w="12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212"/>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3</w:t>
            </w:r>
          </w:p>
        </w:tc>
        <w:tc>
          <w:tcPr>
            <w:tcW w:w="12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ind w:right="212"/>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4</w:t>
            </w:r>
          </w:p>
        </w:tc>
        <w:tc>
          <w:tcPr>
            <w:tcW w:w="10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center"/>
              <w:ind w:right="33"/>
              <w:spacing w:after="0"/>
              <w:rPr>
                <w:sz w:val="20"/>
                <w:szCs w:val="20"/>
                <w:color w:val="auto"/>
              </w:rPr>
            </w:pPr>
            <w:r>
              <w:rPr>
                <w:rFonts w:ascii="Arial" w:cs="Arial" w:eastAsia="Arial" w:hAnsi="Arial"/>
                <w:sz w:val="13"/>
                <w:szCs w:val="13"/>
                <w:b w:val="1"/>
                <w:bCs w:val="1"/>
                <w:color w:val="auto"/>
                <w:w w:val="90"/>
              </w:rPr>
              <w:t xml:space="preserve">(Short) </w:t>
            </w:r>
            <w:r>
              <w:rPr>
                <w:rFonts w:ascii="Arial" w:cs="Arial" w:eastAsia="Arial" w:hAnsi="Arial"/>
                <w:sz w:val="8"/>
                <w:szCs w:val="8"/>
                <w:b w:val="1"/>
                <w:bCs w:val="1"/>
                <w:color w:val="auto"/>
                <w:w w:val="90"/>
              </w:rPr>
              <w:t>1</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ind w:left="80"/>
              <w:spacing w:after="0"/>
              <w:rPr>
                <w:sz w:val="20"/>
                <w:szCs w:val="20"/>
                <w:color w:val="auto"/>
              </w:rPr>
            </w:pPr>
            <w:r>
              <w:rPr>
                <w:rFonts w:ascii="Arial" w:cs="Arial" w:eastAsia="Arial" w:hAnsi="Arial"/>
                <w:sz w:val="13"/>
                <w:szCs w:val="13"/>
                <w:b w:val="1"/>
                <w:bCs w:val="1"/>
                <w:color w:val="auto"/>
              </w:rPr>
              <w:t xml:space="preserve">Basis </w:t>
            </w:r>
            <w:r>
              <w:rPr>
                <w:rFonts w:ascii="Arial" w:cs="Arial" w:eastAsia="Arial" w:hAnsi="Arial"/>
                <w:sz w:val="8"/>
                <w:szCs w:val="8"/>
                <w:b w:val="1"/>
                <w:bCs w:val="1"/>
                <w:color w:val="auto"/>
              </w:rPr>
              <w:t>2</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ind w:right="192"/>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3</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ind w:right="190"/>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4</w:t>
            </w:r>
          </w:p>
        </w:tc>
        <w:tc>
          <w:tcPr>
            <w:tcW w:w="0" w:type="dxa"/>
            <w:vAlign w:val="bottom"/>
          </w:tcPr>
          <w:p>
            <w:pPr>
              <w:spacing w:after="0"/>
              <w:rPr>
                <w:sz w:val="1"/>
                <w:szCs w:val="1"/>
                <w:color w:val="auto"/>
              </w:rPr>
            </w:pPr>
          </w:p>
        </w:tc>
      </w:tr>
      <w:tr>
        <w:trPr>
          <w:trHeight w:val="257"/>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5 years</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13"/>
              <w:spacing w:after="0"/>
              <w:rPr>
                <w:sz w:val="20"/>
                <w:szCs w:val="20"/>
                <w:color w:val="auto"/>
              </w:rPr>
            </w:pPr>
            <w:r>
              <w:rPr>
                <w:rFonts w:ascii="Arial" w:cs="Arial" w:eastAsia="Arial" w:hAnsi="Arial"/>
                <w:sz w:val="14"/>
                <w:szCs w:val="14"/>
                <w:color w:val="auto"/>
              </w:rPr>
              <w:t>(730)</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(866)</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(864)</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288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10 years</w:t>
            </w:r>
          </w:p>
        </w:tc>
        <w:tc>
          <w:tcPr>
            <w:tcW w:w="1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13"/>
              <w:spacing w:after="0"/>
              <w:rPr>
                <w:sz w:val="20"/>
                <w:szCs w:val="20"/>
                <w:color w:val="auto"/>
              </w:rPr>
            </w:pPr>
            <w:r>
              <w:rPr>
                <w:rFonts w:ascii="Arial" w:cs="Arial" w:eastAsia="Arial" w:hAnsi="Arial"/>
                <w:sz w:val="14"/>
                <w:szCs w:val="14"/>
                <w:color w:val="auto"/>
              </w:rPr>
              <w:t>(1,130)</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(1,424)</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color w:val="auto"/>
              </w:rPr>
              <w:t>(1,422)</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(730)</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(920)</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(925)</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243"/>
        </w:trPr>
        <w:tc>
          <w:tcPr>
            <w:tcW w:w="28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U.S. Treasury futures</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4"/>
                <w:szCs w:val="14"/>
                <w:color w:val="auto"/>
              </w:rPr>
              <w:t>(1,860)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(2,290)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4"/>
                <w:szCs w:val="14"/>
                <w:color w:val="auto"/>
              </w:rPr>
              <w:t>(2,286)</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jc w:val="right"/>
              <w:ind w:right="52"/>
              <w:spacing w:after="0"/>
              <w:rPr>
                <w:sz w:val="20"/>
                <w:szCs w:val="20"/>
                <w:color w:val="auto"/>
              </w:rPr>
            </w:pPr>
            <w:r>
              <w:rPr>
                <w:rFonts w:ascii="Arial" w:cs="Arial" w:eastAsia="Arial" w:hAnsi="Arial"/>
                <w:sz w:val="14"/>
                <w:szCs w:val="14"/>
                <w:color w:val="auto"/>
              </w:rPr>
              <w:t>4</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(730)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(920)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(925)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20"/>
        </w:trPr>
        <w:tc>
          <w:tcPr>
            <w:tcW w:w="2740" w:type="dxa"/>
            <w:vAlign w:val="bottom"/>
            <w:vMerge w:val="restart"/>
          </w:tcPr>
          <w:p>
            <w:pPr>
              <w:spacing w:after="0"/>
              <w:rPr>
                <w:sz w:val="20"/>
                <w:szCs w:val="20"/>
                <w:color w:val="auto"/>
              </w:rPr>
            </w:pPr>
            <w:r>
              <w:rPr>
                <w:rFonts w:ascii="Arial" w:cs="Arial" w:eastAsia="Arial" w:hAnsi="Arial"/>
                <w:sz w:val="18"/>
                <w:szCs w:val="18"/>
                <w:color w:val="auto"/>
              </w:rPr>
              <w:t>_____________________</w:t>
            </w:r>
          </w:p>
        </w:tc>
        <w:tc>
          <w:tcPr>
            <w:tcW w:w="140" w:type="dxa"/>
            <w:vAlign w:val="bottom"/>
            <w:vMerge w:val="restart"/>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740" w:type="dxa"/>
            <w:vAlign w:val="bottom"/>
            <w:vMerge w:val="continue"/>
          </w:tcPr>
          <w:p>
            <w:pPr>
              <w:spacing w:after="0"/>
              <w:rPr>
                <w:sz w:val="16"/>
                <w:szCs w:val="16"/>
                <w:color w:val="auto"/>
              </w:rPr>
            </w:pPr>
          </w:p>
        </w:tc>
        <w:tc>
          <w:tcPr>
            <w:tcW w:w="14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55"/>
        </w:numPr>
        <w:rPr>
          <w:rFonts w:ascii="Arial" w:cs="Arial" w:eastAsia="Arial" w:hAnsi="Arial"/>
          <w:sz w:val="14"/>
          <w:szCs w:val="14"/>
          <w:color w:val="auto"/>
        </w:rPr>
      </w:pPr>
      <w:r>
        <w:rPr>
          <w:rFonts w:ascii="Arial" w:cs="Arial" w:eastAsia="Arial" w:hAnsi="Arial"/>
          <w:sz w:val="14"/>
          <w:szCs w:val="14"/>
          <w:color w:val="auto"/>
        </w:rPr>
        <w:t>Notional amount represents the par value (or principal balance) of the underlying U.S. Treasury security.</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55"/>
        </w:numPr>
        <w:rPr>
          <w:rFonts w:ascii="Arial" w:cs="Arial" w:eastAsia="Arial" w:hAnsi="Arial"/>
          <w:sz w:val="14"/>
          <w:szCs w:val="14"/>
          <w:color w:val="auto"/>
        </w:rPr>
      </w:pPr>
      <w:r>
        <w:rPr>
          <w:rFonts w:ascii="Arial" w:cs="Arial" w:eastAsia="Arial" w:hAnsi="Arial"/>
          <w:sz w:val="14"/>
          <w:szCs w:val="14"/>
          <w:color w:val="auto"/>
        </w:rPr>
        <w:t>Cost basis represents the forward price to be paid / (received) for the underlying U.S. Treasury security.</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55"/>
        </w:numPr>
        <w:rPr>
          <w:rFonts w:ascii="Arial" w:cs="Arial" w:eastAsia="Arial" w:hAnsi="Arial"/>
          <w:sz w:val="14"/>
          <w:szCs w:val="14"/>
          <w:color w:val="auto"/>
        </w:rPr>
      </w:pPr>
      <w:r>
        <w:rPr>
          <w:rFonts w:ascii="Arial" w:cs="Arial" w:eastAsia="Arial" w:hAnsi="Arial"/>
          <w:sz w:val="14"/>
          <w:szCs w:val="14"/>
          <w:color w:val="auto"/>
        </w:rPr>
        <w:t>Market value represents the current market value of U.S. Treasury futures as of period-end.</w:t>
      </w:r>
    </w:p>
    <w:p>
      <w:pPr>
        <w:spacing w:after="0" w:line="1" w:lineRule="exact"/>
        <w:rPr>
          <w:rFonts w:ascii="Arial" w:cs="Arial" w:eastAsia="Arial" w:hAnsi="Arial"/>
          <w:sz w:val="14"/>
          <w:szCs w:val="14"/>
          <w:color w:val="auto"/>
        </w:rPr>
      </w:pPr>
    </w:p>
    <w:p>
      <w:pPr>
        <w:ind w:left="660" w:hanging="328"/>
        <w:spacing w:after="0" w:line="255" w:lineRule="auto"/>
        <w:tabs>
          <w:tab w:leader="none" w:pos="660" w:val="left"/>
        </w:tabs>
        <w:numPr>
          <w:ilvl w:val="0"/>
          <w:numId w:val="55"/>
        </w:numPr>
        <w:rPr>
          <w:rFonts w:ascii="Arial" w:cs="Arial" w:eastAsia="Arial" w:hAnsi="Arial"/>
          <w:sz w:val="14"/>
          <w:szCs w:val="14"/>
          <w:color w:val="auto"/>
        </w:rPr>
      </w:pPr>
      <w:r>
        <w:rPr>
          <w:rFonts w:ascii="Arial" w:cs="Arial" w:eastAsia="Arial" w:hAnsi="Arial"/>
          <w:sz w:val="14"/>
          <w:szCs w:val="14"/>
          <w:color w:val="auto"/>
        </w:rPr>
        <w:t>Net carrying value represents the difference between the market value and the cost basis of U.S. Treasury futures as of period-end and is reported in derivative assets / (liabilities), at fair value in our consolidated balance sheets.</w:t>
      </w:r>
    </w:p>
    <w:p>
      <w:pPr>
        <w:spacing w:after="0" w:line="13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tables summarize our TBA securities as of December 31, 2015 and 2014 (in millions):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920" w:type="dxa"/>
            <w:vAlign w:val="bottom"/>
            <w:tcBorders>
              <w:bottom w:val="single" w:sz="8" w:color="auto"/>
            </w:tcBorders>
            <w:gridSpan w:val="5"/>
          </w:tcPr>
          <w:p>
            <w:pPr>
              <w:ind w:left="100"/>
              <w:spacing w:after="0"/>
              <w:rPr>
                <w:sz w:val="20"/>
                <w:szCs w:val="20"/>
                <w:color w:val="auto"/>
              </w:rPr>
            </w:pPr>
            <w:r>
              <w:rPr>
                <w:rFonts w:ascii="Arial" w:cs="Arial" w:eastAsia="Arial" w:hAnsi="Arial"/>
                <w:sz w:val="14"/>
                <w:szCs w:val="14"/>
                <w:b w:val="1"/>
                <w:bCs w:val="1"/>
                <w:color w:val="auto"/>
              </w:rPr>
              <w:t>December 31, 2015</w:t>
            </w:r>
          </w:p>
        </w:tc>
        <w:tc>
          <w:tcPr>
            <w:tcW w:w="1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020" w:type="dxa"/>
            <w:vAlign w:val="bottom"/>
            <w:tcBorders>
              <w:bottom w:val="single" w:sz="8" w:color="auto"/>
            </w:tcBorders>
            <w:gridSpan w:val="5"/>
          </w:tcPr>
          <w:p>
            <w:pPr>
              <w:ind w:left="160"/>
              <w:spacing w:after="0"/>
              <w:rPr>
                <w:sz w:val="20"/>
                <w:szCs w:val="20"/>
                <w:color w:val="auto"/>
              </w:rPr>
            </w:pPr>
            <w:r>
              <w:rPr>
                <w:rFonts w:ascii="Arial" w:cs="Arial" w:eastAsia="Arial" w:hAnsi="Arial"/>
                <w:sz w:val="14"/>
                <w:szCs w:val="14"/>
                <w:b w:val="1"/>
                <w:bCs w:val="1"/>
                <w:color w:val="auto"/>
              </w:rPr>
              <w:t>December 31, 2014</w:t>
            </w: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r>
      <w:tr>
        <w:trPr>
          <w:trHeight w:val="143"/>
        </w:trPr>
        <w:tc>
          <w:tcPr>
            <w:tcW w:w="2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88"/>
              </w:rPr>
              <w:t>Notional</w:t>
            </w: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92"/>
              </w:rPr>
              <w:t>Notional</w:t>
            </w: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r>
      <w:tr>
        <w:trPr>
          <w:trHeight w:val="135"/>
        </w:trPr>
        <w:tc>
          <w:tcPr>
            <w:tcW w:w="2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4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8"/>
              </w:rPr>
              <w:t>Amount - Long</w:t>
            </w:r>
          </w:p>
        </w:tc>
        <w:tc>
          <w:tcPr>
            <w:tcW w:w="200" w:type="dxa"/>
            <w:vAlign w:val="bottom"/>
          </w:tcPr>
          <w:p>
            <w:pPr>
              <w:spacing w:after="0"/>
              <w:rPr>
                <w:sz w:val="11"/>
                <w:szCs w:val="11"/>
                <w:color w:val="auto"/>
              </w:rPr>
            </w:pPr>
          </w:p>
        </w:tc>
        <w:tc>
          <w:tcPr>
            <w:tcW w:w="860" w:type="dxa"/>
            <w:vAlign w:val="bottom"/>
            <w:gridSpan w:val="2"/>
          </w:tcPr>
          <w:p>
            <w:pPr>
              <w:ind w:left="160"/>
              <w:spacing w:after="0" w:line="135" w:lineRule="exact"/>
              <w:rPr>
                <w:sz w:val="20"/>
                <w:szCs w:val="20"/>
                <w:color w:val="auto"/>
              </w:rPr>
            </w:pPr>
            <w:r>
              <w:rPr>
                <w:rFonts w:ascii="Arial" w:cs="Arial" w:eastAsia="Arial" w:hAnsi="Arial"/>
                <w:sz w:val="13"/>
                <w:szCs w:val="13"/>
                <w:b w:val="1"/>
                <w:bCs w:val="1"/>
                <w:color w:val="auto"/>
              </w:rPr>
              <w:t>Cost</w:t>
            </w:r>
          </w:p>
        </w:tc>
        <w:tc>
          <w:tcPr>
            <w:tcW w:w="180" w:type="dxa"/>
            <w:vAlign w:val="bottom"/>
          </w:tcPr>
          <w:p>
            <w:pPr>
              <w:spacing w:after="0"/>
              <w:rPr>
                <w:sz w:val="11"/>
                <w:szCs w:val="11"/>
                <w:color w:val="auto"/>
              </w:rPr>
            </w:pPr>
          </w:p>
        </w:tc>
        <w:tc>
          <w:tcPr>
            <w:tcW w:w="880" w:type="dxa"/>
            <w:vAlign w:val="bottom"/>
            <w:gridSpan w:val="2"/>
          </w:tcPr>
          <w:p>
            <w:pPr>
              <w:ind w:left="80"/>
              <w:spacing w:after="0" w:line="135" w:lineRule="exact"/>
              <w:rPr>
                <w:sz w:val="20"/>
                <w:szCs w:val="20"/>
                <w:color w:val="auto"/>
              </w:rPr>
            </w:pPr>
            <w:r>
              <w:rPr>
                <w:rFonts w:ascii="Arial" w:cs="Arial" w:eastAsia="Arial" w:hAnsi="Arial"/>
                <w:sz w:val="13"/>
                <w:szCs w:val="13"/>
                <w:b w:val="1"/>
                <w:bCs w:val="1"/>
                <w:color w:val="auto"/>
              </w:rPr>
              <w:t>Market</w:t>
            </w:r>
          </w:p>
        </w:tc>
        <w:tc>
          <w:tcPr>
            <w:tcW w:w="1000" w:type="dxa"/>
            <w:vAlign w:val="bottom"/>
            <w:gridSpan w:val="3"/>
          </w:tcPr>
          <w:p>
            <w:pPr>
              <w:ind w:left="80"/>
              <w:spacing w:after="0" w:line="135" w:lineRule="exact"/>
              <w:rPr>
                <w:sz w:val="20"/>
                <w:szCs w:val="20"/>
                <w:color w:val="auto"/>
              </w:rPr>
            </w:pPr>
            <w:r>
              <w:rPr>
                <w:rFonts w:ascii="Arial" w:cs="Arial" w:eastAsia="Arial" w:hAnsi="Arial"/>
                <w:sz w:val="13"/>
                <w:szCs w:val="13"/>
                <w:b w:val="1"/>
                <w:bCs w:val="1"/>
                <w:color w:val="auto"/>
              </w:rPr>
              <w:t>Net Carrying</w:t>
            </w:r>
          </w:p>
        </w:tc>
        <w:tc>
          <w:tcPr>
            <w:tcW w:w="140" w:type="dxa"/>
            <w:vAlign w:val="bottom"/>
          </w:tcPr>
          <w:p>
            <w:pPr>
              <w:spacing w:after="0"/>
              <w:rPr>
                <w:sz w:val="11"/>
                <w:szCs w:val="11"/>
                <w:color w:val="auto"/>
              </w:rPr>
            </w:pPr>
          </w:p>
        </w:tc>
        <w:tc>
          <w:tcPr>
            <w:tcW w:w="120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88"/>
              </w:rPr>
              <w:t>Amount - Long</w:t>
            </w:r>
          </w:p>
        </w:tc>
        <w:tc>
          <w:tcPr>
            <w:tcW w:w="220" w:type="dxa"/>
            <w:vAlign w:val="bottom"/>
          </w:tcPr>
          <w:p>
            <w:pPr>
              <w:spacing w:after="0"/>
              <w:rPr>
                <w:sz w:val="11"/>
                <w:szCs w:val="11"/>
                <w:color w:val="auto"/>
              </w:rPr>
            </w:pPr>
          </w:p>
        </w:tc>
        <w:tc>
          <w:tcPr>
            <w:tcW w:w="900" w:type="dxa"/>
            <w:vAlign w:val="bottom"/>
            <w:gridSpan w:val="2"/>
          </w:tcPr>
          <w:p>
            <w:pPr>
              <w:ind w:left="160"/>
              <w:spacing w:after="0" w:line="135" w:lineRule="exact"/>
              <w:rPr>
                <w:sz w:val="20"/>
                <w:szCs w:val="20"/>
                <w:color w:val="auto"/>
              </w:rPr>
            </w:pPr>
            <w:r>
              <w:rPr>
                <w:rFonts w:ascii="Arial" w:cs="Arial" w:eastAsia="Arial" w:hAnsi="Arial"/>
                <w:sz w:val="13"/>
                <w:szCs w:val="13"/>
                <w:b w:val="1"/>
                <w:bCs w:val="1"/>
                <w:color w:val="auto"/>
              </w:rPr>
              <w:t>Cost</w:t>
            </w:r>
          </w:p>
        </w:tc>
        <w:tc>
          <w:tcPr>
            <w:tcW w:w="200" w:type="dxa"/>
            <w:vAlign w:val="bottom"/>
          </w:tcPr>
          <w:p>
            <w:pPr>
              <w:spacing w:after="0"/>
              <w:rPr>
                <w:sz w:val="11"/>
                <w:szCs w:val="11"/>
                <w:color w:val="auto"/>
              </w:rPr>
            </w:pPr>
          </w:p>
        </w:tc>
        <w:tc>
          <w:tcPr>
            <w:tcW w:w="920" w:type="dxa"/>
            <w:vAlign w:val="bottom"/>
            <w:gridSpan w:val="2"/>
          </w:tcPr>
          <w:p>
            <w:pPr>
              <w:ind w:left="100"/>
              <w:spacing w:after="0" w:line="135" w:lineRule="exact"/>
              <w:rPr>
                <w:sz w:val="20"/>
                <w:szCs w:val="20"/>
                <w:color w:val="auto"/>
              </w:rPr>
            </w:pPr>
            <w:r>
              <w:rPr>
                <w:rFonts w:ascii="Arial" w:cs="Arial" w:eastAsia="Arial" w:hAnsi="Arial"/>
                <w:sz w:val="13"/>
                <w:szCs w:val="13"/>
                <w:b w:val="1"/>
                <w:bCs w:val="1"/>
                <w:color w:val="auto"/>
              </w:rPr>
              <w:t>Market</w:t>
            </w:r>
          </w:p>
        </w:tc>
        <w:tc>
          <w:tcPr>
            <w:tcW w:w="140" w:type="dxa"/>
            <w:vAlign w:val="bottom"/>
          </w:tcPr>
          <w:p>
            <w:pPr>
              <w:spacing w:after="0"/>
              <w:rPr>
                <w:sz w:val="11"/>
                <w:szCs w:val="11"/>
                <w:color w:val="auto"/>
              </w:rPr>
            </w:pPr>
          </w:p>
        </w:tc>
        <w:tc>
          <w:tcPr>
            <w:tcW w:w="880" w:type="dxa"/>
            <w:vAlign w:val="bottom"/>
          </w:tcPr>
          <w:p>
            <w:pPr>
              <w:jc w:val="right"/>
              <w:ind w:right="69"/>
              <w:spacing w:after="0" w:line="135" w:lineRule="exact"/>
              <w:rPr>
                <w:sz w:val="20"/>
                <w:szCs w:val="20"/>
                <w:color w:val="auto"/>
              </w:rPr>
            </w:pPr>
            <w:r>
              <w:rPr>
                <w:rFonts w:ascii="Arial" w:cs="Arial" w:eastAsia="Arial" w:hAnsi="Arial"/>
                <w:sz w:val="13"/>
                <w:szCs w:val="13"/>
                <w:b w:val="1"/>
                <w:bCs w:val="1"/>
                <w:color w:val="auto"/>
                <w:w w:val="92"/>
              </w:rPr>
              <w:t>Net Carrying</w:t>
            </w:r>
          </w:p>
        </w:tc>
      </w:tr>
      <w:tr>
        <w:trPr>
          <w:trHeight w:val="174"/>
        </w:trPr>
        <w:tc>
          <w:tcPr>
            <w:tcW w:w="230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TBA Securities by Coupon</w:t>
            </w: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50"/>
              <w:spacing w:after="0"/>
              <w:rPr>
                <w:sz w:val="20"/>
                <w:szCs w:val="20"/>
                <w:color w:val="auto"/>
              </w:rPr>
            </w:pPr>
            <w:r>
              <w:rPr>
                <w:rFonts w:ascii="Arial" w:cs="Arial" w:eastAsia="Arial" w:hAnsi="Arial"/>
                <w:sz w:val="13"/>
                <w:szCs w:val="13"/>
                <w:b w:val="1"/>
                <w:bCs w:val="1"/>
                <w:color w:val="auto"/>
                <w:w w:val="90"/>
              </w:rPr>
              <w:t xml:space="preserve">(Short) </w:t>
            </w:r>
            <w:r>
              <w:rPr>
                <w:rFonts w:ascii="Arial" w:cs="Arial" w:eastAsia="Arial" w:hAnsi="Arial"/>
                <w:sz w:val="8"/>
                <w:szCs w:val="8"/>
                <w:b w:val="1"/>
                <w:bCs w:val="1"/>
                <w:color w:val="auto"/>
                <w:w w:val="90"/>
              </w:rPr>
              <w:t>1</w:t>
            </w:r>
          </w:p>
        </w:tc>
        <w:tc>
          <w:tcPr>
            <w:tcW w:w="12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ind w:left="100"/>
              <w:spacing w:after="0"/>
              <w:rPr>
                <w:sz w:val="20"/>
                <w:szCs w:val="20"/>
                <w:color w:val="auto"/>
              </w:rPr>
            </w:pPr>
            <w:r>
              <w:rPr>
                <w:rFonts w:ascii="Arial" w:cs="Arial" w:eastAsia="Arial" w:hAnsi="Arial"/>
                <w:sz w:val="13"/>
                <w:szCs w:val="13"/>
                <w:b w:val="1"/>
                <w:bCs w:val="1"/>
                <w:color w:val="auto"/>
              </w:rPr>
              <w:t xml:space="preserve">Basis </w:t>
            </w:r>
            <w:r>
              <w:rPr>
                <w:rFonts w:ascii="Arial" w:cs="Arial" w:eastAsia="Arial" w:hAnsi="Arial"/>
                <w:sz w:val="8"/>
                <w:szCs w:val="8"/>
                <w:b w:val="1"/>
                <w:bCs w:val="1"/>
                <w:color w:val="auto"/>
              </w:rPr>
              <w:t>2</w:t>
            </w:r>
          </w:p>
        </w:tc>
        <w:tc>
          <w:tcPr>
            <w:tcW w:w="12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209"/>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3</w:t>
            </w:r>
          </w:p>
        </w:tc>
        <w:tc>
          <w:tcPr>
            <w:tcW w:w="12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169"/>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4</w:t>
            </w: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center"/>
              <w:ind w:right="90"/>
              <w:spacing w:after="0"/>
              <w:rPr>
                <w:sz w:val="20"/>
                <w:szCs w:val="20"/>
                <w:color w:val="auto"/>
              </w:rPr>
            </w:pPr>
            <w:r>
              <w:rPr>
                <w:rFonts w:ascii="Arial" w:cs="Arial" w:eastAsia="Arial" w:hAnsi="Arial"/>
                <w:sz w:val="13"/>
                <w:szCs w:val="13"/>
                <w:b w:val="1"/>
                <w:bCs w:val="1"/>
                <w:color w:val="auto"/>
                <w:w w:val="90"/>
              </w:rPr>
              <w:t xml:space="preserve">(Short) </w:t>
            </w:r>
            <w:r>
              <w:rPr>
                <w:rFonts w:ascii="Arial" w:cs="Arial" w:eastAsia="Arial" w:hAnsi="Arial"/>
                <w:sz w:val="8"/>
                <w:szCs w:val="8"/>
                <w:b w:val="1"/>
                <w:bCs w:val="1"/>
                <w:color w:val="auto"/>
                <w:w w:val="90"/>
              </w:rPr>
              <w:t>1</w:t>
            </w:r>
          </w:p>
        </w:tc>
        <w:tc>
          <w:tcPr>
            <w:tcW w:w="1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ind w:right="269"/>
              <w:spacing w:after="0"/>
              <w:rPr>
                <w:sz w:val="20"/>
                <w:szCs w:val="20"/>
                <w:color w:val="auto"/>
              </w:rPr>
            </w:pPr>
            <w:r>
              <w:rPr>
                <w:rFonts w:ascii="Arial" w:cs="Arial" w:eastAsia="Arial" w:hAnsi="Arial"/>
                <w:sz w:val="13"/>
                <w:szCs w:val="13"/>
                <w:b w:val="1"/>
                <w:bCs w:val="1"/>
                <w:color w:val="auto"/>
              </w:rPr>
              <w:t xml:space="preserve">Basis </w:t>
            </w:r>
            <w:r>
              <w:rPr>
                <w:rFonts w:ascii="Arial" w:cs="Arial" w:eastAsia="Arial" w:hAnsi="Arial"/>
                <w:sz w:val="8"/>
                <w:szCs w:val="8"/>
                <w:b w:val="1"/>
                <w:bCs w:val="1"/>
                <w:color w:val="auto"/>
              </w:rPr>
              <w:t>2</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249"/>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3</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249"/>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4</w:t>
            </w:r>
          </w:p>
        </w:tc>
      </w:tr>
      <w:tr>
        <w:trPr>
          <w:trHeight w:val="270"/>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15-Year TBA securities:</w:t>
            </w: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8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r>
      <w:tr>
        <w:trPr>
          <w:trHeight w:val="264"/>
        </w:trPr>
        <w:tc>
          <w:tcPr>
            <w:tcW w:w="2300" w:type="dxa"/>
            <w:vAlign w:val="bottom"/>
          </w:tcPr>
          <w:p>
            <w:pPr>
              <w:jc w:val="right"/>
              <w:ind w:right="1729"/>
              <w:spacing w:after="0"/>
              <w:rPr>
                <w:sz w:val="20"/>
                <w:szCs w:val="20"/>
                <w:color w:val="auto"/>
              </w:rPr>
            </w:pPr>
            <w:r>
              <w:rPr>
                <w:rFonts w:ascii="Arial" w:cs="Arial" w:eastAsia="Arial" w:hAnsi="Arial"/>
                <w:sz w:val="14"/>
                <w:szCs w:val="14"/>
                <w:color w:val="auto"/>
              </w:rPr>
              <w:t>2.5%</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(80)</w:t>
            </w:r>
          </w:p>
        </w:tc>
        <w:tc>
          <w:tcPr>
            <w:tcW w:w="12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9"/>
              <w:spacing w:after="0"/>
              <w:rPr>
                <w:sz w:val="20"/>
                <w:szCs w:val="20"/>
                <w:color w:val="auto"/>
              </w:rPr>
            </w:pPr>
            <w:r>
              <w:rPr>
                <w:rFonts w:ascii="Arial" w:cs="Arial" w:eastAsia="Arial" w:hAnsi="Arial"/>
                <w:sz w:val="14"/>
                <w:szCs w:val="14"/>
                <w:color w:val="auto"/>
              </w:rPr>
              <w:t>(81)</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9"/>
              <w:spacing w:after="0"/>
              <w:rPr>
                <w:sz w:val="20"/>
                <w:szCs w:val="20"/>
                <w:color w:val="auto"/>
              </w:rPr>
            </w:pPr>
            <w:r>
              <w:rPr>
                <w:rFonts w:ascii="Arial" w:cs="Arial" w:eastAsia="Arial" w:hAnsi="Arial"/>
                <w:sz w:val="14"/>
                <w:szCs w:val="14"/>
                <w:color w:val="auto"/>
              </w:rPr>
              <w:t>(80)</w:t>
            </w:r>
          </w:p>
        </w:tc>
        <w:tc>
          <w:tcPr>
            <w:tcW w:w="120" w:type="dxa"/>
            <w:vAlign w:val="bottom"/>
          </w:tcPr>
          <w:p>
            <w:pPr>
              <w:spacing w:after="0"/>
              <w:rPr>
                <w:sz w:val="22"/>
                <w:szCs w:val="22"/>
                <w:color w:val="auto"/>
              </w:rPr>
            </w:pPr>
          </w:p>
        </w:tc>
        <w:tc>
          <w:tcPr>
            <w:tcW w:w="180" w:type="dxa"/>
            <w:vAlign w:val="bottom"/>
          </w:tcPr>
          <w:p>
            <w:pPr>
              <w:jc w:val="right"/>
              <w:ind w:right="11"/>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29"/>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50"/>
              <w:spacing w:after="0"/>
              <w:rPr>
                <w:sz w:val="20"/>
                <w:szCs w:val="20"/>
                <w:color w:val="auto"/>
              </w:rPr>
            </w:pPr>
            <w:r>
              <w:rPr>
                <w:rFonts w:ascii="Arial" w:cs="Arial" w:eastAsia="Arial" w:hAnsi="Arial"/>
                <w:sz w:val="14"/>
                <w:szCs w:val="14"/>
                <w:color w:val="auto"/>
              </w:rPr>
              <w:t>962</w:t>
            </w:r>
          </w:p>
        </w:tc>
        <w:tc>
          <w:tcPr>
            <w:tcW w:w="10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29"/>
              <w:spacing w:after="0"/>
              <w:rPr>
                <w:sz w:val="20"/>
                <w:szCs w:val="20"/>
                <w:color w:val="auto"/>
              </w:rPr>
            </w:pPr>
            <w:r>
              <w:rPr>
                <w:rFonts w:ascii="Arial" w:cs="Arial" w:eastAsia="Arial" w:hAnsi="Arial"/>
                <w:sz w:val="14"/>
                <w:szCs w:val="14"/>
                <w:color w:val="auto"/>
              </w:rPr>
              <w:t>968</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9"/>
              <w:spacing w:after="0"/>
              <w:rPr>
                <w:sz w:val="20"/>
                <w:szCs w:val="20"/>
                <w:color w:val="auto"/>
              </w:rPr>
            </w:pPr>
            <w:r>
              <w:rPr>
                <w:rFonts w:ascii="Arial" w:cs="Arial" w:eastAsia="Arial" w:hAnsi="Arial"/>
                <w:sz w:val="14"/>
                <w:szCs w:val="14"/>
                <w:color w:val="auto"/>
              </w:rPr>
              <w:t>980</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29"/>
              <w:spacing w:after="0"/>
              <w:rPr>
                <w:sz w:val="20"/>
                <w:szCs w:val="20"/>
                <w:color w:val="auto"/>
              </w:rPr>
            </w:pPr>
            <w:r>
              <w:rPr>
                <w:rFonts w:ascii="Arial" w:cs="Arial" w:eastAsia="Arial" w:hAnsi="Arial"/>
                <w:sz w:val="14"/>
                <w:szCs w:val="14"/>
                <w:color w:val="auto"/>
              </w:rPr>
              <w:t>12</w:t>
            </w:r>
          </w:p>
        </w:tc>
      </w:tr>
      <w:tr>
        <w:trPr>
          <w:trHeight w:val="276"/>
        </w:trPr>
        <w:tc>
          <w:tcPr>
            <w:tcW w:w="2300" w:type="dxa"/>
            <w:vAlign w:val="bottom"/>
            <w:shd w:val="clear" w:color="auto" w:fill="CCEEFF"/>
          </w:tcPr>
          <w:p>
            <w:pPr>
              <w:jc w:val="right"/>
              <w:ind w:right="1729"/>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225</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233</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232</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2,779</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2,889</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2,888</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r>
      <w:tr>
        <w:trPr>
          <w:trHeight w:val="264"/>
        </w:trPr>
        <w:tc>
          <w:tcPr>
            <w:tcW w:w="2300" w:type="dxa"/>
            <w:vAlign w:val="bottom"/>
          </w:tcPr>
          <w:p>
            <w:pPr>
              <w:jc w:val="right"/>
              <w:ind w:right="1729"/>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jc w:val="right"/>
              <w:ind w:right="50"/>
              <w:spacing w:after="0"/>
              <w:rPr>
                <w:sz w:val="20"/>
                <w:szCs w:val="20"/>
                <w:color w:val="auto"/>
              </w:rPr>
            </w:pPr>
            <w:r>
              <w:rPr>
                <w:rFonts w:ascii="Arial" w:cs="Arial" w:eastAsia="Arial" w:hAnsi="Arial"/>
                <w:sz w:val="14"/>
                <w:szCs w:val="14"/>
                <w:color w:val="auto"/>
              </w:rPr>
              <w:t>136</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jc w:val="right"/>
              <w:ind w:right="49"/>
              <w:spacing w:after="0"/>
              <w:rPr>
                <w:sz w:val="20"/>
                <w:szCs w:val="20"/>
                <w:color w:val="auto"/>
              </w:rPr>
            </w:pPr>
            <w:r>
              <w:rPr>
                <w:rFonts w:ascii="Arial" w:cs="Arial" w:eastAsia="Arial" w:hAnsi="Arial"/>
                <w:sz w:val="14"/>
                <w:szCs w:val="14"/>
                <w:color w:val="auto"/>
              </w:rPr>
              <w:t>143</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60" w:type="dxa"/>
            <w:vAlign w:val="bottom"/>
          </w:tcPr>
          <w:p>
            <w:pPr>
              <w:jc w:val="right"/>
              <w:ind w:right="49"/>
              <w:spacing w:after="0"/>
              <w:rPr>
                <w:sz w:val="20"/>
                <w:szCs w:val="20"/>
                <w:color w:val="auto"/>
              </w:rPr>
            </w:pPr>
            <w:r>
              <w:rPr>
                <w:rFonts w:ascii="Arial" w:cs="Arial" w:eastAsia="Arial" w:hAnsi="Arial"/>
                <w:sz w:val="14"/>
                <w:szCs w:val="14"/>
                <w:color w:val="auto"/>
              </w:rPr>
              <w:t>142</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(468)</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(495)</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(494)</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ind w:right="29"/>
              <w:spacing w:after="0"/>
              <w:rPr>
                <w:sz w:val="20"/>
                <w:szCs w:val="20"/>
                <w:color w:val="auto"/>
              </w:rPr>
            </w:pPr>
            <w:r>
              <w:rPr>
                <w:rFonts w:ascii="Arial" w:cs="Arial" w:eastAsia="Arial" w:hAnsi="Arial"/>
                <w:sz w:val="14"/>
                <w:szCs w:val="14"/>
                <w:color w:val="auto"/>
              </w:rPr>
              <w:t>1</w:t>
            </w:r>
          </w:p>
        </w:tc>
      </w:tr>
      <w:tr>
        <w:trPr>
          <w:trHeight w:val="270"/>
        </w:trPr>
        <w:tc>
          <w:tcPr>
            <w:tcW w:w="2300" w:type="dxa"/>
            <w:vAlign w:val="bottom"/>
            <w:shd w:val="clear" w:color="auto" w:fill="CCEEFF"/>
          </w:tcPr>
          <w:p>
            <w:pPr>
              <w:jc w:val="right"/>
              <w:ind w:right="1729"/>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1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3"/>
                <w:szCs w:val="23"/>
                <w:color w:val="auto"/>
              </w:rPr>
            </w:pP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3"/>
                <w:szCs w:val="23"/>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3"/>
                <w:szCs w:val="23"/>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3"/>
                <w:szCs w:val="23"/>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w:t>
            </w:r>
          </w:p>
        </w:tc>
      </w:tr>
      <w:tr>
        <w:trPr>
          <w:trHeight w:val="250"/>
        </w:trPr>
        <w:tc>
          <w:tcPr>
            <w:tcW w:w="242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Total 15-Year TBAs</w:t>
            </w:r>
          </w:p>
        </w:tc>
        <w:tc>
          <w:tcPr>
            <w:tcW w:w="140" w:type="dxa"/>
            <w:vAlign w:val="bottom"/>
            <w:tcBorders>
              <w:top w:val="single" w:sz="8" w:color="auto"/>
              <w:bottom w:val="single" w:sz="8" w:color="auto"/>
            </w:tcBorders>
          </w:tcPr>
          <w:p>
            <w:pPr>
              <w:spacing w:after="0"/>
              <w:rPr>
                <w:sz w:val="21"/>
                <w:szCs w:val="21"/>
                <w:color w:val="auto"/>
              </w:rPr>
            </w:pPr>
          </w:p>
        </w:tc>
        <w:tc>
          <w:tcPr>
            <w:tcW w:w="102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4"/>
                <w:szCs w:val="14"/>
                <w:color w:val="auto"/>
              </w:rPr>
              <w:t>281</w:t>
            </w:r>
          </w:p>
        </w:tc>
        <w:tc>
          <w:tcPr>
            <w:tcW w:w="12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spacing w:after="0"/>
              <w:rPr>
                <w:sz w:val="21"/>
                <w:szCs w:val="21"/>
                <w:color w:val="auto"/>
              </w:rPr>
            </w:pPr>
          </w:p>
        </w:tc>
        <w:tc>
          <w:tcPr>
            <w:tcW w:w="740" w:type="dxa"/>
            <w:vAlign w:val="bottom"/>
            <w:tcBorders>
              <w:top w:val="single" w:sz="8" w:color="auto"/>
              <w:bottom w:val="single" w:sz="8" w:color="auto"/>
            </w:tcBorders>
          </w:tcPr>
          <w:p>
            <w:pPr>
              <w:jc w:val="right"/>
              <w:ind w:right="49"/>
              <w:spacing w:after="0"/>
              <w:rPr>
                <w:sz w:val="20"/>
                <w:szCs w:val="20"/>
                <w:color w:val="auto"/>
              </w:rPr>
            </w:pPr>
            <w:r>
              <w:rPr>
                <w:rFonts w:ascii="Arial" w:cs="Arial" w:eastAsia="Arial" w:hAnsi="Arial"/>
                <w:sz w:val="14"/>
                <w:szCs w:val="14"/>
                <w:color w:val="auto"/>
              </w:rPr>
              <w:t>295</w:t>
            </w:r>
          </w:p>
        </w:tc>
        <w:tc>
          <w:tcPr>
            <w:tcW w:w="12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760" w:type="dxa"/>
            <w:vAlign w:val="bottom"/>
            <w:tcBorders>
              <w:top w:val="single" w:sz="8" w:color="auto"/>
              <w:bottom w:val="single" w:sz="8" w:color="auto"/>
            </w:tcBorders>
          </w:tcPr>
          <w:p>
            <w:pPr>
              <w:jc w:val="right"/>
              <w:ind w:right="49"/>
              <w:spacing w:after="0"/>
              <w:rPr>
                <w:sz w:val="20"/>
                <w:szCs w:val="20"/>
                <w:color w:val="auto"/>
              </w:rPr>
            </w:pPr>
            <w:r>
              <w:rPr>
                <w:rFonts w:ascii="Arial" w:cs="Arial" w:eastAsia="Arial" w:hAnsi="Arial"/>
                <w:sz w:val="14"/>
                <w:szCs w:val="14"/>
                <w:color w:val="auto"/>
              </w:rPr>
              <w:t>294</w:t>
            </w:r>
          </w:p>
        </w:tc>
        <w:tc>
          <w:tcPr>
            <w:tcW w:w="12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w:t>
            </w:r>
          </w:p>
        </w:tc>
        <w:tc>
          <w:tcPr>
            <w:tcW w:w="12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spacing w:after="0"/>
              <w:rPr>
                <w:sz w:val="21"/>
                <w:szCs w:val="21"/>
                <w:color w:val="auto"/>
              </w:rPr>
            </w:pPr>
          </w:p>
        </w:tc>
        <w:tc>
          <w:tcPr>
            <w:tcW w:w="110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4"/>
                <w:szCs w:val="14"/>
                <w:color w:val="auto"/>
              </w:rPr>
              <w:t>3,260</w:t>
            </w:r>
          </w:p>
        </w:tc>
        <w:tc>
          <w:tcPr>
            <w:tcW w:w="100" w:type="dxa"/>
            <w:vAlign w:val="bottom"/>
            <w:tcBorders>
              <w:bottom w:val="single" w:sz="8" w:color="CCEEFF"/>
            </w:tcBorders>
          </w:tcPr>
          <w:p>
            <w:pPr>
              <w:spacing w:after="0"/>
              <w:rPr>
                <w:sz w:val="21"/>
                <w:szCs w:val="21"/>
                <w:color w:val="auto"/>
              </w:rPr>
            </w:pPr>
          </w:p>
        </w:tc>
        <w:tc>
          <w:tcPr>
            <w:tcW w:w="220" w:type="dxa"/>
            <w:vAlign w:val="bottom"/>
            <w:tcBorders>
              <w:top w:val="single" w:sz="8" w:color="auto"/>
              <w:bottom w:val="single" w:sz="8" w:color="auto"/>
            </w:tcBorders>
          </w:tcPr>
          <w:p>
            <w:pPr>
              <w:spacing w:after="0"/>
              <w:rPr>
                <w:sz w:val="21"/>
                <w:szCs w:val="21"/>
                <w:color w:val="auto"/>
              </w:rPr>
            </w:pPr>
          </w:p>
        </w:tc>
        <w:tc>
          <w:tcPr>
            <w:tcW w:w="80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4"/>
                <w:szCs w:val="14"/>
                <w:color w:val="auto"/>
              </w:rPr>
              <w:t>3,348</w:t>
            </w:r>
          </w:p>
        </w:tc>
        <w:tc>
          <w:tcPr>
            <w:tcW w:w="10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spacing w:after="0"/>
              <w:rPr>
                <w:sz w:val="21"/>
                <w:szCs w:val="21"/>
                <w:color w:val="auto"/>
              </w:rPr>
            </w:pPr>
          </w:p>
        </w:tc>
        <w:tc>
          <w:tcPr>
            <w:tcW w:w="82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4"/>
                <w:szCs w:val="14"/>
                <w:color w:val="auto"/>
              </w:rPr>
              <w:t>3,360</w:t>
            </w:r>
          </w:p>
        </w:tc>
        <w:tc>
          <w:tcPr>
            <w:tcW w:w="10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spacing w:after="0"/>
              <w:rPr>
                <w:sz w:val="21"/>
                <w:szCs w:val="21"/>
                <w:color w:val="auto"/>
              </w:rPr>
            </w:pPr>
          </w:p>
        </w:tc>
        <w:tc>
          <w:tcPr>
            <w:tcW w:w="88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4"/>
                <w:szCs w:val="14"/>
                <w:color w:val="auto"/>
              </w:rPr>
              <w:t>12</w:t>
            </w:r>
          </w:p>
        </w:tc>
      </w:tr>
      <w:tr>
        <w:trPr>
          <w:trHeight w:val="270"/>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30-Year TBA securities:</w:t>
            </w: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8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r>
      <w:tr>
        <w:trPr>
          <w:trHeight w:val="264"/>
        </w:trPr>
        <w:tc>
          <w:tcPr>
            <w:tcW w:w="2300" w:type="dxa"/>
            <w:vAlign w:val="bottom"/>
          </w:tcPr>
          <w:p>
            <w:pPr>
              <w:jc w:val="right"/>
              <w:ind w:right="1729"/>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jc w:val="right"/>
              <w:ind w:right="50"/>
              <w:spacing w:after="0"/>
              <w:rPr>
                <w:sz w:val="20"/>
                <w:szCs w:val="20"/>
                <w:color w:val="auto"/>
              </w:rPr>
            </w:pPr>
            <w:r>
              <w:rPr>
                <w:rFonts w:ascii="Arial" w:cs="Arial" w:eastAsia="Arial" w:hAnsi="Arial"/>
                <w:sz w:val="14"/>
                <w:szCs w:val="14"/>
                <w:color w:val="auto"/>
              </w:rPr>
              <w:t>3,914</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jc w:val="right"/>
              <w:ind w:right="49"/>
              <w:spacing w:after="0"/>
              <w:rPr>
                <w:sz w:val="20"/>
                <w:szCs w:val="20"/>
                <w:color w:val="auto"/>
              </w:rPr>
            </w:pPr>
            <w:r>
              <w:rPr>
                <w:rFonts w:ascii="Arial" w:cs="Arial" w:eastAsia="Arial" w:hAnsi="Arial"/>
                <w:sz w:val="14"/>
                <w:szCs w:val="14"/>
                <w:color w:val="auto"/>
              </w:rPr>
              <w:t>3,911</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60" w:type="dxa"/>
            <w:vAlign w:val="bottom"/>
          </w:tcPr>
          <w:p>
            <w:pPr>
              <w:jc w:val="right"/>
              <w:ind w:right="49"/>
              <w:spacing w:after="0"/>
              <w:rPr>
                <w:sz w:val="20"/>
                <w:szCs w:val="20"/>
                <w:color w:val="auto"/>
              </w:rPr>
            </w:pPr>
            <w:r>
              <w:rPr>
                <w:rFonts w:ascii="Arial" w:cs="Arial" w:eastAsia="Arial" w:hAnsi="Arial"/>
                <w:sz w:val="14"/>
                <w:szCs w:val="14"/>
                <w:color w:val="auto"/>
              </w:rPr>
              <w:t>3,916</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jc w:val="right"/>
              <w:ind w:right="29"/>
              <w:spacing w:after="0"/>
              <w:rPr>
                <w:sz w:val="20"/>
                <w:szCs w:val="20"/>
                <w:color w:val="auto"/>
              </w:rPr>
            </w:pPr>
            <w:r>
              <w:rPr>
                <w:rFonts w:ascii="Arial" w:cs="Arial" w:eastAsia="Arial" w:hAnsi="Arial"/>
                <w:sz w:val="14"/>
                <w:szCs w:val="14"/>
                <w:color w:val="auto"/>
              </w:rPr>
              <w:t>5</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00" w:type="dxa"/>
            <w:vAlign w:val="bottom"/>
          </w:tcPr>
          <w:p>
            <w:pPr>
              <w:jc w:val="right"/>
              <w:ind w:right="50"/>
              <w:spacing w:after="0"/>
              <w:rPr>
                <w:sz w:val="20"/>
                <w:szCs w:val="20"/>
                <w:color w:val="auto"/>
              </w:rPr>
            </w:pPr>
            <w:r>
              <w:rPr>
                <w:rFonts w:ascii="Arial" w:cs="Arial" w:eastAsia="Arial" w:hAnsi="Arial"/>
                <w:sz w:val="14"/>
                <w:szCs w:val="14"/>
                <w:color w:val="auto"/>
              </w:rPr>
              <w:t>5,254</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jc w:val="right"/>
              <w:ind w:right="29"/>
              <w:spacing w:after="0"/>
              <w:rPr>
                <w:sz w:val="20"/>
                <w:szCs w:val="20"/>
                <w:color w:val="auto"/>
              </w:rPr>
            </w:pPr>
            <w:r>
              <w:rPr>
                <w:rFonts w:ascii="Arial" w:cs="Arial" w:eastAsia="Arial" w:hAnsi="Arial"/>
                <w:sz w:val="14"/>
                <w:szCs w:val="14"/>
                <w:color w:val="auto"/>
              </w:rPr>
              <w:t>5,259</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ind w:right="29"/>
              <w:spacing w:after="0"/>
              <w:rPr>
                <w:sz w:val="20"/>
                <w:szCs w:val="20"/>
                <w:color w:val="auto"/>
              </w:rPr>
            </w:pPr>
            <w:r>
              <w:rPr>
                <w:rFonts w:ascii="Arial" w:cs="Arial" w:eastAsia="Arial" w:hAnsi="Arial"/>
                <w:sz w:val="14"/>
                <w:szCs w:val="14"/>
                <w:color w:val="auto"/>
              </w:rPr>
              <w:t>5,313</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ind w:right="29"/>
              <w:spacing w:after="0"/>
              <w:rPr>
                <w:sz w:val="20"/>
                <w:szCs w:val="20"/>
                <w:color w:val="auto"/>
              </w:rPr>
            </w:pPr>
            <w:r>
              <w:rPr>
                <w:rFonts w:ascii="Arial" w:cs="Arial" w:eastAsia="Arial" w:hAnsi="Arial"/>
                <w:sz w:val="14"/>
                <w:szCs w:val="14"/>
                <w:color w:val="auto"/>
              </w:rPr>
              <w:t>54</w:t>
            </w:r>
          </w:p>
        </w:tc>
      </w:tr>
      <w:tr>
        <w:trPr>
          <w:trHeight w:val="276"/>
        </w:trPr>
        <w:tc>
          <w:tcPr>
            <w:tcW w:w="2300" w:type="dxa"/>
            <w:vAlign w:val="bottom"/>
            <w:shd w:val="clear" w:color="auto" w:fill="CCEEFF"/>
          </w:tcPr>
          <w:p>
            <w:pPr>
              <w:jc w:val="right"/>
              <w:ind w:right="1729"/>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1,497</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1,536</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1,539</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7,902</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8,151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8,232</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81</w:t>
            </w:r>
          </w:p>
        </w:tc>
      </w:tr>
      <w:tr>
        <w:trPr>
          <w:trHeight w:val="264"/>
        </w:trPr>
        <w:tc>
          <w:tcPr>
            <w:tcW w:w="2300" w:type="dxa"/>
            <w:vAlign w:val="bottom"/>
          </w:tcPr>
          <w:p>
            <w:pPr>
              <w:jc w:val="right"/>
              <w:ind w:right="1729"/>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jc w:val="right"/>
              <w:ind w:right="50"/>
              <w:spacing w:after="0"/>
              <w:rPr>
                <w:sz w:val="20"/>
                <w:szCs w:val="20"/>
                <w:color w:val="auto"/>
              </w:rPr>
            </w:pPr>
            <w:r>
              <w:rPr>
                <w:rFonts w:ascii="Arial" w:cs="Arial" w:eastAsia="Arial" w:hAnsi="Arial"/>
                <w:sz w:val="14"/>
                <w:szCs w:val="14"/>
                <w:color w:val="auto"/>
              </w:rPr>
              <w:t>1,575</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jc w:val="right"/>
              <w:ind w:right="49"/>
              <w:spacing w:after="0"/>
              <w:rPr>
                <w:sz w:val="20"/>
                <w:szCs w:val="20"/>
                <w:color w:val="auto"/>
              </w:rPr>
            </w:pPr>
            <w:r>
              <w:rPr>
                <w:rFonts w:ascii="Arial" w:cs="Arial" w:eastAsia="Arial" w:hAnsi="Arial"/>
                <w:sz w:val="14"/>
                <w:szCs w:val="14"/>
                <w:color w:val="auto"/>
              </w:rPr>
              <w:t>1,658</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60" w:type="dxa"/>
            <w:vAlign w:val="bottom"/>
          </w:tcPr>
          <w:p>
            <w:pPr>
              <w:jc w:val="right"/>
              <w:ind w:right="49"/>
              <w:spacing w:after="0"/>
              <w:rPr>
                <w:sz w:val="20"/>
                <w:szCs w:val="20"/>
                <w:color w:val="auto"/>
              </w:rPr>
            </w:pPr>
            <w:r>
              <w:rPr>
                <w:rFonts w:ascii="Arial" w:cs="Arial" w:eastAsia="Arial" w:hAnsi="Arial"/>
                <w:sz w:val="14"/>
                <w:szCs w:val="14"/>
                <w:color w:val="auto"/>
              </w:rPr>
              <w:t>1,665</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jc w:val="right"/>
              <w:ind w:right="29"/>
              <w:spacing w:after="0"/>
              <w:rPr>
                <w:sz w:val="20"/>
                <w:szCs w:val="20"/>
                <w:color w:val="auto"/>
              </w:rPr>
            </w:pPr>
            <w:r>
              <w:rPr>
                <w:rFonts w:ascii="Arial" w:cs="Arial" w:eastAsia="Arial" w:hAnsi="Arial"/>
                <w:sz w:val="14"/>
                <w:szCs w:val="14"/>
                <w:color w:val="auto"/>
              </w:rPr>
              <w:t>7</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(1,853)</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(2,019)</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(1,974)</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ind w:right="29"/>
              <w:spacing w:after="0"/>
              <w:rPr>
                <w:sz w:val="20"/>
                <w:szCs w:val="20"/>
                <w:color w:val="auto"/>
              </w:rPr>
            </w:pPr>
            <w:r>
              <w:rPr>
                <w:rFonts w:ascii="Arial" w:cs="Arial" w:eastAsia="Arial" w:hAnsi="Arial"/>
                <w:sz w:val="14"/>
                <w:szCs w:val="14"/>
                <w:color w:val="auto"/>
              </w:rPr>
              <w:t>45</w:t>
            </w:r>
          </w:p>
        </w:tc>
      </w:tr>
      <w:tr>
        <w:trPr>
          <w:trHeight w:val="270"/>
        </w:trPr>
        <w:tc>
          <w:tcPr>
            <w:tcW w:w="2300" w:type="dxa"/>
            <w:vAlign w:val="bottom"/>
            <w:shd w:val="clear" w:color="auto" w:fill="CCEEFF"/>
          </w:tcPr>
          <w:p>
            <w:pPr>
              <w:jc w:val="right"/>
              <w:ind w:right="1729"/>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28</w:t>
            </w: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4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3"/>
                <w:szCs w:val="23"/>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(151)</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(163)</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(163)</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w:t>
            </w:r>
          </w:p>
        </w:tc>
      </w:tr>
      <w:tr>
        <w:trPr>
          <w:trHeight w:val="250"/>
        </w:trPr>
        <w:tc>
          <w:tcPr>
            <w:tcW w:w="242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Total 30-Year TBAs</w:t>
            </w:r>
          </w:p>
        </w:tc>
        <w:tc>
          <w:tcPr>
            <w:tcW w:w="140" w:type="dxa"/>
            <w:vAlign w:val="bottom"/>
            <w:tcBorders>
              <w:top w:val="single" w:sz="8" w:color="auto"/>
              <w:bottom w:val="single" w:sz="8" w:color="auto"/>
            </w:tcBorders>
          </w:tcPr>
          <w:p>
            <w:pPr>
              <w:spacing w:after="0"/>
              <w:rPr>
                <w:sz w:val="21"/>
                <w:szCs w:val="21"/>
                <w:color w:val="auto"/>
              </w:rPr>
            </w:pPr>
          </w:p>
        </w:tc>
        <w:tc>
          <w:tcPr>
            <w:tcW w:w="102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4"/>
                <w:szCs w:val="14"/>
                <w:color w:val="auto"/>
              </w:rPr>
              <w:t>7,014</w:t>
            </w:r>
          </w:p>
        </w:tc>
        <w:tc>
          <w:tcPr>
            <w:tcW w:w="12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spacing w:after="0"/>
              <w:rPr>
                <w:sz w:val="21"/>
                <w:szCs w:val="21"/>
                <w:color w:val="auto"/>
              </w:rPr>
            </w:pPr>
          </w:p>
        </w:tc>
        <w:tc>
          <w:tcPr>
            <w:tcW w:w="740" w:type="dxa"/>
            <w:vAlign w:val="bottom"/>
            <w:tcBorders>
              <w:top w:val="single" w:sz="8" w:color="auto"/>
              <w:bottom w:val="single" w:sz="8" w:color="auto"/>
            </w:tcBorders>
          </w:tcPr>
          <w:p>
            <w:pPr>
              <w:jc w:val="right"/>
              <w:ind w:right="49"/>
              <w:spacing w:after="0"/>
              <w:rPr>
                <w:sz w:val="20"/>
                <w:szCs w:val="20"/>
                <w:color w:val="auto"/>
              </w:rPr>
            </w:pPr>
            <w:r>
              <w:rPr>
                <w:rFonts w:ascii="Arial" w:cs="Arial" w:eastAsia="Arial" w:hAnsi="Arial"/>
                <w:sz w:val="14"/>
                <w:szCs w:val="14"/>
                <w:color w:val="auto"/>
              </w:rPr>
              <w:t>7,135</w:t>
            </w:r>
          </w:p>
        </w:tc>
        <w:tc>
          <w:tcPr>
            <w:tcW w:w="12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760" w:type="dxa"/>
            <w:vAlign w:val="bottom"/>
            <w:tcBorders>
              <w:top w:val="single" w:sz="8" w:color="auto"/>
              <w:bottom w:val="single" w:sz="8" w:color="auto"/>
            </w:tcBorders>
          </w:tcPr>
          <w:p>
            <w:pPr>
              <w:jc w:val="right"/>
              <w:ind w:right="49"/>
              <w:spacing w:after="0"/>
              <w:rPr>
                <w:sz w:val="20"/>
                <w:szCs w:val="20"/>
                <w:color w:val="auto"/>
              </w:rPr>
            </w:pPr>
            <w:r>
              <w:rPr>
                <w:rFonts w:ascii="Arial" w:cs="Arial" w:eastAsia="Arial" w:hAnsi="Arial"/>
                <w:sz w:val="14"/>
                <w:szCs w:val="14"/>
                <w:color w:val="auto"/>
              </w:rPr>
              <w:t>7,150</w:t>
            </w:r>
          </w:p>
        </w:tc>
        <w:tc>
          <w:tcPr>
            <w:tcW w:w="12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70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4"/>
                <w:szCs w:val="14"/>
                <w:color w:val="auto"/>
              </w:rPr>
              <w:t>15</w:t>
            </w:r>
          </w:p>
        </w:tc>
        <w:tc>
          <w:tcPr>
            <w:tcW w:w="12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spacing w:after="0"/>
              <w:rPr>
                <w:sz w:val="21"/>
                <w:szCs w:val="21"/>
                <w:color w:val="auto"/>
              </w:rPr>
            </w:pPr>
          </w:p>
        </w:tc>
        <w:tc>
          <w:tcPr>
            <w:tcW w:w="110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4"/>
                <w:szCs w:val="14"/>
                <w:color w:val="auto"/>
              </w:rPr>
              <w:t>11,152</w:t>
            </w:r>
          </w:p>
        </w:tc>
        <w:tc>
          <w:tcPr>
            <w:tcW w:w="100" w:type="dxa"/>
            <w:vAlign w:val="bottom"/>
            <w:tcBorders>
              <w:bottom w:val="single" w:sz="8" w:color="CCEEFF"/>
            </w:tcBorders>
          </w:tcPr>
          <w:p>
            <w:pPr>
              <w:spacing w:after="0"/>
              <w:rPr>
                <w:sz w:val="21"/>
                <w:szCs w:val="21"/>
                <w:color w:val="auto"/>
              </w:rPr>
            </w:pPr>
          </w:p>
        </w:tc>
        <w:tc>
          <w:tcPr>
            <w:tcW w:w="220" w:type="dxa"/>
            <w:vAlign w:val="bottom"/>
            <w:tcBorders>
              <w:top w:val="single" w:sz="8" w:color="auto"/>
              <w:bottom w:val="single" w:sz="8" w:color="auto"/>
            </w:tcBorders>
          </w:tcPr>
          <w:p>
            <w:pPr>
              <w:spacing w:after="0"/>
              <w:rPr>
                <w:sz w:val="21"/>
                <w:szCs w:val="21"/>
                <w:color w:val="auto"/>
              </w:rPr>
            </w:pPr>
          </w:p>
        </w:tc>
        <w:tc>
          <w:tcPr>
            <w:tcW w:w="80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4"/>
                <w:szCs w:val="14"/>
                <w:color w:val="auto"/>
              </w:rPr>
              <w:t>11,228</w:t>
            </w:r>
          </w:p>
        </w:tc>
        <w:tc>
          <w:tcPr>
            <w:tcW w:w="10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spacing w:after="0"/>
              <w:rPr>
                <w:sz w:val="21"/>
                <w:szCs w:val="21"/>
                <w:color w:val="auto"/>
              </w:rPr>
            </w:pPr>
          </w:p>
        </w:tc>
        <w:tc>
          <w:tcPr>
            <w:tcW w:w="82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4"/>
                <w:szCs w:val="14"/>
                <w:color w:val="auto"/>
              </w:rPr>
              <w:t>11,408</w:t>
            </w:r>
          </w:p>
        </w:tc>
        <w:tc>
          <w:tcPr>
            <w:tcW w:w="10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spacing w:after="0"/>
              <w:rPr>
                <w:sz w:val="21"/>
                <w:szCs w:val="21"/>
                <w:color w:val="auto"/>
              </w:rPr>
            </w:pPr>
          </w:p>
        </w:tc>
        <w:tc>
          <w:tcPr>
            <w:tcW w:w="88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4"/>
                <w:szCs w:val="14"/>
                <w:color w:val="auto"/>
              </w:rPr>
              <w:t>180</w:t>
            </w:r>
          </w:p>
        </w:tc>
      </w:tr>
      <w:tr>
        <w:trPr>
          <w:trHeight w:val="243"/>
        </w:trPr>
        <w:tc>
          <w:tcPr>
            <w:tcW w:w="24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net TBA securities</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7,295</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7,430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7,444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14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14,412</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14,576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14,768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192</w:t>
            </w:r>
          </w:p>
        </w:tc>
      </w:tr>
      <w:tr>
        <w:trPr>
          <w:trHeight w:val="20"/>
        </w:trPr>
        <w:tc>
          <w:tcPr>
            <w:tcW w:w="23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920" w:type="dxa"/>
            <w:vAlign w:val="bottom"/>
            <w:tcBorders>
              <w:bottom w:val="single" w:sz="8" w:color="auto"/>
            </w:tcBorders>
            <w:gridSpan w:val="5"/>
          </w:tcPr>
          <w:p>
            <w:pPr>
              <w:ind w:left="100"/>
              <w:spacing w:after="0"/>
              <w:rPr>
                <w:sz w:val="20"/>
                <w:szCs w:val="20"/>
                <w:color w:val="auto"/>
              </w:rPr>
            </w:pPr>
            <w:r>
              <w:rPr>
                <w:rFonts w:ascii="Arial" w:cs="Arial" w:eastAsia="Arial" w:hAnsi="Arial"/>
                <w:sz w:val="14"/>
                <w:szCs w:val="14"/>
                <w:b w:val="1"/>
                <w:bCs w:val="1"/>
                <w:color w:val="auto"/>
              </w:rPr>
              <w:t>December 31, 2015</w:t>
            </w:r>
          </w:p>
        </w:tc>
        <w:tc>
          <w:tcPr>
            <w:tcW w:w="1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020" w:type="dxa"/>
            <w:vAlign w:val="bottom"/>
            <w:tcBorders>
              <w:bottom w:val="single" w:sz="8" w:color="auto"/>
            </w:tcBorders>
            <w:gridSpan w:val="5"/>
          </w:tcPr>
          <w:p>
            <w:pPr>
              <w:ind w:left="180"/>
              <w:spacing w:after="0"/>
              <w:rPr>
                <w:sz w:val="20"/>
                <w:szCs w:val="20"/>
                <w:color w:val="auto"/>
              </w:rPr>
            </w:pPr>
            <w:r>
              <w:rPr>
                <w:rFonts w:ascii="Arial" w:cs="Arial" w:eastAsia="Arial" w:hAnsi="Arial"/>
                <w:sz w:val="14"/>
                <w:szCs w:val="14"/>
                <w:b w:val="1"/>
                <w:bCs w:val="1"/>
                <w:color w:val="auto"/>
              </w:rPr>
              <w:t>December 31, 2014</w:t>
            </w: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43"/>
        </w:trPr>
        <w:tc>
          <w:tcPr>
            <w:tcW w:w="2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88"/>
              </w:rPr>
              <w:t>Notional</w:t>
            </w: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92"/>
              </w:rPr>
              <w:t>Notional</w:t>
            </w: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4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8"/>
              </w:rPr>
              <w:t>Amount - Long</w:t>
            </w:r>
          </w:p>
        </w:tc>
        <w:tc>
          <w:tcPr>
            <w:tcW w:w="200" w:type="dxa"/>
            <w:vAlign w:val="bottom"/>
          </w:tcPr>
          <w:p>
            <w:pPr>
              <w:spacing w:after="0"/>
              <w:rPr>
                <w:sz w:val="11"/>
                <w:szCs w:val="11"/>
                <w:color w:val="auto"/>
              </w:rPr>
            </w:pPr>
          </w:p>
        </w:tc>
        <w:tc>
          <w:tcPr>
            <w:tcW w:w="860" w:type="dxa"/>
            <w:vAlign w:val="bottom"/>
            <w:gridSpan w:val="2"/>
          </w:tcPr>
          <w:p>
            <w:pPr>
              <w:ind w:left="160"/>
              <w:spacing w:after="0" w:line="135" w:lineRule="exact"/>
              <w:rPr>
                <w:sz w:val="20"/>
                <w:szCs w:val="20"/>
                <w:color w:val="auto"/>
              </w:rPr>
            </w:pPr>
            <w:r>
              <w:rPr>
                <w:rFonts w:ascii="Arial" w:cs="Arial" w:eastAsia="Arial" w:hAnsi="Arial"/>
                <w:sz w:val="13"/>
                <w:szCs w:val="13"/>
                <w:b w:val="1"/>
                <w:bCs w:val="1"/>
                <w:color w:val="auto"/>
              </w:rPr>
              <w:t>Cost</w:t>
            </w:r>
          </w:p>
        </w:tc>
        <w:tc>
          <w:tcPr>
            <w:tcW w:w="180" w:type="dxa"/>
            <w:vAlign w:val="bottom"/>
          </w:tcPr>
          <w:p>
            <w:pPr>
              <w:spacing w:after="0"/>
              <w:rPr>
                <w:sz w:val="11"/>
                <w:szCs w:val="11"/>
                <w:color w:val="auto"/>
              </w:rPr>
            </w:pPr>
          </w:p>
        </w:tc>
        <w:tc>
          <w:tcPr>
            <w:tcW w:w="880" w:type="dxa"/>
            <w:vAlign w:val="bottom"/>
            <w:gridSpan w:val="2"/>
          </w:tcPr>
          <w:p>
            <w:pPr>
              <w:ind w:left="80"/>
              <w:spacing w:after="0" w:line="135" w:lineRule="exact"/>
              <w:rPr>
                <w:sz w:val="20"/>
                <w:szCs w:val="20"/>
                <w:color w:val="auto"/>
              </w:rPr>
            </w:pPr>
            <w:r>
              <w:rPr>
                <w:rFonts w:ascii="Arial" w:cs="Arial" w:eastAsia="Arial" w:hAnsi="Arial"/>
                <w:sz w:val="13"/>
                <w:szCs w:val="13"/>
                <w:b w:val="1"/>
                <w:bCs w:val="1"/>
                <w:color w:val="auto"/>
              </w:rPr>
              <w:t>Market</w:t>
            </w:r>
          </w:p>
        </w:tc>
        <w:tc>
          <w:tcPr>
            <w:tcW w:w="1000" w:type="dxa"/>
            <w:vAlign w:val="bottom"/>
            <w:gridSpan w:val="3"/>
          </w:tcPr>
          <w:p>
            <w:pPr>
              <w:ind w:left="80"/>
              <w:spacing w:after="0" w:line="135" w:lineRule="exact"/>
              <w:rPr>
                <w:sz w:val="20"/>
                <w:szCs w:val="20"/>
                <w:color w:val="auto"/>
              </w:rPr>
            </w:pPr>
            <w:r>
              <w:rPr>
                <w:rFonts w:ascii="Arial" w:cs="Arial" w:eastAsia="Arial" w:hAnsi="Arial"/>
                <w:sz w:val="13"/>
                <w:szCs w:val="13"/>
                <w:b w:val="1"/>
                <w:bCs w:val="1"/>
                <w:color w:val="auto"/>
              </w:rPr>
              <w:t>Net Carrying</w:t>
            </w:r>
          </w:p>
        </w:tc>
        <w:tc>
          <w:tcPr>
            <w:tcW w:w="140" w:type="dxa"/>
            <w:vAlign w:val="bottom"/>
          </w:tcPr>
          <w:p>
            <w:pPr>
              <w:spacing w:after="0"/>
              <w:rPr>
                <w:sz w:val="11"/>
                <w:szCs w:val="11"/>
                <w:color w:val="auto"/>
              </w:rPr>
            </w:pPr>
          </w:p>
        </w:tc>
        <w:tc>
          <w:tcPr>
            <w:tcW w:w="120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88"/>
              </w:rPr>
              <w:t>Amount - Long</w:t>
            </w:r>
          </w:p>
        </w:tc>
        <w:tc>
          <w:tcPr>
            <w:tcW w:w="220" w:type="dxa"/>
            <w:vAlign w:val="bottom"/>
          </w:tcPr>
          <w:p>
            <w:pPr>
              <w:spacing w:after="0"/>
              <w:rPr>
                <w:sz w:val="11"/>
                <w:szCs w:val="11"/>
                <w:color w:val="auto"/>
              </w:rPr>
            </w:pPr>
          </w:p>
        </w:tc>
        <w:tc>
          <w:tcPr>
            <w:tcW w:w="900" w:type="dxa"/>
            <w:vAlign w:val="bottom"/>
            <w:gridSpan w:val="2"/>
          </w:tcPr>
          <w:p>
            <w:pPr>
              <w:ind w:left="160"/>
              <w:spacing w:after="0" w:line="135" w:lineRule="exact"/>
              <w:rPr>
                <w:sz w:val="20"/>
                <w:szCs w:val="20"/>
                <w:color w:val="auto"/>
              </w:rPr>
            </w:pPr>
            <w:r>
              <w:rPr>
                <w:rFonts w:ascii="Arial" w:cs="Arial" w:eastAsia="Arial" w:hAnsi="Arial"/>
                <w:sz w:val="13"/>
                <w:szCs w:val="13"/>
                <w:b w:val="1"/>
                <w:bCs w:val="1"/>
                <w:color w:val="auto"/>
              </w:rPr>
              <w:t>Cost</w:t>
            </w:r>
          </w:p>
        </w:tc>
        <w:tc>
          <w:tcPr>
            <w:tcW w:w="200" w:type="dxa"/>
            <w:vAlign w:val="bottom"/>
          </w:tcPr>
          <w:p>
            <w:pPr>
              <w:spacing w:after="0"/>
              <w:rPr>
                <w:sz w:val="11"/>
                <w:szCs w:val="11"/>
                <w:color w:val="auto"/>
              </w:rPr>
            </w:pPr>
          </w:p>
        </w:tc>
        <w:tc>
          <w:tcPr>
            <w:tcW w:w="920" w:type="dxa"/>
            <w:vAlign w:val="bottom"/>
            <w:gridSpan w:val="2"/>
          </w:tcPr>
          <w:p>
            <w:pPr>
              <w:ind w:left="100"/>
              <w:spacing w:after="0" w:line="135" w:lineRule="exact"/>
              <w:rPr>
                <w:sz w:val="20"/>
                <w:szCs w:val="20"/>
                <w:color w:val="auto"/>
              </w:rPr>
            </w:pPr>
            <w:r>
              <w:rPr>
                <w:rFonts w:ascii="Arial" w:cs="Arial" w:eastAsia="Arial" w:hAnsi="Arial"/>
                <w:sz w:val="13"/>
                <w:szCs w:val="13"/>
                <w:b w:val="1"/>
                <w:bCs w:val="1"/>
                <w:color w:val="auto"/>
              </w:rPr>
              <w:t>Market</w:t>
            </w:r>
          </w:p>
        </w:tc>
        <w:tc>
          <w:tcPr>
            <w:tcW w:w="140" w:type="dxa"/>
            <w:vAlign w:val="bottom"/>
          </w:tcPr>
          <w:p>
            <w:pPr>
              <w:spacing w:after="0"/>
              <w:rPr>
                <w:sz w:val="11"/>
                <w:szCs w:val="11"/>
                <w:color w:val="auto"/>
              </w:rPr>
            </w:pPr>
          </w:p>
        </w:tc>
        <w:tc>
          <w:tcPr>
            <w:tcW w:w="880" w:type="dxa"/>
            <w:vAlign w:val="bottom"/>
          </w:tcPr>
          <w:p>
            <w:pPr>
              <w:jc w:val="right"/>
              <w:ind w:right="71"/>
              <w:spacing w:after="0" w:line="135" w:lineRule="exact"/>
              <w:rPr>
                <w:sz w:val="20"/>
                <w:szCs w:val="20"/>
                <w:color w:val="auto"/>
              </w:rPr>
            </w:pPr>
            <w:r>
              <w:rPr>
                <w:rFonts w:ascii="Arial" w:cs="Arial" w:eastAsia="Arial" w:hAnsi="Arial"/>
                <w:sz w:val="13"/>
                <w:szCs w:val="13"/>
                <w:b w:val="1"/>
                <w:bCs w:val="1"/>
                <w:color w:val="auto"/>
                <w:w w:val="92"/>
              </w:rPr>
              <w:t>Net Carrying</w:t>
            </w:r>
          </w:p>
        </w:tc>
        <w:tc>
          <w:tcPr>
            <w:tcW w:w="0" w:type="dxa"/>
            <w:vAlign w:val="bottom"/>
          </w:tcPr>
          <w:p>
            <w:pPr>
              <w:spacing w:after="0"/>
              <w:rPr>
                <w:sz w:val="1"/>
                <w:szCs w:val="1"/>
                <w:color w:val="auto"/>
              </w:rPr>
            </w:pPr>
          </w:p>
        </w:tc>
      </w:tr>
      <w:tr>
        <w:trPr>
          <w:trHeight w:val="174"/>
        </w:trPr>
        <w:tc>
          <w:tcPr>
            <w:tcW w:w="230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TBA Securities by Issuer</w:t>
            </w: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52"/>
              <w:spacing w:after="0"/>
              <w:rPr>
                <w:sz w:val="20"/>
                <w:szCs w:val="20"/>
                <w:color w:val="auto"/>
              </w:rPr>
            </w:pPr>
            <w:r>
              <w:rPr>
                <w:rFonts w:ascii="Arial" w:cs="Arial" w:eastAsia="Arial" w:hAnsi="Arial"/>
                <w:sz w:val="13"/>
                <w:szCs w:val="13"/>
                <w:b w:val="1"/>
                <w:bCs w:val="1"/>
                <w:color w:val="auto"/>
                <w:w w:val="90"/>
              </w:rPr>
              <w:t xml:space="preserve">(Short) </w:t>
            </w:r>
            <w:r>
              <w:rPr>
                <w:rFonts w:ascii="Arial" w:cs="Arial" w:eastAsia="Arial" w:hAnsi="Arial"/>
                <w:sz w:val="8"/>
                <w:szCs w:val="8"/>
                <w:b w:val="1"/>
                <w:bCs w:val="1"/>
                <w:color w:val="auto"/>
                <w:w w:val="90"/>
              </w:rPr>
              <w:t>1</w:t>
            </w:r>
          </w:p>
        </w:tc>
        <w:tc>
          <w:tcPr>
            <w:tcW w:w="12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ind w:left="100"/>
              <w:spacing w:after="0"/>
              <w:rPr>
                <w:sz w:val="20"/>
                <w:szCs w:val="20"/>
                <w:color w:val="auto"/>
              </w:rPr>
            </w:pPr>
            <w:r>
              <w:rPr>
                <w:rFonts w:ascii="Arial" w:cs="Arial" w:eastAsia="Arial" w:hAnsi="Arial"/>
                <w:sz w:val="13"/>
                <w:szCs w:val="13"/>
                <w:b w:val="1"/>
                <w:bCs w:val="1"/>
                <w:color w:val="auto"/>
              </w:rPr>
              <w:t xml:space="preserve">Basis </w:t>
            </w:r>
            <w:r>
              <w:rPr>
                <w:rFonts w:ascii="Arial" w:cs="Arial" w:eastAsia="Arial" w:hAnsi="Arial"/>
                <w:sz w:val="8"/>
                <w:szCs w:val="8"/>
                <w:b w:val="1"/>
                <w:bCs w:val="1"/>
                <w:color w:val="auto"/>
              </w:rPr>
              <w:t>2</w:t>
            </w:r>
          </w:p>
        </w:tc>
        <w:tc>
          <w:tcPr>
            <w:tcW w:w="12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211"/>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3</w:t>
            </w:r>
          </w:p>
        </w:tc>
        <w:tc>
          <w:tcPr>
            <w:tcW w:w="12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170"/>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4</w:t>
            </w: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center"/>
              <w:ind w:right="92"/>
              <w:spacing w:after="0"/>
              <w:rPr>
                <w:sz w:val="20"/>
                <w:szCs w:val="20"/>
                <w:color w:val="auto"/>
              </w:rPr>
            </w:pPr>
            <w:r>
              <w:rPr>
                <w:rFonts w:ascii="Arial" w:cs="Arial" w:eastAsia="Arial" w:hAnsi="Arial"/>
                <w:sz w:val="13"/>
                <w:szCs w:val="13"/>
                <w:b w:val="1"/>
                <w:bCs w:val="1"/>
                <w:color w:val="auto"/>
                <w:w w:val="90"/>
              </w:rPr>
              <w:t xml:space="preserve">(Short) </w:t>
            </w:r>
            <w:r>
              <w:rPr>
                <w:rFonts w:ascii="Arial" w:cs="Arial" w:eastAsia="Arial" w:hAnsi="Arial"/>
                <w:sz w:val="8"/>
                <w:szCs w:val="8"/>
                <w:b w:val="1"/>
                <w:bCs w:val="1"/>
                <w:color w:val="auto"/>
                <w:w w:val="90"/>
              </w:rPr>
              <w:t>1</w:t>
            </w:r>
          </w:p>
        </w:tc>
        <w:tc>
          <w:tcPr>
            <w:tcW w:w="1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ind w:right="271"/>
              <w:spacing w:after="0"/>
              <w:rPr>
                <w:sz w:val="20"/>
                <w:szCs w:val="20"/>
                <w:color w:val="auto"/>
              </w:rPr>
            </w:pPr>
            <w:r>
              <w:rPr>
                <w:rFonts w:ascii="Arial" w:cs="Arial" w:eastAsia="Arial" w:hAnsi="Arial"/>
                <w:sz w:val="13"/>
                <w:szCs w:val="13"/>
                <w:b w:val="1"/>
                <w:bCs w:val="1"/>
                <w:color w:val="auto"/>
              </w:rPr>
              <w:t xml:space="preserve">Basis </w:t>
            </w:r>
            <w:r>
              <w:rPr>
                <w:rFonts w:ascii="Arial" w:cs="Arial" w:eastAsia="Arial" w:hAnsi="Arial"/>
                <w:sz w:val="8"/>
                <w:szCs w:val="8"/>
                <w:b w:val="1"/>
                <w:bCs w:val="1"/>
                <w:color w:val="auto"/>
              </w:rPr>
              <w:t>2</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251"/>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3</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251"/>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4</w:t>
            </w:r>
          </w:p>
        </w:tc>
        <w:tc>
          <w:tcPr>
            <w:tcW w:w="0" w:type="dxa"/>
            <w:vAlign w:val="bottom"/>
          </w:tcPr>
          <w:p>
            <w:pPr>
              <w:spacing w:after="0"/>
              <w:rPr>
                <w:sz w:val="1"/>
                <w:szCs w:val="1"/>
                <w:color w:val="auto"/>
              </w:rPr>
            </w:pPr>
          </w:p>
        </w:tc>
      </w:tr>
      <w:tr>
        <w:trPr>
          <w:trHeight w:val="257"/>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Fannie Mae</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6,033</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6,145</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6,159</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14</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15,127</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31"/>
              <w:spacing w:after="0"/>
              <w:rPr>
                <w:sz w:val="20"/>
                <w:szCs w:val="20"/>
                <w:color w:val="auto"/>
              </w:rPr>
            </w:pPr>
            <w:r>
              <w:rPr>
                <w:rFonts w:ascii="Arial" w:cs="Arial" w:eastAsia="Arial" w:hAnsi="Arial"/>
                <w:sz w:val="14"/>
                <w:szCs w:val="14"/>
                <w:color w:val="auto"/>
              </w:rPr>
              <w:t>15,316</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31"/>
              <w:spacing w:after="0"/>
              <w:rPr>
                <w:sz w:val="20"/>
                <w:szCs w:val="20"/>
                <w:color w:val="auto"/>
              </w:rPr>
            </w:pPr>
            <w:r>
              <w:rPr>
                <w:rFonts w:ascii="Arial" w:cs="Arial" w:eastAsia="Arial" w:hAnsi="Arial"/>
                <w:sz w:val="14"/>
                <w:szCs w:val="14"/>
                <w:color w:val="auto"/>
              </w:rPr>
              <w:t>15,509</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31"/>
              <w:spacing w:after="0"/>
              <w:rPr>
                <w:sz w:val="20"/>
                <w:szCs w:val="20"/>
                <w:color w:val="auto"/>
              </w:rPr>
            </w:pPr>
            <w:r>
              <w:rPr>
                <w:rFonts w:ascii="Arial" w:cs="Arial" w:eastAsia="Arial" w:hAnsi="Arial"/>
                <w:sz w:val="14"/>
                <w:szCs w:val="14"/>
                <w:color w:val="auto"/>
              </w:rPr>
              <w:t>193</w:t>
            </w:r>
          </w:p>
        </w:tc>
        <w:tc>
          <w:tcPr>
            <w:tcW w:w="0" w:type="dxa"/>
            <w:vAlign w:val="bottom"/>
          </w:tcPr>
          <w:p>
            <w:pPr>
              <w:spacing w:after="0"/>
              <w:rPr>
                <w:sz w:val="1"/>
                <w:szCs w:val="1"/>
                <w:color w:val="auto"/>
              </w:rPr>
            </w:pPr>
          </w:p>
        </w:tc>
      </w:tr>
      <w:tr>
        <w:trPr>
          <w:trHeight w:val="264"/>
        </w:trPr>
        <w:tc>
          <w:tcPr>
            <w:tcW w:w="2420" w:type="dxa"/>
            <w:vAlign w:val="bottom"/>
            <w:gridSpan w:val="2"/>
          </w:tcPr>
          <w:p>
            <w:pPr>
              <w:ind w:left="40"/>
              <w:spacing w:after="0"/>
              <w:rPr>
                <w:sz w:val="20"/>
                <w:szCs w:val="20"/>
                <w:color w:val="auto"/>
              </w:rPr>
            </w:pPr>
            <w:r>
              <w:rPr>
                <w:rFonts w:ascii="Arial" w:cs="Arial" w:eastAsia="Arial" w:hAnsi="Arial"/>
                <w:sz w:val="16"/>
                <w:szCs w:val="16"/>
                <w:color w:val="auto"/>
              </w:rPr>
              <w:t>Freddie Mac</w:t>
            </w:r>
          </w:p>
        </w:tc>
        <w:tc>
          <w:tcPr>
            <w:tcW w:w="140" w:type="dxa"/>
            <w:vAlign w:val="bottom"/>
          </w:tcPr>
          <w:p>
            <w:pPr>
              <w:spacing w:after="0"/>
              <w:rPr>
                <w:sz w:val="22"/>
                <w:szCs w:val="22"/>
                <w:color w:val="auto"/>
              </w:rPr>
            </w:pPr>
          </w:p>
        </w:tc>
        <w:tc>
          <w:tcPr>
            <w:tcW w:w="1020" w:type="dxa"/>
            <w:vAlign w:val="bottom"/>
          </w:tcPr>
          <w:p>
            <w:pPr>
              <w:jc w:val="right"/>
              <w:ind w:right="52"/>
              <w:spacing w:after="0"/>
              <w:rPr>
                <w:sz w:val="20"/>
                <w:szCs w:val="20"/>
                <w:color w:val="auto"/>
              </w:rPr>
            </w:pPr>
            <w:r>
              <w:rPr>
                <w:rFonts w:ascii="Arial" w:cs="Arial" w:eastAsia="Arial" w:hAnsi="Arial"/>
                <w:sz w:val="14"/>
                <w:szCs w:val="14"/>
                <w:color w:val="auto"/>
              </w:rPr>
              <w:t>689</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jc w:val="right"/>
              <w:ind w:right="51"/>
              <w:spacing w:after="0"/>
              <w:rPr>
                <w:sz w:val="20"/>
                <w:szCs w:val="20"/>
                <w:color w:val="auto"/>
              </w:rPr>
            </w:pPr>
            <w:r>
              <w:rPr>
                <w:rFonts w:ascii="Arial" w:cs="Arial" w:eastAsia="Arial" w:hAnsi="Arial"/>
                <w:sz w:val="14"/>
                <w:szCs w:val="14"/>
                <w:color w:val="auto"/>
              </w:rPr>
              <w:t>703</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60" w:type="dxa"/>
            <w:vAlign w:val="bottom"/>
          </w:tcPr>
          <w:p>
            <w:pPr>
              <w:jc w:val="right"/>
              <w:ind w:right="51"/>
              <w:spacing w:after="0"/>
              <w:rPr>
                <w:sz w:val="20"/>
                <w:szCs w:val="20"/>
                <w:color w:val="auto"/>
              </w:rPr>
            </w:pPr>
            <w:r>
              <w:rPr>
                <w:rFonts w:ascii="Arial" w:cs="Arial" w:eastAsia="Arial" w:hAnsi="Arial"/>
                <w:sz w:val="14"/>
                <w:szCs w:val="14"/>
                <w:color w:val="auto"/>
              </w:rPr>
              <w:t>703</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(715)</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(740)</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(741)</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76"/>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Ginnie Mae</w:t>
            </w: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573</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582</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582</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31"/>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30"/>
        </w:trPr>
        <w:tc>
          <w:tcPr>
            <w:tcW w:w="2420" w:type="dxa"/>
            <w:vAlign w:val="bottom"/>
            <w:gridSpan w:val="2"/>
          </w:tcPr>
          <w:p>
            <w:pPr>
              <w:ind w:left="40"/>
              <w:spacing w:after="0"/>
              <w:rPr>
                <w:sz w:val="20"/>
                <w:szCs w:val="20"/>
                <w:color w:val="auto"/>
              </w:rPr>
            </w:pPr>
            <w:r>
              <w:rPr>
                <w:rFonts w:ascii="Arial" w:cs="Arial" w:eastAsia="Arial" w:hAnsi="Arial"/>
                <w:sz w:val="16"/>
                <w:szCs w:val="16"/>
                <w:color w:val="auto"/>
              </w:rPr>
              <w:t>TBA securities, net</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tcPr>
          <w:p>
            <w:pPr>
              <w:jc w:val="right"/>
              <w:ind w:right="52"/>
              <w:spacing w:after="0"/>
              <w:rPr>
                <w:sz w:val="20"/>
                <w:szCs w:val="20"/>
                <w:color w:val="auto"/>
              </w:rPr>
            </w:pPr>
            <w:r>
              <w:rPr>
                <w:rFonts w:ascii="Arial" w:cs="Arial" w:eastAsia="Arial" w:hAnsi="Arial"/>
                <w:sz w:val="14"/>
                <w:szCs w:val="14"/>
                <w:color w:val="auto"/>
              </w:rPr>
              <w:t>7,295</w:t>
            </w:r>
          </w:p>
        </w:tc>
        <w:tc>
          <w:tcPr>
            <w:tcW w:w="120" w:type="dxa"/>
            <w:vAlign w:val="bottom"/>
          </w:tcPr>
          <w:p>
            <w:pPr>
              <w:spacing w:after="0"/>
              <w:rPr>
                <w:sz w:val="20"/>
                <w:szCs w:val="20"/>
                <w:color w:val="auto"/>
              </w:rPr>
            </w:pPr>
          </w:p>
        </w:tc>
        <w:tc>
          <w:tcPr>
            <w:tcW w:w="2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bottom w:val="single" w:sz="8" w:color="auto"/>
            </w:tcBorders>
          </w:tcPr>
          <w:p>
            <w:pPr>
              <w:jc w:val="right"/>
              <w:ind w:right="51"/>
              <w:spacing w:after="0"/>
              <w:rPr>
                <w:sz w:val="20"/>
                <w:szCs w:val="20"/>
                <w:color w:val="auto"/>
              </w:rPr>
            </w:pPr>
            <w:r>
              <w:rPr>
                <w:rFonts w:ascii="Arial" w:cs="Arial" w:eastAsia="Arial" w:hAnsi="Arial"/>
                <w:sz w:val="14"/>
                <w:szCs w:val="14"/>
                <w:color w:val="auto"/>
              </w:rPr>
              <w:t>7,430</w:t>
            </w:r>
          </w:p>
        </w:tc>
        <w:tc>
          <w:tcPr>
            <w:tcW w:w="120" w:type="dxa"/>
            <w:vAlign w:val="bottom"/>
          </w:tcPr>
          <w:p>
            <w:pPr>
              <w:spacing w:after="0"/>
              <w:rPr>
                <w:sz w:val="20"/>
                <w:szCs w:val="20"/>
                <w:color w:val="auto"/>
              </w:rPr>
            </w:pPr>
          </w:p>
        </w:tc>
        <w:tc>
          <w:tcPr>
            <w:tcW w:w="18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bottom w:val="single" w:sz="8" w:color="auto"/>
            </w:tcBorders>
          </w:tcPr>
          <w:p>
            <w:pPr>
              <w:jc w:val="right"/>
              <w:ind w:right="51"/>
              <w:spacing w:after="0"/>
              <w:rPr>
                <w:sz w:val="20"/>
                <w:szCs w:val="20"/>
                <w:color w:val="auto"/>
              </w:rPr>
            </w:pPr>
            <w:r>
              <w:rPr>
                <w:rFonts w:ascii="Arial" w:cs="Arial" w:eastAsia="Arial" w:hAnsi="Arial"/>
                <w:sz w:val="14"/>
                <w:szCs w:val="14"/>
                <w:color w:val="auto"/>
              </w:rPr>
              <w:t>7,444</w:t>
            </w:r>
          </w:p>
        </w:tc>
        <w:tc>
          <w:tcPr>
            <w:tcW w:w="120" w:type="dxa"/>
            <w:vAlign w:val="bottom"/>
          </w:tcPr>
          <w:p>
            <w:pPr>
              <w:spacing w:after="0"/>
              <w:rPr>
                <w:sz w:val="20"/>
                <w:szCs w:val="20"/>
                <w:color w:val="auto"/>
              </w:rPr>
            </w:pPr>
          </w:p>
        </w:tc>
        <w:tc>
          <w:tcPr>
            <w:tcW w:w="18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4"/>
                <w:szCs w:val="14"/>
                <w:color w:val="auto"/>
              </w:rPr>
              <w:t>$</w:t>
            </w:r>
          </w:p>
        </w:tc>
        <w:tc>
          <w:tcPr>
            <w:tcW w:w="70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4"/>
                <w:szCs w:val="14"/>
                <w:color w:val="auto"/>
              </w:rPr>
              <w:t>14</w:t>
            </w:r>
          </w:p>
        </w:tc>
        <w:tc>
          <w:tcPr>
            <w:tcW w:w="120" w:type="dxa"/>
            <w:vAlign w:val="bottom"/>
          </w:tcPr>
          <w:p>
            <w:pPr>
              <w:spacing w:after="0"/>
              <w:rPr>
                <w:sz w:val="20"/>
                <w:szCs w:val="20"/>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tcPr>
          <w:p>
            <w:pPr>
              <w:jc w:val="right"/>
              <w:ind w:right="52"/>
              <w:spacing w:after="0"/>
              <w:rPr>
                <w:sz w:val="20"/>
                <w:szCs w:val="20"/>
                <w:color w:val="auto"/>
              </w:rPr>
            </w:pPr>
            <w:r>
              <w:rPr>
                <w:rFonts w:ascii="Arial" w:cs="Arial" w:eastAsia="Arial" w:hAnsi="Arial"/>
                <w:sz w:val="14"/>
                <w:szCs w:val="14"/>
                <w:color w:val="auto"/>
              </w:rPr>
              <w:t>14,412</w:t>
            </w:r>
          </w:p>
        </w:tc>
        <w:tc>
          <w:tcPr>
            <w:tcW w:w="100" w:type="dxa"/>
            <w:vAlign w:val="bottom"/>
          </w:tcPr>
          <w:p>
            <w:pPr>
              <w:spacing w:after="0"/>
              <w:rPr>
                <w:sz w:val="20"/>
                <w:szCs w:val="20"/>
                <w:color w:val="auto"/>
              </w:rPr>
            </w:pPr>
          </w:p>
        </w:tc>
        <w:tc>
          <w:tcPr>
            <w:tcW w:w="22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4"/>
                <w:szCs w:val="14"/>
                <w:color w:val="auto"/>
              </w:rPr>
              <w:t>14,576</w:t>
            </w:r>
          </w:p>
        </w:tc>
        <w:tc>
          <w:tcPr>
            <w:tcW w:w="100" w:type="dxa"/>
            <w:vAlign w:val="bottom"/>
          </w:tcPr>
          <w:p>
            <w:pPr>
              <w:spacing w:after="0"/>
              <w:rPr>
                <w:sz w:val="20"/>
                <w:szCs w:val="20"/>
                <w:color w:val="auto"/>
              </w:rPr>
            </w:pPr>
          </w:p>
        </w:tc>
        <w:tc>
          <w:tcPr>
            <w:tcW w:w="2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4"/>
                <w:szCs w:val="14"/>
                <w:color w:val="auto"/>
              </w:rPr>
              <w:t>14,768</w:t>
            </w:r>
          </w:p>
        </w:tc>
        <w:tc>
          <w:tcPr>
            <w:tcW w:w="100" w:type="dxa"/>
            <w:vAlign w:val="bottom"/>
          </w:tcPr>
          <w:p>
            <w:pPr>
              <w:spacing w:after="0"/>
              <w:rPr>
                <w:sz w:val="20"/>
                <w:szCs w:val="20"/>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4"/>
                <w:szCs w:val="14"/>
                <w:color w:val="auto"/>
              </w:rPr>
              <w:t>192</w:t>
            </w:r>
          </w:p>
        </w:tc>
        <w:tc>
          <w:tcPr>
            <w:tcW w:w="0" w:type="dxa"/>
            <w:vAlign w:val="bottom"/>
          </w:tcPr>
          <w:p>
            <w:pPr>
              <w:spacing w:after="0"/>
              <w:rPr>
                <w:sz w:val="1"/>
                <w:szCs w:val="1"/>
                <w:color w:val="auto"/>
              </w:rPr>
            </w:pPr>
          </w:p>
        </w:tc>
      </w:tr>
      <w:tr>
        <w:trPr>
          <w:trHeight w:val="20"/>
        </w:trPr>
        <w:tc>
          <w:tcPr>
            <w:tcW w:w="2300" w:type="dxa"/>
            <w:vAlign w:val="bottom"/>
            <w:vMerge w:val="restart"/>
          </w:tcPr>
          <w:p>
            <w:pPr>
              <w:spacing w:after="0"/>
              <w:rPr>
                <w:sz w:val="20"/>
                <w:szCs w:val="20"/>
                <w:color w:val="auto"/>
              </w:rPr>
            </w:pPr>
            <w:r>
              <w:rPr>
                <w:rFonts w:ascii="Arial" w:cs="Arial" w:eastAsia="Arial" w:hAnsi="Arial"/>
                <w:sz w:val="18"/>
                <w:szCs w:val="18"/>
                <w:color w:val="auto"/>
              </w:rPr>
              <w:t>_____________________</w:t>
            </w:r>
          </w:p>
        </w:tc>
        <w:tc>
          <w:tcPr>
            <w:tcW w:w="120" w:type="dxa"/>
            <w:vAlign w:val="bottom"/>
            <w:vMerge w:val="restart"/>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300" w:type="dxa"/>
            <w:vAlign w:val="bottom"/>
            <w:vMerge w:val="continue"/>
          </w:tcPr>
          <w:p>
            <w:pPr>
              <w:spacing w:after="0"/>
              <w:rPr>
                <w:sz w:val="17"/>
                <w:szCs w:val="17"/>
                <w:color w:val="auto"/>
              </w:rPr>
            </w:pPr>
          </w:p>
        </w:tc>
        <w:tc>
          <w:tcPr>
            <w:tcW w:w="120" w:type="dxa"/>
            <w:vAlign w:val="bottom"/>
            <w:vMerge w:val="continue"/>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56"/>
        </w:numPr>
        <w:rPr>
          <w:rFonts w:ascii="Arial" w:cs="Arial" w:eastAsia="Arial" w:hAnsi="Arial"/>
          <w:sz w:val="14"/>
          <w:szCs w:val="14"/>
          <w:color w:val="auto"/>
        </w:rPr>
      </w:pPr>
      <w:r>
        <w:rPr>
          <w:rFonts w:ascii="Arial" w:cs="Arial" w:eastAsia="Arial" w:hAnsi="Arial"/>
          <w:sz w:val="14"/>
          <w:szCs w:val="14"/>
          <w:color w:val="auto"/>
        </w:rPr>
        <w:t>Notional amount represents the par value (or principal balance) of the underlying agency security.</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56"/>
        </w:numPr>
        <w:rPr>
          <w:rFonts w:ascii="Arial" w:cs="Arial" w:eastAsia="Arial" w:hAnsi="Arial"/>
          <w:sz w:val="14"/>
          <w:szCs w:val="14"/>
          <w:color w:val="auto"/>
        </w:rPr>
      </w:pPr>
      <w:r>
        <w:rPr>
          <w:rFonts w:ascii="Arial" w:cs="Arial" w:eastAsia="Arial" w:hAnsi="Arial"/>
          <w:sz w:val="14"/>
          <w:szCs w:val="14"/>
          <w:color w:val="auto"/>
        </w:rPr>
        <w:t>Cost basis represents the forward price to be paid / (received) for the underlying agency security.</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56"/>
        </w:numPr>
        <w:rPr>
          <w:rFonts w:ascii="Arial" w:cs="Arial" w:eastAsia="Arial" w:hAnsi="Arial"/>
          <w:sz w:val="14"/>
          <w:szCs w:val="14"/>
          <w:color w:val="auto"/>
        </w:rPr>
      </w:pPr>
      <w:r>
        <w:rPr>
          <w:rFonts w:ascii="Arial" w:cs="Arial" w:eastAsia="Arial" w:hAnsi="Arial"/>
          <w:sz w:val="14"/>
          <w:szCs w:val="14"/>
          <w:color w:val="auto"/>
        </w:rPr>
        <w:t>Market value represents the current market value of the TBA contract (or of the underlying agency security) as of period-end.</w:t>
      </w:r>
    </w:p>
    <w:p>
      <w:pPr>
        <w:spacing w:after="0" w:line="1" w:lineRule="exact"/>
        <w:rPr>
          <w:rFonts w:ascii="Arial" w:cs="Arial" w:eastAsia="Arial" w:hAnsi="Arial"/>
          <w:sz w:val="14"/>
          <w:szCs w:val="14"/>
          <w:color w:val="auto"/>
        </w:rPr>
      </w:pPr>
    </w:p>
    <w:p>
      <w:pPr>
        <w:ind w:left="660" w:hanging="328"/>
        <w:spacing w:after="0" w:line="255" w:lineRule="auto"/>
        <w:tabs>
          <w:tab w:leader="none" w:pos="660" w:val="left"/>
        </w:tabs>
        <w:numPr>
          <w:ilvl w:val="0"/>
          <w:numId w:val="56"/>
        </w:numPr>
        <w:rPr>
          <w:rFonts w:ascii="Arial" w:cs="Arial" w:eastAsia="Arial" w:hAnsi="Arial"/>
          <w:sz w:val="14"/>
          <w:szCs w:val="14"/>
          <w:color w:val="auto"/>
        </w:rPr>
      </w:pPr>
      <w:r>
        <w:rPr>
          <w:rFonts w:ascii="Arial" w:cs="Arial" w:eastAsia="Arial" w:hAnsi="Arial"/>
          <w:sz w:val="14"/>
          <w:szCs w:val="14"/>
          <w:color w:val="auto"/>
        </w:rPr>
        <w:t>Net carrying value represents the difference between the market value and the cost basis of the TBA contract as of period-end and is reported in derivative assets / (liabilities), at fair value in our consolidated balance sheets.</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93</w:t>
      </w:r>
    </w:p>
    <w:p>
      <w:pPr>
        <w:sectPr>
          <w:pgSz w:w="11900" w:h="16838" w:orient="portrait"/>
          <w:cols w:equalWidth="0" w:num="1">
            <w:col w:w="11420"/>
          </w:cols>
          <w:pgMar w:left="240" w:top="908" w:right="239" w:bottom="1440" w:gutter="0" w:footer="0" w:header="0"/>
        </w:sectPr>
      </w:pPr>
    </w:p>
    <w:bookmarkStart w:id="94" w:name="page95"/>
    <w:bookmarkEnd w:id="94"/>
    <w:p>
      <w:pPr>
        <w:spacing w:after="0"/>
        <w:rPr>
          <w:sz w:val="20"/>
          <w:szCs w:val="20"/>
          <w:color w:val="auto"/>
        </w:rPr>
      </w:pPr>
      <w:r>
        <w:rPr>
          <w:rFonts w:ascii="Arial" w:cs="Arial" w:eastAsia="Arial" w:hAnsi="Arial"/>
          <w:sz w:val="18"/>
          <w:szCs w:val="18"/>
          <w:b w:val="1"/>
          <w:bCs w:val="1"/>
          <w:i w:val="1"/>
          <w:iCs w:val="1"/>
          <w:color w:val="auto"/>
        </w:rPr>
        <w:t>Gain (Loss) From Derivative Instruments and Other Securities, Net</w:t>
      </w:r>
    </w:p>
    <w:p>
      <w:pPr>
        <w:spacing w:after="0" w:line="171" w:lineRule="exact"/>
        <w:rPr>
          <w:sz w:val="20"/>
          <w:szCs w:val="20"/>
          <w:color w:val="auto"/>
        </w:rPr>
      </w:pPr>
    </w:p>
    <w:p>
      <w:pPr>
        <w:ind w:right="20" w:firstLine="405"/>
        <w:spacing w:after="0" w:line="277" w:lineRule="auto"/>
        <w:rPr>
          <w:sz w:val="20"/>
          <w:szCs w:val="20"/>
          <w:color w:val="auto"/>
        </w:rPr>
      </w:pPr>
      <w:r>
        <w:rPr>
          <w:rFonts w:ascii="Arial" w:cs="Arial" w:eastAsia="Arial" w:hAnsi="Arial"/>
          <w:sz w:val="18"/>
          <w:szCs w:val="18"/>
          <w:color w:val="auto"/>
        </w:rPr>
        <w:t>The tables below summarize changes in our derivative and other hedge portfolio and their effect on our consolidated statements of comprehensive income for fiscal years 2015, 2014 and 2013 (in millions):</w:t>
      </w:r>
    </w:p>
    <w:p>
      <w:pPr>
        <w:spacing w:after="0" w:line="338" w:lineRule="exact"/>
        <w:rPr>
          <w:sz w:val="20"/>
          <w:szCs w:val="20"/>
          <w:color w:val="auto"/>
        </w:rPr>
      </w:pPr>
    </w:p>
    <w:tbl>
      <w:tblPr>
        <w:tblLayout w:type="fixed"/>
        <w:tblInd w:w="60" w:type="dxa"/>
        <w:tblCellMar>
          <w:top w:w="0" w:type="dxa"/>
          <w:left w:w="0" w:type="dxa"/>
          <w:bottom w:w="0" w:type="dxa"/>
          <w:right w:w="0" w:type="dxa"/>
        </w:tblCellMar>
      </w:tblPr>
      <w:tr>
        <w:trPr>
          <w:trHeight w:val="192"/>
        </w:trPr>
        <w:tc>
          <w:tcPr>
            <w:tcW w:w="4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2"/>
          </w:tcPr>
          <w:p>
            <w:pPr>
              <w:ind w:left="260"/>
              <w:spacing w:after="0"/>
              <w:rPr>
                <w:sz w:val="20"/>
                <w:szCs w:val="20"/>
                <w:color w:val="auto"/>
              </w:rPr>
            </w:pPr>
            <w:r>
              <w:rPr>
                <w:rFonts w:ascii="Arial" w:cs="Arial" w:eastAsia="Arial" w:hAnsi="Arial"/>
                <w:sz w:val="14"/>
                <w:szCs w:val="14"/>
                <w:b w:val="1"/>
                <w:bCs w:val="1"/>
                <w:color w:val="auto"/>
              </w:rPr>
              <w:t>Fiscal year 2015</w:t>
            </w:r>
          </w:p>
        </w:tc>
        <w:tc>
          <w:tcPr>
            <w:tcW w:w="1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80" w:type="dxa"/>
            <w:vAlign w:val="bottom"/>
            <w:gridSpan w:val="3"/>
            <w:vMerge w:val="restart"/>
          </w:tcPr>
          <w:p>
            <w:pPr>
              <w:ind w:left="60"/>
              <w:spacing w:after="0"/>
              <w:rPr>
                <w:sz w:val="20"/>
                <w:szCs w:val="20"/>
                <w:color w:val="auto"/>
              </w:rPr>
            </w:pPr>
            <w:r>
              <w:rPr>
                <w:rFonts w:ascii="Arial" w:cs="Arial" w:eastAsia="Arial" w:hAnsi="Arial"/>
                <w:sz w:val="14"/>
                <w:szCs w:val="14"/>
                <w:b w:val="1"/>
                <w:bCs w:val="1"/>
                <w:color w:val="auto"/>
              </w:rPr>
              <w:t>Notional Amount</w:t>
            </w:r>
          </w:p>
        </w:tc>
        <w:tc>
          <w:tcPr>
            <w:tcW w:w="1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6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0"/>
              </w:rPr>
              <w:t>Settlement,</w:t>
            </w:r>
          </w:p>
        </w:tc>
        <w:tc>
          <w:tcPr>
            <w:tcW w:w="1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tcPr>
          <w:p>
            <w:pPr>
              <w:jc w:val="center"/>
              <w:ind w:right="62"/>
              <w:spacing w:after="0" w:line="153" w:lineRule="exact"/>
              <w:rPr>
                <w:sz w:val="20"/>
                <w:szCs w:val="20"/>
                <w:color w:val="auto"/>
              </w:rPr>
            </w:pPr>
            <w:r>
              <w:rPr>
                <w:rFonts w:ascii="Arial" w:cs="Arial" w:eastAsia="Arial" w:hAnsi="Arial"/>
                <w:sz w:val="14"/>
                <w:szCs w:val="14"/>
                <w:b w:val="1"/>
                <w:bCs w:val="1"/>
                <w:color w:val="auto"/>
                <w:w w:val="94"/>
              </w:rPr>
              <w:t>Amount of</w:t>
            </w:r>
          </w:p>
        </w:tc>
        <w:tc>
          <w:tcPr>
            <w:tcW w:w="0" w:type="dxa"/>
            <w:vAlign w:val="bottom"/>
          </w:tcPr>
          <w:p>
            <w:pPr>
              <w:spacing w:after="0"/>
              <w:rPr>
                <w:sz w:val="1"/>
                <w:szCs w:val="1"/>
                <w:color w:val="auto"/>
              </w:rPr>
            </w:pPr>
          </w:p>
        </w:tc>
      </w:tr>
      <w:tr>
        <w:trPr>
          <w:trHeight w:val="149"/>
        </w:trPr>
        <w:tc>
          <w:tcPr>
            <w:tcW w:w="4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gridSpan w:val="3"/>
            <w:vMerge w:val="continue"/>
          </w:tcPr>
          <w:p>
            <w:pPr>
              <w:spacing w:after="0"/>
              <w:rPr>
                <w:sz w:val="12"/>
                <w:szCs w:val="12"/>
                <w:color w:val="auto"/>
              </w:rPr>
            </w:pPr>
          </w:p>
        </w:tc>
        <w:tc>
          <w:tcPr>
            <w:tcW w:w="1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1460" w:type="dxa"/>
            <w:vAlign w:val="bottom"/>
            <w:gridSpan w:val="4"/>
            <w:vMerge w:val="restart"/>
          </w:tcPr>
          <w:p>
            <w:pPr>
              <w:jc w:val="center"/>
              <w:ind w:right="240"/>
              <w:spacing w:after="0"/>
              <w:rPr>
                <w:sz w:val="20"/>
                <w:szCs w:val="20"/>
                <w:color w:val="auto"/>
              </w:rPr>
            </w:pPr>
            <w:r>
              <w:rPr>
                <w:rFonts w:ascii="Arial" w:cs="Arial" w:eastAsia="Arial" w:hAnsi="Arial"/>
                <w:sz w:val="14"/>
                <w:szCs w:val="14"/>
                <w:b w:val="1"/>
                <w:bCs w:val="1"/>
                <w:color w:val="auto"/>
                <w:w w:val="93"/>
              </w:rPr>
              <w:t>Notional Amount</w:t>
            </w:r>
          </w:p>
        </w:tc>
        <w:tc>
          <w:tcPr>
            <w:tcW w:w="140" w:type="dxa"/>
            <w:vAlign w:val="bottom"/>
          </w:tcPr>
          <w:p>
            <w:pPr>
              <w:spacing w:after="0"/>
              <w:rPr>
                <w:sz w:val="12"/>
                <w:szCs w:val="12"/>
                <w:color w:val="auto"/>
              </w:rPr>
            </w:pPr>
          </w:p>
        </w:tc>
        <w:tc>
          <w:tcPr>
            <w:tcW w:w="1080" w:type="dxa"/>
            <w:vAlign w:val="bottom"/>
          </w:tcPr>
          <w:p>
            <w:pPr>
              <w:jc w:val="center"/>
              <w:ind w:right="82"/>
              <w:spacing w:after="0" w:line="149" w:lineRule="exact"/>
              <w:rPr>
                <w:sz w:val="20"/>
                <w:szCs w:val="20"/>
                <w:color w:val="auto"/>
              </w:rPr>
            </w:pPr>
            <w:r>
              <w:rPr>
                <w:rFonts w:ascii="Arial" w:cs="Arial" w:eastAsia="Arial" w:hAnsi="Arial"/>
                <w:sz w:val="14"/>
                <w:szCs w:val="14"/>
                <w:b w:val="1"/>
                <w:bCs w:val="1"/>
                <w:color w:val="auto"/>
                <w:w w:val="93"/>
              </w:rPr>
              <w:t>Gain/(Loss)</w:t>
            </w:r>
          </w:p>
        </w:tc>
        <w:tc>
          <w:tcPr>
            <w:tcW w:w="0" w:type="dxa"/>
            <w:vAlign w:val="bottom"/>
          </w:tcPr>
          <w:p>
            <w:pPr>
              <w:spacing w:after="0"/>
              <w:rPr>
                <w:sz w:val="1"/>
                <w:szCs w:val="1"/>
                <w:color w:val="auto"/>
              </w:rPr>
            </w:pPr>
          </w:p>
        </w:tc>
      </w:tr>
      <w:tr>
        <w:trPr>
          <w:trHeight w:val="149"/>
        </w:trPr>
        <w:tc>
          <w:tcPr>
            <w:tcW w:w="4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5"/>
              </w:rPr>
              <w:t>Long/(Short)</w:t>
            </w:r>
          </w:p>
        </w:tc>
        <w:tc>
          <w:tcPr>
            <w:tcW w:w="1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Termination,</w:t>
            </w:r>
          </w:p>
        </w:tc>
        <w:tc>
          <w:tcPr>
            <w:tcW w:w="1460" w:type="dxa"/>
            <w:vAlign w:val="bottom"/>
            <w:gridSpan w:val="4"/>
            <w:vMerge w:val="continue"/>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tcPr>
          <w:p>
            <w:pPr>
              <w:jc w:val="center"/>
              <w:ind w:right="62"/>
              <w:spacing w:after="0" w:line="149" w:lineRule="exact"/>
              <w:rPr>
                <w:sz w:val="20"/>
                <w:szCs w:val="20"/>
                <w:color w:val="auto"/>
              </w:rPr>
            </w:pPr>
            <w:r>
              <w:rPr>
                <w:rFonts w:ascii="Arial" w:cs="Arial" w:eastAsia="Arial" w:hAnsi="Arial"/>
                <w:sz w:val="14"/>
                <w:szCs w:val="14"/>
                <w:b w:val="1"/>
                <w:bCs w:val="1"/>
                <w:color w:val="auto"/>
                <w:w w:val="90"/>
              </w:rPr>
              <w:t>Recognized in</w:t>
            </w:r>
          </w:p>
        </w:tc>
        <w:tc>
          <w:tcPr>
            <w:tcW w:w="0" w:type="dxa"/>
            <w:vAlign w:val="bottom"/>
          </w:tcPr>
          <w:p>
            <w:pPr>
              <w:spacing w:after="0"/>
              <w:rPr>
                <w:sz w:val="1"/>
                <w:szCs w:val="1"/>
                <w:color w:val="auto"/>
              </w:rPr>
            </w:pPr>
          </w:p>
        </w:tc>
      </w:tr>
      <w:tr>
        <w:trPr>
          <w:trHeight w:val="149"/>
        </w:trPr>
        <w:tc>
          <w:tcPr>
            <w:tcW w:w="46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Derivative and Other Hedging Instruments</w:t>
            </w:r>
          </w:p>
        </w:tc>
        <w:tc>
          <w:tcPr>
            <w:tcW w:w="120" w:type="dxa"/>
            <w:vAlign w:val="bottom"/>
            <w:vMerge w:val="restart"/>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December 31,</w:t>
            </w:r>
          </w:p>
        </w:tc>
        <w:tc>
          <w:tcPr>
            <w:tcW w:w="1160" w:type="dxa"/>
            <w:vAlign w:val="bottom"/>
            <w:vMerge w:val="restart"/>
          </w:tcPr>
          <w:p>
            <w:pPr>
              <w:jc w:val="right"/>
              <w:ind w:right="200"/>
              <w:spacing w:after="0"/>
              <w:rPr>
                <w:sz w:val="20"/>
                <w:szCs w:val="20"/>
                <w:color w:val="auto"/>
              </w:rPr>
            </w:pPr>
            <w:r>
              <w:rPr>
                <w:rFonts w:ascii="Arial" w:cs="Arial" w:eastAsia="Arial" w:hAnsi="Arial"/>
                <w:sz w:val="14"/>
                <w:szCs w:val="14"/>
                <w:b w:val="1"/>
                <w:bCs w:val="1"/>
                <w:color w:val="auto"/>
              </w:rPr>
              <w:t>Additions</w:t>
            </w:r>
          </w:p>
        </w:tc>
        <w:tc>
          <w:tcPr>
            <w:tcW w:w="100" w:type="dxa"/>
            <w:vAlign w:val="bottom"/>
            <w:vMerge w:val="restart"/>
          </w:tcPr>
          <w:p>
            <w:pPr>
              <w:spacing w:after="0"/>
              <w:rPr>
                <w:sz w:val="12"/>
                <w:szCs w:val="12"/>
                <w:color w:val="auto"/>
              </w:rPr>
            </w:pPr>
          </w:p>
        </w:tc>
        <w:tc>
          <w:tcPr>
            <w:tcW w:w="13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7"/>
              </w:rPr>
              <w:t>Expiration or</w:t>
            </w:r>
          </w:p>
        </w:tc>
        <w:tc>
          <w:tcPr>
            <w:tcW w:w="160" w:type="dxa"/>
            <w:vAlign w:val="bottom"/>
          </w:tcPr>
          <w:p>
            <w:pPr>
              <w:spacing w:after="0"/>
              <w:rPr>
                <w:sz w:val="12"/>
                <w:szCs w:val="12"/>
                <w:color w:val="auto"/>
              </w:rPr>
            </w:pPr>
          </w:p>
        </w:tc>
        <w:tc>
          <w:tcPr>
            <w:tcW w:w="1300" w:type="dxa"/>
            <w:vAlign w:val="bottom"/>
            <w:gridSpan w:val="3"/>
          </w:tcPr>
          <w:p>
            <w:pPr>
              <w:jc w:val="center"/>
              <w:ind w:right="420"/>
              <w:spacing w:after="0" w:line="149" w:lineRule="exact"/>
              <w:rPr>
                <w:sz w:val="20"/>
                <w:szCs w:val="20"/>
                <w:color w:val="auto"/>
              </w:rPr>
            </w:pPr>
            <w:r>
              <w:rPr>
                <w:rFonts w:ascii="Arial" w:cs="Arial" w:eastAsia="Arial" w:hAnsi="Arial"/>
                <w:sz w:val="14"/>
                <w:szCs w:val="14"/>
                <w:b w:val="1"/>
                <w:bCs w:val="1"/>
                <w:color w:val="auto"/>
                <w:w w:val="95"/>
              </w:rPr>
              <w:t>Long/(Short)</w:t>
            </w:r>
          </w:p>
        </w:tc>
        <w:tc>
          <w:tcPr>
            <w:tcW w:w="140" w:type="dxa"/>
            <w:vAlign w:val="bottom"/>
          </w:tcPr>
          <w:p>
            <w:pPr>
              <w:spacing w:after="0"/>
              <w:rPr>
                <w:sz w:val="12"/>
                <w:szCs w:val="12"/>
                <w:color w:val="auto"/>
              </w:rPr>
            </w:pPr>
          </w:p>
        </w:tc>
        <w:tc>
          <w:tcPr>
            <w:tcW w:w="1080" w:type="dxa"/>
            <w:vAlign w:val="bottom"/>
          </w:tcPr>
          <w:p>
            <w:pPr>
              <w:jc w:val="center"/>
              <w:ind w:right="82"/>
              <w:spacing w:after="0" w:line="149" w:lineRule="exact"/>
              <w:rPr>
                <w:sz w:val="20"/>
                <w:szCs w:val="20"/>
                <w:color w:val="auto"/>
              </w:rPr>
            </w:pPr>
            <w:r>
              <w:rPr>
                <w:rFonts w:ascii="Arial" w:cs="Arial" w:eastAsia="Arial" w:hAnsi="Arial"/>
                <w:sz w:val="14"/>
                <w:szCs w:val="14"/>
                <w:b w:val="1"/>
                <w:bCs w:val="1"/>
                <w:color w:val="auto"/>
                <w:w w:val="91"/>
              </w:rPr>
              <w:t>Income on</w:t>
            </w:r>
          </w:p>
        </w:tc>
        <w:tc>
          <w:tcPr>
            <w:tcW w:w="0" w:type="dxa"/>
            <w:vAlign w:val="bottom"/>
          </w:tcPr>
          <w:p>
            <w:pPr>
              <w:spacing w:after="0"/>
              <w:rPr>
                <w:sz w:val="1"/>
                <w:szCs w:val="1"/>
                <w:color w:val="auto"/>
              </w:rPr>
            </w:pPr>
          </w:p>
        </w:tc>
      </w:tr>
      <w:tr>
        <w:trPr>
          <w:trHeight w:val="192"/>
        </w:trPr>
        <w:tc>
          <w:tcPr>
            <w:tcW w:w="46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89"/>
              </w:rPr>
              <w:t>2014</w:t>
            </w:r>
          </w:p>
        </w:tc>
        <w:tc>
          <w:tcPr>
            <w:tcW w:w="120" w:type="dxa"/>
            <w:vAlign w:val="bottom"/>
            <w:tcBorders>
              <w:bottom w:val="single" w:sz="8" w:color="CCEEFF"/>
            </w:tcBorders>
          </w:tcPr>
          <w:p>
            <w:pPr>
              <w:spacing w:after="0"/>
              <w:rPr>
                <w:sz w:val="16"/>
                <w:szCs w:val="16"/>
                <w:color w:val="auto"/>
              </w:rPr>
            </w:pPr>
          </w:p>
        </w:tc>
        <w:tc>
          <w:tcPr>
            <w:tcW w:w="11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Exercise</w:t>
            </w:r>
          </w:p>
        </w:tc>
        <w:tc>
          <w:tcPr>
            <w:tcW w:w="120" w:type="dxa"/>
            <w:vAlign w:val="bottom"/>
            <w:tcBorders>
              <w:bottom w:val="single" w:sz="8" w:color="CCEEFF"/>
            </w:tcBorders>
          </w:tcPr>
          <w:p>
            <w:pPr>
              <w:spacing w:after="0"/>
              <w:rPr>
                <w:sz w:val="16"/>
                <w:szCs w:val="16"/>
                <w:color w:val="auto"/>
              </w:rPr>
            </w:pPr>
          </w:p>
        </w:tc>
        <w:tc>
          <w:tcPr>
            <w:tcW w:w="122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w w:val="93"/>
              </w:rPr>
              <w:t>December 31, 2015</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93"/>
              </w:rPr>
              <w:t xml:space="preserve">Derivatives </w:t>
            </w:r>
            <w:r>
              <w:rPr>
                <w:rFonts w:ascii="Arial" w:cs="Arial" w:eastAsia="Arial" w:hAnsi="Arial"/>
                <w:sz w:val="8"/>
                <w:szCs w:val="8"/>
                <w:b w:val="1"/>
                <w:bCs w:val="1"/>
                <w:color w:val="auto"/>
                <w:w w:val="93"/>
              </w:rPr>
              <w:t>1</w:t>
            </w:r>
          </w:p>
        </w:tc>
        <w:tc>
          <w:tcPr>
            <w:tcW w:w="0" w:type="dxa"/>
            <w:vAlign w:val="bottom"/>
          </w:tcPr>
          <w:p>
            <w:pPr>
              <w:spacing w:after="0"/>
              <w:rPr>
                <w:sz w:val="1"/>
                <w:szCs w:val="1"/>
                <w:color w:val="auto"/>
              </w:rPr>
            </w:pPr>
          </w:p>
        </w:tc>
      </w:tr>
      <w:tr>
        <w:trPr>
          <w:trHeight w:val="236"/>
        </w:trPr>
        <w:tc>
          <w:tcPr>
            <w:tcW w:w="47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TBA securities, net</w:t>
            </w:r>
          </w:p>
        </w:tc>
        <w:tc>
          <w:tcPr>
            <w:tcW w:w="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14,412</w:t>
            </w:r>
          </w:p>
        </w:tc>
        <w:tc>
          <w:tcPr>
            <w:tcW w:w="12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119,922</w:t>
            </w:r>
          </w:p>
        </w:tc>
        <w:tc>
          <w:tcPr>
            <w:tcW w:w="1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(127,039)</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7,295</w:t>
            </w:r>
          </w:p>
        </w:tc>
        <w:tc>
          <w:tcPr>
            <w:tcW w:w="120" w:type="dxa"/>
            <w:vAlign w:val="bottom"/>
            <w:tcBorders>
              <w:bottom w:val="single" w:sz="8" w:color="CCEEFF"/>
              <w:right w:val="single" w:sz="8" w:color="auto"/>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305</w:t>
            </w:r>
          </w:p>
        </w:tc>
        <w:tc>
          <w:tcPr>
            <w:tcW w:w="0" w:type="dxa"/>
            <w:vAlign w:val="bottom"/>
          </w:tcPr>
          <w:p>
            <w:pPr>
              <w:spacing w:after="0"/>
              <w:rPr>
                <w:sz w:val="1"/>
                <w:szCs w:val="1"/>
                <w:color w:val="auto"/>
              </w:rPr>
            </w:pPr>
          </w:p>
        </w:tc>
      </w:tr>
      <w:tr>
        <w:trPr>
          <w:trHeight w:val="237"/>
        </w:trPr>
        <w:tc>
          <w:tcPr>
            <w:tcW w:w="4780" w:type="dxa"/>
            <w:vAlign w:val="bottom"/>
            <w:gridSpan w:val="2"/>
          </w:tcPr>
          <w:p>
            <w:pPr>
              <w:ind w:left="20"/>
              <w:spacing w:after="0"/>
              <w:rPr>
                <w:sz w:val="20"/>
                <w:szCs w:val="20"/>
                <w:color w:val="auto"/>
              </w:rPr>
            </w:pPr>
            <w:r>
              <w:rPr>
                <w:rFonts w:ascii="Arial" w:cs="Arial" w:eastAsia="Arial" w:hAnsi="Arial"/>
                <w:sz w:val="16"/>
                <w:szCs w:val="16"/>
                <w:color w:val="auto"/>
              </w:rPr>
              <w:t>Interest rate swaps</w:t>
            </w:r>
          </w:p>
        </w:tc>
        <w:tc>
          <w:tcPr>
            <w:tcW w:w="140" w:type="dxa"/>
            <w:vAlign w:val="bottom"/>
          </w:tcPr>
          <w:p>
            <w:pPr>
              <w:ind w:left="40"/>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(43,700)</w:t>
            </w:r>
          </w:p>
        </w:tc>
        <w:tc>
          <w:tcPr>
            <w:tcW w:w="12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(4,950)</w:t>
            </w:r>
          </w:p>
        </w:tc>
        <w:tc>
          <w:tcPr>
            <w:tcW w:w="100" w:type="dxa"/>
            <w:vAlign w:val="bottom"/>
          </w:tcPr>
          <w:p>
            <w:pPr>
              <w:spacing w:after="0"/>
              <w:rPr>
                <w:sz w:val="20"/>
                <w:szCs w:val="20"/>
                <w:color w:val="auto"/>
              </w:rPr>
            </w:pPr>
          </w:p>
        </w:tc>
        <w:tc>
          <w:tcPr>
            <w:tcW w:w="1240" w:type="dxa"/>
            <w:vAlign w:val="bottom"/>
          </w:tcPr>
          <w:p>
            <w:pPr>
              <w:jc w:val="right"/>
              <w:ind w:right="23"/>
              <w:spacing w:after="0"/>
              <w:rPr>
                <w:sz w:val="20"/>
                <w:szCs w:val="20"/>
                <w:color w:val="auto"/>
              </w:rPr>
            </w:pPr>
            <w:r>
              <w:rPr>
                <w:rFonts w:ascii="Arial" w:cs="Arial" w:eastAsia="Arial" w:hAnsi="Arial"/>
                <w:sz w:val="16"/>
                <w:szCs w:val="16"/>
                <w:color w:val="auto"/>
              </w:rPr>
              <w:t>8,125</w:t>
            </w:r>
          </w:p>
        </w:tc>
        <w:tc>
          <w:tcPr>
            <w:tcW w:w="120" w:type="dxa"/>
            <w:vAlign w:val="bottom"/>
          </w:tcPr>
          <w:p>
            <w:pPr>
              <w:spacing w:after="0"/>
              <w:rPr>
                <w:sz w:val="20"/>
                <w:szCs w:val="20"/>
                <w:color w:val="auto"/>
              </w:rPr>
            </w:pPr>
          </w:p>
        </w:tc>
        <w:tc>
          <w:tcPr>
            <w:tcW w:w="160" w:type="dxa"/>
            <w:vAlign w:val="bottom"/>
          </w:tcPr>
          <w:p>
            <w:pPr>
              <w:ind w:left="20"/>
              <w:spacing w:after="0"/>
              <w:rPr>
                <w:sz w:val="20"/>
                <w:szCs w:val="20"/>
                <w:color w:val="auto"/>
              </w:rPr>
            </w:pPr>
            <w:r>
              <w:rPr>
                <w:rFonts w:ascii="Arial" w:cs="Arial" w:eastAsia="Arial" w:hAnsi="Arial"/>
                <w:sz w:val="16"/>
                <w:szCs w:val="16"/>
                <w:color w:val="auto"/>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(40,525)</w:t>
            </w:r>
          </w:p>
        </w:tc>
        <w:tc>
          <w:tcPr>
            <w:tcW w:w="120" w:type="dxa"/>
            <w:vAlign w:val="bottom"/>
            <w:tcBorders>
              <w:righ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(932)</w:t>
            </w:r>
          </w:p>
        </w:tc>
        <w:tc>
          <w:tcPr>
            <w:tcW w:w="0" w:type="dxa"/>
            <w:vAlign w:val="bottom"/>
          </w:tcPr>
          <w:p>
            <w:pPr>
              <w:spacing w:after="0"/>
              <w:rPr>
                <w:sz w:val="1"/>
                <w:szCs w:val="1"/>
                <w:color w:val="auto"/>
              </w:rPr>
            </w:pPr>
          </w:p>
        </w:tc>
      </w:tr>
      <w:tr>
        <w:trPr>
          <w:trHeight w:val="33"/>
        </w:trPr>
        <w:tc>
          <w:tcPr>
            <w:tcW w:w="4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Payer swaptions</w:t>
            </w:r>
          </w:p>
        </w:tc>
        <w:tc>
          <w:tcPr>
            <w:tcW w:w="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(6,800)</w:t>
            </w:r>
          </w:p>
        </w:tc>
        <w:tc>
          <w:tcPr>
            <w:tcW w:w="1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(1,500)</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23"/>
              <w:spacing w:after="0"/>
              <w:rPr>
                <w:sz w:val="20"/>
                <w:szCs w:val="20"/>
                <w:color w:val="auto"/>
              </w:rPr>
            </w:pPr>
            <w:r>
              <w:rPr>
                <w:rFonts w:ascii="Arial" w:cs="Arial" w:eastAsia="Arial" w:hAnsi="Arial"/>
                <w:sz w:val="16"/>
                <w:szCs w:val="16"/>
                <w:color w:val="auto"/>
              </w:rPr>
              <w:t>6,150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(2,150)</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(35)</w:t>
            </w:r>
          </w:p>
        </w:tc>
        <w:tc>
          <w:tcPr>
            <w:tcW w:w="0" w:type="dxa"/>
            <w:vAlign w:val="bottom"/>
          </w:tcPr>
          <w:p>
            <w:pPr>
              <w:spacing w:after="0"/>
              <w:rPr>
                <w:sz w:val="1"/>
                <w:szCs w:val="1"/>
                <w:color w:val="auto"/>
              </w:rPr>
            </w:pPr>
          </w:p>
        </w:tc>
      </w:tr>
      <w:tr>
        <w:trPr>
          <w:trHeight w:val="237"/>
        </w:trPr>
        <w:tc>
          <w:tcPr>
            <w:tcW w:w="4780" w:type="dxa"/>
            <w:vAlign w:val="bottom"/>
            <w:gridSpan w:val="2"/>
          </w:tcPr>
          <w:p>
            <w:pPr>
              <w:ind w:left="20"/>
              <w:spacing w:after="0"/>
              <w:rPr>
                <w:sz w:val="20"/>
                <w:szCs w:val="20"/>
                <w:color w:val="auto"/>
              </w:rPr>
            </w:pPr>
            <w:r>
              <w:rPr>
                <w:rFonts w:ascii="Arial" w:cs="Arial" w:eastAsia="Arial" w:hAnsi="Arial"/>
                <w:sz w:val="16"/>
                <w:szCs w:val="16"/>
                <w:color w:val="auto"/>
              </w:rPr>
              <w:t>Receiver swaptions</w:t>
            </w:r>
          </w:p>
        </w:tc>
        <w:tc>
          <w:tcPr>
            <w:tcW w:w="140" w:type="dxa"/>
            <w:vAlign w:val="bottom"/>
          </w:tcPr>
          <w:p>
            <w:pPr>
              <w:ind w:left="40"/>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42"/>
              <w:spacing w:after="0"/>
              <w:rPr>
                <w:sz w:val="20"/>
                <w:szCs w:val="20"/>
                <w:color w:val="auto"/>
              </w:rPr>
            </w:pPr>
            <w:r>
              <w:rPr>
                <w:rFonts w:ascii="Arial" w:cs="Arial" w:eastAsia="Arial" w:hAnsi="Arial"/>
                <w:sz w:val="16"/>
                <w:szCs w:val="16"/>
                <w:color w:val="auto"/>
              </w:rPr>
              <w:t>4,250</w:t>
            </w:r>
          </w:p>
        </w:tc>
        <w:tc>
          <w:tcPr>
            <w:tcW w:w="120" w:type="dxa"/>
            <w:vAlign w:val="bottom"/>
          </w:tcPr>
          <w:p>
            <w:pPr>
              <w:spacing w:after="0"/>
              <w:rPr>
                <w:sz w:val="20"/>
                <w:szCs w:val="20"/>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tcPr>
          <w:p>
            <w:pPr>
              <w:jc w:val="right"/>
              <w:spacing w:after="0"/>
              <w:rPr>
                <w:sz w:val="20"/>
                <w:szCs w:val="20"/>
                <w:color w:val="auto"/>
              </w:rPr>
            </w:pPr>
            <w:r>
              <w:rPr>
                <w:rFonts w:ascii="Arial" w:cs="Arial" w:eastAsia="Arial" w:hAnsi="Arial"/>
                <w:sz w:val="16"/>
                <w:szCs w:val="16"/>
                <w:color w:val="auto"/>
              </w:rPr>
              <w:t>(4,250)</w:t>
            </w:r>
          </w:p>
        </w:tc>
        <w:tc>
          <w:tcPr>
            <w:tcW w:w="120" w:type="dxa"/>
            <w:vAlign w:val="bottom"/>
          </w:tcPr>
          <w:p>
            <w:pPr>
              <w:spacing w:after="0"/>
              <w:rPr>
                <w:sz w:val="20"/>
                <w:szCs w:val="20"/>
                <w:color w:val="auto"/>
              </w:rPr>
            </w:pPr>
          </w:p>
        </w:tc>
        <w:tc>
          <w:tcPr>
            <w:tcW w:w="160" w:type="dxa"/>
            <w:vAlign w:val="bottom"/>
          </w:tcPr>
          <w:p>
            <w:pPr>
              <w:ind w:left="20"/>
              <w:spacing w:after="0"/>
              <w:rPr>
                <w:sz w:val="20"/>
                <w:szCs w:val="20"/>
                <w:color w:val="auto"/>
              </w:rPr>
            </w:pPr>
            <w:r>
              <w:rPr>
                <w:rFonts w:ascii="Arial" w:cs="Arial" w:eastAsia="Arial" w:hAnsi="Arial"/>
                <w:sz w:val="16"/>
                <w:szCs w:val="16"/>
                <w:color w:val="auto"/>
              </w:rPr>
              <w:t>$</w:t>
            </w:r>
          </w:p>
        </w:tc>
        <w:tc>
          <w:tcPr>
            <w:tcW w:w="118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jc w:val="right"/>
              <w:ind w:right="22"/>
              <w:spacing w:after="0"/>
              <w:rPr>
                <w:sz w:val="20"/>
                <w:szCs w:val="20"/>
                <w:color w:val="auto"/>
              </w:rPr>
            </w:pPr>
            <w:r>
              <w:rPr>
                <w:rFonts w:ascii="Arial" w:cs="Arial" w:eastAsia="Arial" w:hAnsi="Arial"/>
                <w:sz w:val="16"/>
                <w:szCs w:val="16"/>
                <w:color w:val="auto"/>
              </w:rPr>
              <w:t>4</w:t>
            </w:r>
          </w:p>
        </w:tc>
        <w:tc>
          <w:tcPr>
            <w:tcW w:w="0" w:type="dxa"/>
            <w:vAlign w:val="bottom"/>
          </w:tcPr>
          <w:p>
            <w:pPr>
              <w:spacing w:after="0"/>
              <w:rPr>
                <w:sz w:val="1"/>
                <w:szCs w:val="1"/>
                <w:color w:val="auto"/>
              </w:rPr>
            </w:pPr>
          </w:p>
        </w:tc>
      </w:tr>
      <w:tr>
        <w:trPr>
          <w:trHeight w:val="33"/>
        </w:trPr>
        <w:tc>
          <w:tcPr>
            <w:tcW w:w="4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securities - short position</w:t>
            </w:r>
          </w:p>
        </w:tc>
        <w:tc>
          <w:tcPr>
            <w:tcW w:w="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(5,392)</w:t>
            </w:r>
          </w:p>
        </w:tc>
        <w:tc>
          <w:tcPr>
            <w:tcW w:w="1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(12,503)</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23"/>
              <w:spacing w:after="0"/>
              <w:rPr>
                <w:sz w:val="20"/>
                <w:szCs w:val="20"/>
                <w:color w:val="auto"/>
              </w:rPr>
            </w:pPr>
            <w:r>
              <w:rPr>
                <w:rFonts w:ascii="Arial" w:cs="Arial" w:eastAsia="Arial" w:hAnsi="Arial"/>
                <w:sz w:val="16"/>
                <w:szCs w:val="16"/>
                <w:color w:val="auto"/>
              </w:rPr>
              <w:t>16,181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(1,714)</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(68)</w:t>
            </w:r>
          </w:p>
        </w:tc>
        <w:tc>
          <w:tcPr>
            <w:tcW w:w="0" w:type="dxa"/>
            <w:vAlign w:val="bottom"/>
          </w:tcPr>
          <w:p>
            <w:pPr>
              <w:spacing w:after="0"/>
              <w:rPr>
                <w:sz w:val="1"/>
                <w:szCs w:val="1"/>
                <w:color w:val="auto"/>
              </w:rPr>
            </w:pPr>
          </w:p>
        </w:tc>
      </w:tr>
      <w:tr>
        <w:trPr>
          <w:trHeight w:val="237"/>
        </w:trPr>
        <w:tc>
          <w:tcPr>
            <w:tcW w:w="4780" w:type="dxa"/>
            <w:vAlign w:val="bottom"/>
            <w:gridSpan w:val="2"/>
          </w:tcPr>
          <w:p>
            <w:pPr>
              <w:ind w:left="20"/>
              <w:spacing w:after="0"/>
              <w:rPr>
                <w:sz w:val="20"/>
                <w:szCs w:val="20"/>
                <w:color w:val="auto"/>
              </w:rPr>
            </w:pPr>
            <w:r>
              <w:rPr>
                <w:rFonts w:ascii="Arial" w:cs="Arial" w:eastAsia="Arial" w:hAnsi="Arial"/>
                <w:sz w:val="16"/>
                <w:szCs w:val="16"/>
                <w:color w:val="auto"/>
              </w:rPr>
              <w:t>U.S. Treasury securities - long position</w:t>
            </w:r>
          </w:p>
        </w:tc>
        <w:tc>
          <w:tcPr>
            <w:tcW w:w="140" w:type="dxa"/>
            <w:vAlign w:val="bottom"/>
          </w:tcPr>
          <w:p>
            <w:pPr>
              <w:ind w:left="40"/>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42"/>
              <w:spacing w:after="0"/>
              <w:rPr>
                <w:sz w:val="20"/>
                <w:szCs w:val="20"/>
                <w:color w:val="auto"/>
              </w:rPr>
            </w:pPr>
            <w:r>
              <w:rPr>
                <w:rFonts w:ascii="Arial" w:cs="Arial" w:eastAsia="Arial" w:hAnsi="Arial"/>
                <w:sz w:val="16"/>
                <w:szCs w:val="16"/>
                <w:color w:val="auto"/>
              </w:rPr>
              <w:t>2,411</w:t>
            </w:r>
          </w:p>
        </w:tc>
        <w:tc>
          <w:tcPr>
            <w:tcW w:w="120" w:type="dxa"/>
            <w:vAlign w:val="bottom"/>
          </w:tcPr>
          <w:p>
            <w:pPr>
              <w:spacing w:after="0"/>
              <w:rPr>
                <w:sz w:val="20"/>
                <w:szCs w:val="20"/>
                <w:color w:val="auto"/>
              </w:rPr>
            </w:pPr>
          </w:p>
        </w:tc>
        <w:tc>
          <w:tcPr>
            <w:tcW w:w="1160" w:type="dxa"/>
            <w:vAlign w:val="bottom"/>
          </w:tcPr>
          <w:p>
            <w:pPr>
              <w:jc w:val="right"/>
              <w:ind w:right="40"/>
              <w:spacing w:after="0"/>
              <w:rPr>
                <w:sz w:val="20"/>
                <w:szCs w:val="20"/>
                <w:color w:val="auto"/>
              </w:rPr>
            </w:pPr>
            <w:r>
              <w:rPr>
                <w:rFonts w:ascii="Arial" w:cs="Arial" w:eastAsia="Arial" w:hAnsi="Arial"/>
                <w:sz w:val="16"/>
                <w:szCs w:val="16"/>
                <w:color w:val="auto"/>
              </w:rPr>
              <w:t>33,525</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(35,911)</w:t>
            </w:r>
          </w:p>
        </w:tc>
        <w:tc>
          <w:tcPr>
            <w:tcW w:w="120" w:type="dxa"/>
            <w:vAlign w:val="bottom"/>
          </w:tcPr>
          <w:p>
            <w:pPr>
              <w:spacing w:after="0"/>
              <w:rPr>
                <w:sz w:val="20"/>
                <w:szCs w:val="20"/>
                <w:color w:val="auto"/>
              </w:rPr>
            </w:pPr>
          </w:p>
        </w:tc>
        <w:tc>
          <w:tcPr>
            <w:tcW w:w="160" w:type="dxa"/>
            <w:vAlign w:val="bottom"/>
          </w:tcPr>
          <w:p>
            <w:pPr>
              <w:ind w:lef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20"/>
              <w:spacing w:after="0"/>
              <w:rPr>
                <w:sz w:val="20"/>
                <w:szCs w:val="20"/>
                <w:color w:val="auto"/>
              </w:rPr>
            </w:pPr>
            <w:r>
              <w:rPr>
                <w:rFonts w:ascii="Arial" w:cs="Arial" w:eastAsia="Arial" w:hAnsi="Arial"/>
                <w:sz w:val="16"/>
                <w:szCs w:val="16"/>
                <w:color w:val="auto"/>
              </w:rPr>
              <w:t>25</w:t>
            </w:r>
          </w:p>
        </w:tc>
        <w:tc>
          <w:tcPr>
            <w:tcW w:w="120" w:type="dxa"/>
            <w:vAlign w:val="bottom"/>
            <w:tcBorders>
              <w:righ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(38)</w:t>
            </w:r>
          </w:p>
        </w:tc>
        <w:tc>
          <w:tcPr>
            <w:tcW w:w="0" w:type="dxa"/>
            <w:vAlign w:val="bottom"/>
          </w:tcPr>
          <w:p>
            <w:pPr>
              <w:spacing w:after="0"/>
              <w:rPr>
                <w:sz w:val="1"/>
                <w:szCs w:val="1"/>
                <w:color w:val="auto"/>
              </w:rPr>
            </w:pPr>
          </w:p>
        </w:tc>
      </w:tr>
      <w:tr>
        <w:trPr>
          <w:trHeight w:val="33"/>
        </w:trPr>
        <w:tc>
          <w:tcPr>
            <w:tcW w:w="4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7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(730)</w:t>
            </w:r>
          </w:p>
        </w:tc>
        <w:tc>
          <w:tcPr>
            <w:tcW w:w="1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(4,480)</w:t>
            </w:r>
          </w:p>
        </w:tc>
        <w:tc>
          <w:tcPr>
            <w:tcW w:w="10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23"/>
              <w:spacing w:after="0"/>
              <w:rPr>
                <w:sz w:val="20"/>
                <w:szCs w:val="20"/>
                <w:color w:val="auto"/>
              </w:rPr>
            </w:pPr>
            <w:r>
              <w:rPr>
                <w:rFonts w:ascii="Arial" w:cs="Arial" w:eastAsia="Arial" w:hAnsi="Arial"/>
                <w:sz w:val="16"/>
                <w:szCs w:val="16"/>
                <w:color w:val="auto"/>
              </w:rPr>
              <w:t>3,350</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(1,860)</w:t>
            </w:r>
          </w:p>
        </w:tc>
        <w:tc>
          <w:tcPr>
            <w:tcW w:w="120" w:type="dxa"/>
            <w:vAlign w:val="bottom"/>
            <w:tcBorders>
              <w:bottom w:val="single" w:sz="8" w:color="CCEEFF"/>
              <w:right w:val="single" w:sz="8" w:color="auto"/>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w:t>
            </w:r>
          </w:p>
        </w:tc>
        <w:tc>
          <w:tcPr>
            <w:tcW w:w="0" w:type="dxa"/>
            <w:vAlign w:val="bottom"/>
          </w:tcPr>
          <w:p>
            <w:pPr>
              <w:spacing w:after="0"/>
              <w:rPr>
                <w:sz w:val="1"/>
                <w:szCs w:val="1"/>
                <w:color w:val="auto"/>
              </w:rPr>
            </w:pPr>
          </w:p>
        </w:tc>
      </w:tr>
      <w:tr>
        <w:trPr>
          <w:trHeight w:val="217"/>
        </w:trPr>
        <w:tc>
          <w:tcPr>
            <w:tcW w:w="4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(776)</w:t>
            </w:r>
          </w:p>
        </w:tc>
        <w:tc>
          <w:tcPr>
            <w:tcW w:w="0" w:type="dxa"/>
            <w:vAlign w:val="bottom"/>
          </w:tcPr>
          <w:p>
            <w:pPr>
              <w:spacing w:after="0"/>
              <w:rPr>
                <w:sz w:val="1"/>
                <w:szCs w:val="1"/>
                <w:color w:val="auto"/>
              </w:rPr>
            </w:pPr>
          </w:p>
        </w:tc>
      </w:tr>
      <w:tr>
        <w:trPr>
          <w:trHeight w:val="33"/>
        </w:trPr>
        <w:tc>
          <w:tcPr>
            <w:tcW w:w="4660" w:type="dxa"/>
            <w:vAlign w:val="bottom"/>
            <w:vMerge w:val="restart"/>
          </w:tcPr>
          <w:p>
            <w:pPr>
              <w:ind w:left="100"/>
              <w:spacing w:after="0"/>
              <w:rPr>
                <w:sz w:val="20"/>
                <w:szCs w:val="20"/>
                <w:color w:val="auto"/>
              </w:rPr>
            </w:pPr>
            <w:r>
              <w:rPr>
                <w:rFonts w:ascii="Arial" w:cs="Arial" w:eastAsia="Arial" w:hAnsi="Arial"/>
                <w:sz w:val="18"/>
                <w:szCs w:val="18"/>
                <w:color w:val="auto"/>
              </w:rPr>
              <w:t>________________________________</w:t>
            </w: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660" w:type="dxa"/>
            <w:vAlign w:val="bottom"/>
            <w:vMerge w:val="continue"/>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4660" w:type="dxa"/>
            <w:vAlign w:val="bottom"/>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left="900" w:hanging="568"/>
        <w:spacing w:after="0" w:line="255" w:lineRule="auto"/>
        <w:tabs>
          <w:tab w:leader="none" w:pos="657" w:val="left"/>
        </w:tabs>
        <w:numPr>
          <w:ilvl w:val="0"/>
          <w:numId w:val="57"/>
        </w:numPr>
        <w:rPr>
          <w:rFonts w:ascii="Arial" w:cs="Arial" w:eastAsia="Arial" w:hAnsi="Arial"/>
          <w:sz w:val="14"/>
          <w:szCs w:val="14"/>
          <w:color w:val="auto"/>
        </w:rPr>
      </w:pPr>
      <w:r>
        <w:rPr>
          <w:rFonts w:ascii="Arial" w:cs="Arial" w:eastAsia="Arial" w:hAnsi="Arial"/>
          <w:sz w:val="14"/>
          <w:szCs w:val="14"/>
          <w:color w:val="auto"/>
        </w:rPr>
        <w:t>Excludes a net gain of $16 million from debt of consolidated VIEs, a net gain of $5 million from interest and principal-only securities and other miscellaneous net losses of $4 million recognized in gain (loss) on derivative instruments and other securities, net in our consolidated statements of comprehensive income.</w:t>
      </w:r>
    </w:p>
    <w:p>
      <w:pPr>
        <w:spacing w:after="0" w:line="35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2"/>
          </w:tcPr>
          <w:p>
            <w:pPr>
              <w:ind w:left="280"/>
              <w:spacing w:after="0"/>
              <w:rPr>
                <w:sz w:val="20"/>
                <w:szCs w:val="20"/>
                <w:color w:val="auto"/>
              </w:rPr>
            </w:pPr>
            <w:r>
              <w:rPr>
                <w:rFonts w:ascii="Arial" w:cs="Arial" w:eastAsia="Arial" w:hAnsi="Arial"/>
                <w:sz w:val="14"/>
                <w:szCs w:val="14"/>
                <w:b w:val="1"/>
                <w:bCs w:val="1"/>
                <w:color w:val="auto"/>
                <w:w w:val="96"/>
              </w:rPr>
              <w:t>Fiscal year 2014</w:t>
            </w: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8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Notional Amount</w:t>
            </w:r>
          </w:p>
        </w:tc>
        <w:tc>
          <w:tcPr>
            <w:tcW w:w="1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4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0"/>
              </w:rPr>
              <w:t>Settlement,</w:t>
            </w:r>
          </w:p>
        </w:tc>
        <w:tc>
          <w:tcPr>
            <w:tcW w:w="1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jc w:val="center"/>
              <w:ind w:right="82"/>
              <w:spacing w:after="0" w:line="153" w:lineRule="exact"/>
              <w:rPr>
                <w:sz w:val="20"/>
                <w:szCs w:val="20"/>
                <w:color w:val="auto"/>
              </w:rPr>
            </w:pPr>
            <w:r>
              <w:rPr>
                <w:rFonts w:ascii="Arial" w:cs="Arial" w:eastAsia="Arial" w:hAnsi="Arial"/>
                <w:sz w:val="14"/>
                <w:szCs w:val="14"/>
                <w:b w:val="1"/>
                <w:bCs w:val="1"/>
                <w:color w:val="auto"/>
                <w:w w:val="94"/>
              </w:rPr>
              <w:t>Amount of</w:t>
            </w:r>
          </w:p>
        </w:tc>
        <w:tc>
          <w:tcPr>
            <w:tcW w:w="0" w:type="dxa"/>
            <w:vAlign w:val="bottom"/>
          </w:tcPr>
          <w:p>
            <w:pPr>
              <w:spacing w:after="0"/>
              <w:rPr>
                <w:sz w:val="1"/>
                <w:szCs w:val="1"/>
                <w:color w:val="auto"/>
              </w:rPr>
            </w:pPr>
          </w:p>
        </w:tc>
      </w:tr>
      <w:tr>
        <w:trPr>
          <w:trHeight w:val="149"/>
        </w:trPr>
        <w:tc>
          <w:tcPr>
            <w:tcW w:w="4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gridSpan w:val="3"/>
            <w:vMerge w:val="continue"/>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40" w:type="dxa"/>
            <w:vAlign w:val="bottom"/>
            <w:gridSpan w:val="2"/>
            <w:vMerge w:val="continue"/>
          </w:tcPr>
          <w:p>
            <w:pPr>
              <w:spacing w:after="0"/>
              <w:rPr>
                <w:sz w:val="12"/>
                <w:szCs w:val="12"/>
                <w:color w:val="auto"/>
              </w:rPr>
            </w:pPr>
          </w:p>
        </w:tc>
        <w:tc>
          <w:tcPr>
            <w:tcW w:w="1480" w:type="dxa"/>
            <w:vAlign w:val="bottom"/>
            <w:gridSpan w:val="4"/>
            <w:vMerge w:val="restart"/>
          </w:tcPr>
          <w:p>
            <w:pPr>
              <w:jc w:val="center"/>
              <w:ind w:right="220"/>
              <w:spacing w:after="0"/>
              <w:rPr>
                <w:sz w:val="20"/>
                <w:szCs w:val="20"/>
                <w:color w:val="auto"/>
              </w:rPr>
            </w:pPr>
            <w:r>
              <w:rPr>
                <w:rFonts w:ascii="Arial" w:cs="Arial" w:eastAsia="Arial" w:hAnsi="Arial"/>
                <w:sz w:val="14"/>
                <w:szCs w:val="14"/>
                <w:b w:val="1"/>
                <w:bCs w:val="1"/>
                <w:color w:val="auto"/>
                <w:w w:val="93"/>
              </w:rPr>
              <w:t>Notional Amount</w:t>
            </w:r>
          </w:p>
        </w:tc>
        <w:tc>
          <w:tcPr>
            <w:tcW w:w="140" w:type="dxa"/>
            <w:vAlign w:val="bottom"/>
          </w:tcPr>
          <w:p>
            <w:pPr>
              <w:spacing w:after="0"/>
              <w:rPr>
                <w:sz w:val="12"/>
                <w:szCs w:val="12"/>
                <w:color w:val="auto"/>
              </w:rPr>
            </w:pPr>
          </w:p>
        </w:tc>
        <w:tc>
          <w:tcPr>
            <w:tcW w:w="1100" w:type="dxa"/>
            <w:vAlign w:val="bottom"/>
          </w:tcPr>
          <w:p>
            <w:pPr>
              <w:jc w:val="center"/>
              <w:ind w:right="62"/>
              <w:spacing w:after="0" w:line="149" w:lineRule="exact"/>
              <w:rPr>
                <w:sz w:val="20"/>
                <w:szCs w:val="20"/>
                <w:color w:val="auto"/>
              </w:rPr>
            </w:pPr>
            <w:r>
              <w:rPr>
                <w:rFonts w:ascii="Arial" w:cs="Arial" w:eastAsia="Arial" w:hAnsi="Arial"/>
                <w:sz w:val="14"/>
                <w:szCs w:val="14"/>
                <w:b w:val="1"/>
                <w:bCs w:val="1"/>
                <w:color w:val="auto"/>
                <w:w w:val="93"/>
              </w:rPr>
              <w:t>Gain/(Loss)</w:t>
            </w:r>
          </w:p>
        </w:tc>
        <w:tc>
          <w:tcPr>
            <w:tcW w:w="0" w:type="dxa"/>
            <w:vAlign w:val="bottom"/>
          </w:tcPr>
          <w:p>
            <w:pPr>
              <w:spacing w:after="0"/>
              <w:rPr>
                <w:sz w:val="1"/>
                <w:szCs w:val="1"/>
                <w:color w:val="auto"/>
              </w:rPr>
            </w:pPr>
          </w:p>
        </w:tc>
      </w:tr>
      <w:tr>
        <w:trPr>
          <w:trHeight w:val="149"/>
        </w:trPr>
        <w:tc>
          <w:tcPr>
            <w:tcW w:w="4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5"/>
              </w:rPr>
              <w:t>Long/(Short)</w:t>
            </w: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5"/>
              </w:rPr>
              <w:t>Termination,</w:t>
            </w:r>
          </w:p>
        </w:tc>
        <w:tc>
          <w:tcPr>
            <w:tcW w:w="1480" w:type="dxa"/>
            <w:vAlign w:val="bottom"/>
            <w:gridSpan w:val="4"/>
            <w:vMerge w:val="continue"/>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tcPr>
          <w:p>
            <w:pPr>
              <w:jc w:val="center"/>
              <w:ind w:right="82"/>
              <w:spacing w:after="0" w:line="149" w:lineRule="exact"/>
              <w:rPr>
                <w:sz w:val="20"/>
                <w:szCs w:val="20"/>
                <w:color w:val="auto"/>
              </w:rPr>
            </w:pPr>
            <w:r>
              <w:rPr>
                <w:rFonts w:ascii="Arial" w:cs="Arial" w:eastAsia="Arial" w:hAnsi="Arial"/>
                <w:sz w:val="14"/>
                <w:szCs w:val="14"/>
                <w:b w:val="1"/>
                <w:bCs w:val="1"/>
                <w:color w:val="auto"/>
                <w:w w:val="90"/>
              </w:rPr>
              <w:t>Recognized in</w:t>
            </w:r>
          </w:p>
        </w:tc>
        <w:tc>
          <w:tcPr>
            <w:tcW w:w="0" w:type="dxa"/>
            <w:vAlign w:val="bottom"/>
          </w:tcPr>
          <w:p>
            <w:pPr>
              <w:spacing w:after="0"/>
              <w:rPr>
                <w:sz w:val="1"/>
                <w:szCs w:val="1"/>
                <w:color w:val="auto"/>
              </w:rPr>
            </w:pPr>
          </w:p>
        </w:tc>
      </w:tr>
      <w:tr>
        <w:trPr>
          <w:trHeight w:val="149"/>
        </w:trPr>
        <w:tc>
          <w:tcPr>
            <w:tcW w:w="47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Derivative and Other Hedging Instruments</w:t>
            </w:r>
          </w:p>
        </w:tc>
        <w:tc>
          <w:tcPr>
            <w:tcW w:w="120" w:type="dxa"/>
            <w:vAlign w:val="bottom"/>
            <w:vMerge w:val="restart"/>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December 31,</w:t>
            </w:r>
          </w:p>
        </w:tc>
        <w:tc>
          <w:tcPr>
            <w:tcW w:w="1140" w:type="dxa"/>
            <w:vAlign w:val="bottom"/>
            <w:vMerge w:val="restart"/>
          </w:tcPr>
          <w:p>
            <w:pPr>
              <w:jc w:val="right"/>
              <w:ind w:right="180"/>
              <w:spacing w:after="0"/>
              <w:rPr>
                <w:sz w:val="20"/>
                <w:szCs w:val="20"/>
                <w:color w:val="auto"/>
              </w:rPr>
            </w:pPr>
            <w:r>
              <w:rPr>
                <w:rFonts w:ascii="Arial" w:cs="Arial" w:eastAsia="Arial" w:hAnsi="Arial"/>
                <w:sz w:val="14"/>
                <w:szCs w:val="14"/>
                <w:b w:val="1"/>
                <w:bCs w:val="1"/>
                <w:color w:val="auto"/>
              </w:rPr>
              <w:t>Additions</w:t>
            </w:r>
          </w:p>
        </w:tc>
        <w:tc>
          <w:tcPr>
            <w:tcW w:w="120" w:type="dxa"/>
            <w:vAlign w:val="bottom"/>
            <w:vMerge w:val="restart"/>
          </w:tcPr>
          <w:p>
            <w:pPr>
              <w:spacing w:after="0"/>
              <w:rPr>
                <w:sz w:val="12"/>
                <w:szCs w:val="12"/>
                <w:color w:val="auto"/>
              </w:rPr>
            </w:pPr>
          </w:p>
        </w:tc>
        <w:tc>
          <w:tcPr>
            <w:tcW w:w="13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7"/>
              </w:rPr>
              <w:t>Expiration or</w:t>
            </w:r>
          </w:p>
        </w:tc>
        <w:tc>
          <w:tcPr>
            <w:tcW w:w="180" w:type="dxa"/>
            <w:vAlign w:val="bottom"/>
          </w:tcPr>
          <w:p>
            <w:pPr>
              <w:spacing w:after="0"/>
              <w:rPr>
                <w:sz w:val="12"/>
                <w:szCs w:val="12"/>
                <w:color w:val="auto"/>
              </w:rPr>
            </w:pPr>
          </w:p>
        </w:tc>
        <w:tc>
          <w:tcPr>
            <w:tcW w:w="1300" w:type="dxa"/>
            <w:vAlign w:val="bottom"/>
            <w:gridSpan w:val="3"/>
          </w:tcPr>
          <w:p>
            <w:pPr>
              <w:jc w:val="center"/>
              <w:ind w:right="380"/>
              <w:spacing w:after="0" w:line="149" w:lineRule="exact"/>
              <w:rPr>
                <w:sz w:val="20"/>
                <w:szCs w:val="20"/>
                <w:color w:val="auto"/>
              </w:rPr>
            </w:pPr>
            <w:r>
              <w:rPr>
                <w:rFonts w:ascii="Arial" w:cs="Arial" w:eastAsia="Arial" w:hAnsi="Arial"/>
                <w:sz w:val="14"/>
                <w:szCs w:val="14"/>
                <w:b w:val="1"/>
                <w:bCs w:val="1"/>
                <w:color w:val="auto"/>
                <w:w w:val="95"/>
              </w:rPr>
              <w:t>Long/(Short)</w:t>
            </w:r>
          </w:p>
        </w:tc>
        <w:tc>
          <w:tcPr>
            <w:tcW w:w="140" w:type="dxa"/>
            <w:vAlign w:val="bottom"/>
          </w:tcPr>
          <w:p>
            <w:pPr>
              <w:spacing w:after="0"/>
              <w:rPr>
                <w:sz w:val="12"/>
                <w:szCs w:val="12"/>
                <w:color w:val="auto"/>
              </w:rPr>
            </w:pPr>
          </w:p>
        </w:tc>
        <w:tc>
          <w:tcPr>
            <w:tcW w:w="1100" w:type="dxa"/>
            <w:vAlign w:val="bottom"/>
          </w:tcPr>
          <w:p>
            <w:pPr>
              <w:jc w:val="center"/>
              <w:ind w:right="62"/>
              <w:spacing w:after="0" w:line="149" w:lineRule="exact"/>
              <w:rPr>
                <w:sz w:val="20"/>
                <w:szCs w:val="20"/>
                <w:color w:val="auto"/>
              </w:rPr>
            </w:pPr>
            <w:r>
              <w:rPr>
                <w:rFonts w:ascii="Arial" w:cs="Arial" w:eastAsia="Arial" w:hAnsi="Arial"/>
                <w:sz w:val="14"/>
                <w:szCs w:val="14"/>
                <w:b w:val="1"/>
                <w:bCs w:val="1"/>
                <w:color w:val="auto"/>
                <w:w w:val="91"/>
              </w:rPr>
              <w:t>Income on</w:t>
            </w:r>
          </w:p>
        </w:tc>
        <w:tc>
          <w:tcPr>
            <w:tcW w:w="0" w:type="dxa"/>
            <w:vAlign w:val="bottom"/>
          </w:tcPr>
          <w:p>
            <w:pPr>
              <w:spacing w:after="0"/>
              <w:rPr>
                <w:sz w:val="1"/>
                <w:szCs w:val="1"/>
                <w:color w:val="auto"/>
              </w:rPr>
            </w:pPr>
          </w:p>
        </w:tc>
      </w:tr>
      <w:tr>
        <w:trPr>
          <w:trHeight w:val="192"/>
        </w:trPr>
        <w:tc>
          <w:tcPr>
            <w:tcW w:w="47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center"/>
              <w:ind w:right="61"/>
              <w:spacing w:after="0"/>
              <w:rPr>
                <w:sz w:val="20"/>
                <w:szCs w:val="20"/>
                <w:color w:val="auto"/>
              </w:rPr>
            </w:pPr>
            <w:r>
              <w:rPr>
                <w:rFonts w:ascii="Arial" w:cs="Arial" w:eastAsia="Arial" w:hAnsi="Arial"/>
                <w:sz w:val="14"/>
                <w:szCs w:val="14"/>
                <w:b w:val="1"/>
                <w:bCs w:val="1"/>
                <w:color w:val="auto"/>
                <w:w w:val="89"/>
              </w:rPr>
              <w:t>2013</w:t>
            </w:r>
          </w:p>
        </w:tc>
        <w:tc>
          <w:tcPr>
            <w:tcW w:w="120" w:type="dxa"/>
            <w:vAlign w:val="bottom"/>
            <w:tcBorders>
              <w:bottom w:val="single" w:sz="8" w:color="CCEEFF"/>
            </w:tcBorders>
          </w:tcPr>
          <w:p>
            <w:pPr>
              <w:spacing w:after="0"/>
              <w:rPr>
                <w:sz w:val="16"/>
                <w:szCs w:val="16"/>
                <w:color w:val="auto"/>
              </w:rPr>
            </w:pPr>
          </w:p>
        </w:tc>
        <w:tc>
          <w:tcPr>
            <w:tcW w:w="11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Exercise</w:t>
            </w:r>
          </w:p>
        </w:tc>
        <w:tc>
          <w:tcPr>
            <w:tcW w:w="10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w w:val="93"/>
              </w:rPr>
              <w:t>December 31, 2014</w:t>
            </w:r>
          </w:p>
        </w:tc>
        <w:tc>
          <w:tcPr>
            <w:tcW w:w="14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91"/>
              </w:rPr>
              <w:t xml:space="preserve">Derivatives </w:t>
            </w:r>
            <w:r>
              <w:rPr>
                <w:rFonts w:ascii="Arial" w:cs="Arial" w:eastAsia="Arial" w:hAnsi="Arial"/>
                <w:sz w:val="8"/>
                <w:szCs w:val="8"/>
                <w:b w:val="1"/>
                <w:bCs w:val="1"/>
                <w:color w:val="auto"/>
                <w:w w:val="91"/>
              </w:rPr>
              <w:t>1</w:t>
            </w:r>
          </w:p>
        </w:tc>
        <w:tc>
          <w:tcPr>
            <w:tcW w:w="0" w:type="dxa"/>
            <w:vAlign w:val="bottom"/>
          </w:tcPr>
          <w:p>
            <w:pPr>
              <w:spacing w:after="0"/>
              <w:rPr>
                <w:sz w:val="1"/>
                <w:szCs w:val="1"/>
                <w:color w:val="auto"/>
              </w:rPr>
            </w:pPr>
          </w:p>
        </w:tc>
      </w:tr>
      <w:tr>
        <w:trPr>
          <w:trHeight w:val="236"/>
        </w:trPr>
        <w:tc>
          <w:tcPr>
            <w:tcW w:w="48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TBA securities, net</w:t>
            </w:r>
          </w:p>
        </w:tc>
        <w:tc>
          <w:tcPr>
            <w:tcW w:w="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2,119</w:t>
            </w:r>
          </w:p>
        </w:tc>
        <w:tc>
          <w:tcPr>
            <w:tcW w:w="12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213,627</w:t>
            </w:r>
          </w:p>
        </w:tc>
        <w:tc>
          <w:tcPr>
            <w:tcW w:w="12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(201,334)</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14,412</w:t>
            </w:r>
          </w:p>
        </w:tc>
        <w:tc>
          <w:tcPr>
            <w:tcW w:w="140" w:type="dxa"/>
            <w:vAlign w:val="bottom"/>
            <w:tcBorders>
              <w:bottom w:val="single" w:sz="8" w:color="CCEEFF"/>
              <w:right w:val="single" w:sz="8" w:color="auto"/>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1,117</w:t>
            </w:r>
          </w:p>
        </w:tc>
        <w:tc>
          <w:tcPr>
            <w:tcW w:w="0" w:type="dxa"/>
            <w:vAlign w:val="bottom"/>
          </w:tcPr>
          <w:p>
            <w:pPr>
              <w:spacing w:after="0"/>
              <w:rPr>
                <w:sz w:val="1"/>
                <w:szCs w:val="1"/>
                <w:color w:val="auto"/>
              </w:rPr>
            </w:pPr>
          </w:p>
        </w:tc>
      </w:tr>
      <w:tr>
        <w:trPr>
          <w:trHeight w:val="237"/>
        </w:trPr>
        <w:tc>
          <w:tcPr>
            <w:tcW w:w="4820" w:type="dxa"/>
            <w:vAlign w:val="bottom"/>
            <w:gridSpan w:val="2"/>
          </w:tcPr>
          <w:p>
            <w:pPr>
              <w:ind w:left="40"/>
              <w:spacing w:after="0"/>
              <w:rPr>
                <w:sz w:val="20"/>
                <w:szCs w:val="20"/>
                <w:color w:val="auto"/>
              </w:rPr>
            </w:pPr>
            <w:r>
              <w:rPr>
                <w:rFonts w:ascii="Arial" w:cs="Arial" w:eastAsia="Arial" w:hAnsi="Arial"/>
                <w:sz w:val="16"/>
                <w:szCs w:val="16"/>
                <w:color w:val="auto"/>
              </w:rPr>
              <w:t>Interest rate swaps</w:t>
            </w:r>
          </w:p>
        </w:tc>
        <w:tc>
          <w:tcPr>
            <w:tcW w:w="140" w:type="dxa"/>
            <w:vAlign w:val="bottom"/>
          </w:tcPr>
          <w:p>
            <w:pPr>
              <w:ind w:left="20"/>
              <w:spacing w:after="0"/>
              <w:rPr>
                <w:sz w:val="20"/>
                <w:szCs w:val="20"/>
                <w:color w:val="auto"/>
              </w:rPr>
            </w:pPr>
            <w:r>
              <w:rPr>
                <w:rFonts w:ascii="Arial" w:cs="Arial" w:eastAsia="Arial" w:hAnsi="Arial"/>
                <w:sz w:val="16"/>
                <w:szCs w:val="16"/>
                <w:color w:val="auto"/>
              </w:rPr>
              <w:t>$</w:t>
            </w:r>
          </w:p>
        </w:tc>
        <w:tc>
          <w:tcPr>
            <w:tcW w:w="1020" w:type="dxa"/>
            <w:vAlign w:val="bottom"/>
          </w:tcPr>
          <w:p>
            <w:pPr>
              <w:jc w:val="right"/>
              <w:ind w:right="1"/>
              <w:spacing w:after="0"/>
              <w:rPr>
                <w:sz w:val="20"/>
                <w:szCs w:val="20"/>
                <w:color w:val="auto"/>
              </w:rPr>
            </w:pPr>
            <w:r>
              <w:rPr>
                <w:rFonts w:ascii="Arial" w:cs="Arial" w:eastAsia="Arial" w:hAnsi="Arial"/>
                <w:sz w:val="16"/>
                <w:szCs w:val="16"/>
                <w:color w:val="auto"/>
              </w:rPr>
              <w:t>(43,250)</w:t>
            </w:r>
          </w:p>
        </w:tc>
        <w:tc>
          <w:tcPr>
            <w:tcW w:w="12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(20,550)</w:t>
            </w:r>
          </w:p>
        </w:tc>
        <w:tc>
          <w:tcPr>
            <w:tcW w:w="120" w:type="dxa"/>
            <w:vAlign w:val="bottom"/>
          </w:tcPr>
          <w:p>
            <w:pPr>
              <w:spacing w:after="0"/>
              <w:rPr>
                <w:sz w:val="20"/>
                <w:szCs w:val="20"/>
                <w:color w:val="auto"/>
              </w:rPr>
            </w:pPr>
          </w:p>
        </w:tc>
        <w:tc>
          <w:tcPr>
            <w:tcW w:w="1240" w:type="dxa"/>
            <w:vAlign w:val="bottom"/>
          </w:tcPr>
          <w:p>
            <w:pPr>
              <w:jc w:val="right"/>
              <w:ind w:right="42"/>
              <w:spacing w:after="0"/>
              <w:rPr>
                <w:sz w:val="20"/>
                <w:szCs w:val="20"/>
                <w:color w:val="auto"/>
              </w:rPr>
            </w:pPr>
            <w:r>
              <w:rPr>
                <w:rFonts w:ascii="Arial" w:cs="Arial" w:eastAsia="Arial" w:hAnsi="Arial"/>
                <w:sz w:val="16"/>
                <w:szCs w:val="16"/>
                <w:color w:val="auto"/>
              </w:rPr>
              <w:t>20,100</w:t>
            </w:r>
          </w:p>
        </w:tc>
        <w:tc>
          <w:tcPr>
            <w:tcW w:w="100" w:type="dxa"/>
            <w:vAlign w:val="bottom"/>
          </w:tcPr>
          <w:p>
            <w:pPr>
              <w:spacing w:after="0"/>
              <w:rPr>
                <w:sz w:val="20"/>
                <w:szCs w:val="20"/>
                <w:color w:val="auto"/>
              </w:rPr>
            </w:pPr>
          </w:p>
        </w:tc>
        <w:tc>
          <w:tcPr>
            <w:tcW w:w="180" w:type="dxa"/>
            <w:vAlign w:val="bottom"/>
          </w:tcPr>
          <w:p>
            <w:pPr>
              <w:ind w:left="40"/>
              <w:spacing w:after="0"/>
              <w:rPr>
                <w:sz w:val="20"/>
                <w:szCs w:val="20"/>
                <w:color w:val="auto"/>
              </w:rPr>
            </w:pPr>
            <w:r>
              <w:rPr>
                <w:rFonts w:ascii="Arial" w:cs="Arial" w:eastAsia="Arial" w:hAnsi="Arial"/>
                <w:sz w:val="16"/>
                <w:szCs w:val="16"/>
                <w:color w:val="auto"/>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(43,700)</w:t>
            </w:r>
          </w:p>
        </w:tc>
        <w:tc>
          <w:tcPr>
            <w:tcW w:w="14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(1,838)</w:t>
            </w:r>
          </w:p>
        </w:tc>
        <w:tc>
          <w:tcPr>
            <w:tcW w:w="0" w:type="dxa"/>
            <w:vAlign w:val="bottom"/>
          </w:tcPr>
          <w:p>
            <w:pPr>
              <w:spacing w:after="0"/>
              <w:rPr>
                <w:sz w:val="1"/>
                <w:szCs w:val="1"/>
                <w:color w:val="auto"/>
              </w:rPr>
            </w:pPr>
          </w:p>
        </w:tc>
      </w:tr>
      <w:tr>
        <w:trPr>
          <w:trHeight w:val="33"/>
        </w:trPr>
        <w:tc>
          <w:tcPr>
            <w:tcW w:w="4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Payer swaptions</w:t>
            </w:r>
          </w:p>
        </w:tc>
        <w:tc>
          <w:tcPr>
            <w:tcW w:w="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(14,250)</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(5,250)</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12,700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(6,800)</w:t>
            </w:r>
          </w:p>
        </w:tc>
        <w:tc>
          <w:tcPr>
            <w:tcW w:w="14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(193)</w:t>
            </w:r>
          </w:p>
        </w:tc>
        <w:tc>
          <w:tcPr>
            <w:tcW w:w="0" w:type="dxa"/>
            <w:vAlign w:val="bottom"/>
          </w:tcPr>
          <w:p>
            <w:pPr>
              <w:spacing w:after="0"/>
              <w:rPr>
                <w:sz w:val="1"/>
                <w:szCs w:val="1"/>
                <w:color w:val="auto"/>
              </w:rPr>
            </w:pPr>
          </w:p>
        </w:tc>
      </w:tr>
      <w:tr>
        <w:trPr>
          <w:trHeight w:val="237"/>
        </w:trPr>
        <w:tc>
          <w:tcPr>
            <w:tcW w:w="4820" w:type="dxa"/>
            <w:vAlign w:val="bottom"/>
            <w:gridSpan w:val="2"/>
          </w:tcPr>
          <w:p>
            <w:pPr>
              <w:ind w:left="40"/>
              <w:spacing w:after="0"/>
              <w:rPr>
                <w:sz w:val="20"/>
                <w:szCs w:val="20"/>
                <w:color w:val="auto"/>
              </w:rPr>
            </w:pPr>
            <w:r>
              <w:rPr>
                <w:rFonts w:ascii="Arial" w:cs="Arial" w:eastAsia="Arial" w:hAnsi="Arial"/>
                <w:sz w:val="16"/>
                <w:szCs w:val="16"/>
                <w:color w:val="auto"/>
              </w:rPr>
              <w:t>Receiver swaptions</w:t>
            </w:r>
          </w:p>
        </w:tc>
        <w:tc>
          <w:tcPr>
            <w:tcW w:w="140" w:type="dxa"/>
            <w:vAlign w:val="bottom"/>
          </w:tcPr>
          <w:p>
            <w:pPr>
              <w:ind w:left="20"/>
              <w:spacing w:after="0"/>
              <w:rPr>
                <w:sz w:val="20"/>
                <w:szCs w:val="20"/>
                <w:color w:val="auto"/>
              </w:rPr>
            </w:pPr>
            <w:r>
              <w:rPr>
                <w:rFonts w:ascii="Arial" w:cs="Arial" w:eastAsia="Arial" w:hAnsi="Arial"/>
                <w:sz w:val="16"/>
                <w:szCs w:val="16"/>
                <w:color w:val="auto"/>
              </w:rPr>
              <w:t>$</w:t>
            </w:r>
          </w:p>
        </w:tc>
        <w:tc>
          <w:tcPr>
            <w:tcW w:w="11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140" w:type="dxa"/>
            <w:vAlign w:val="bottom"/>
          </w:tcPr>
          <w:p>
            <w:pPr>
              <w:jc w:val="right"/>
              <w:ind w:right="20"/>
              <w:spacing w:after="0"/>
              <w:rPr>
                <w:sz w:val="20"/>
                <w:szCs w:val="20"/>
                <w:color w:val="auto"/>
              </w:rPr>
            </w:pPr>
            <w:r>
              <w:rPr>
                <w:rFonts w:ascii="Arial" w:cs="Arial" w:eastAsia="Arial" w:hAnsi="Arial"/>
                <w:sz w:val="16"/>
                <w:szCs w:val="16"/>
                <w:color w:val="auto"/>
              </w:rPr>
              <w:t>5,500</w:t>
            </w:r>
          </w:p>
        </w:tc>
        <w:tc>
          <w:tcPr>
            <w:tcW w:w="12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(1,250)</w:t>
            </w:r>
          </w:p>
        </w:tc>
        <w:tc>
          <w:tcPr>
            <w:tcW w:w="100" w:type="dxa"/>
            <w:vAlign w:val="bottom"/>
          </w:tcPr>
          <w:p>
            <w:pPr>
              <w:spacing w:after="0"/>
              <w:rPr>
                <w:sz w:val="20"/>
                <w:szCs w:val="20"/>
                <w:color w:val="auto"/>
              </w:rPr>
            </w:pPr>
          </w:p>
        </w:tc>
        <w:tc>
          <w:tcPr>
            <w:tcW w:w="180" w:type="dxa"/>
            <w:vAlign w:val="bottom"/>
          </w:tcPr>
          <w:p>
            <w:pPr>
              <w:ind w:left="4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20"/>
              <w:spacing w:after="0"/>
              <w:rPr>
                <w:sz w:val="20"/>
                <w:szCs w:val="20"/>
                <w:color w:val="auto"/>
              </w:rPr>
            </w:pPr>
            <w:r>
              <w:rPr>
                <w:rFonts w:ascii="Arial" w:cs="Arial" w:eastAsia="Arial" w:hAnsi="Arial"/>
                <w:sz w:val="16"/>
                <w:szCs w:val="16"/>
                <w:color w:val="auto"/>
              </w:rPr>
              <w:t>4,250</w:t>
            </w:r>
          </w:p>
        </w:tc>
        <w:tc>
          <w:tcPr>
            <w:tcW w:w="14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22"/>
              <w:spacing w:after="0"/>
              <w:rPr>
                <w:sz w:val="20"/>
                <w:szCs w:val="20"/>
                <w:color w:val="auto"/>
              </w:rPr>
            </w:pPr>
            <w:r>
              <w:rPr>
                <w:rFonts w:ascii="Arial" w:cs="Arial" w:eastAsia="Arial" w:hAnsi="Arial"/>
                <w:sz w:val="16"/>
                <w:szCs w:val="16"/>
                <w:color w:val="auto"/>
              </w:rPr>
              <w:t>11</w:t>
            </w:r>
          </w:p>
        </w:tc>
        <w:tc>
          <w:tcPr>
            <w:tcW w:w="0" w:type="dxa"/>
            <w:vAlign w:val="bottom"/>
          </w:tcPr>
          <w:p>
            <w:pPr>
              <w:spacing w:after="0"/>
              <w:rPr>
                <w:sz w:val="1"/>
                <w:szCs w:val="1"/>
                <w:color w:val="auto"/>
              </w:rPr>
            </w:pPr>
          </w:p>
        </w:tc>
      </w:tr>
      <w:tr>
        <w:trPr>
          <w:trHeight w:val="33"/>
        </w:trPr>
        <w:tc>
          <w:tcPr>
            <w:tcW w:w="4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U.S. Treasury securities - short position</w:t>
            </w:r>
          </w:p>
        </w:tc>
        <w:tc>
          <w:tcPr>
            <w:tcW w:w="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(2,007)</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(36,489)</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33,104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(5,392)</w:t>
            </w:r>
          </w:p>
        </w:tc>
        <w:tc>
          <w:tcPr>
            <w:tcW w:w="14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(420)</w:t>
            </w:r>
          </w:p>
        </w:tc>
        <w:tc>
          <w:tcPr>
            <w:tcW w:w="0" w:type="dxa"/>
            <w:vAlign w:val="bottom"/>
          </w:tcPr>
          <w:p>
            <w:pPr>
              <w:spacing w:after="0"/>
              <w:rPr>
                <w:sz w:val="1"/>
                <w:szCs w:val="1"/>
                <w:color w:val="auto"/>
              </w:rPr>
            </w:pPr>
          </w:p>
        </w:tc>
      </w:tr>
      <w:tr>
        <w:trPr>
          <w:trHeight w:val="237"/>
        </w:trPr>
        <w:tc>
          <w:tcPr>
            <w:tcW w:w="4820" w:type="dxa"/>
            <w:vAlign w:val="bottom"/>
            <w:gridSpan w:val="2"/>
          </w:tcPr>
          <w:p>
            <w:pPr>
              <w:ind w:left="40"/>
              <w:spacing w:after="0"/>
              <w:rPr>
                <w:sz w:val="20"/>
                <w:szCs w:val="20"/>
                <w:color w:val="auto"/>
              </w:rPr>
            </w:pPr>
            <w:r>
              <w:rPr>
                <w:rFonts w:ascii="Arial" w:cs="Arial" w:eastAsia="Arial" w:hAnsi="Arial"/>
                <w:sz w:val="16"/>
                <w:szCs w:val="16"/>
                <w:color w:val="auto"/>
              </w:rPr>
              <w:t>U.S. Treasury securities - long position</w:t>
            </w:r>
          </w:p>
        </w:tc>
        <w:tc>
          <w:tcPr>
            <w:tcW w:w="140" w:type="dxa"/>
            <w:vAlign w:val="bottom"/>
          </w:tcPr>
          <w:p>
            <w:pPr>
              <w:ind w:left="20"/>
              <w:spacing w:after="0"/>
              <w:rPr>
                <w:sz w:val="20"/>
                <w:szCs w:val="20"/>
                <w:color w:val="auto"/>
              </w:rPr>
            </w:pPr>
            <w:r>
              <w:rPr>
                <w:rFonts w:ascii="Arial" w:cs="Arial" w:eastAsia="Arial" w:hAnsi="Arial"/>
                <w:sz w:val="16"/>
                <w:szCs w:val="16"/>
                <w:color w:val="auto"/>
              </w:rPr>
              <w:t>$</w:t>
            </w:r>
          </w:p>
        </w:tc>
        <w:tc>
          <w:tcPr>
            <w:tcW w:w="1020" w:type="dxa"/>
            <w:vAlign w:val="bottom"/>
          </w:tcPr>
          <w:p>
            <w:pPr>
              <w:jc w:val="right"/>
              <w:ind w:right="41"/>
              <w:spacing w:after="0"/>
              <w:rPr>
                <w:sz w:val="20"/>
                <w:szCs w:val="20"/>
                <w:color w:val="auto"/>
              </w:rPr>
            </w:pPr>
            <w:r>
              <w:rPr>
                <w:rFonts w:ascii="Arial" w:cs="Arial" w:eastAsia="Arial" w:hAnsi="Arial"/>
                <w:sz w:val="16"/>
                <w:szCs w:val="16"/>
                <w:color w:val="auto"/>
              </w:rPr>
              <w:t>3,927</w:t>
            </w:r>
          </w:p>
        </w:tc>
        <w:tc>
          <w:tcPr>
            <w:tcW w:w="120" w:type="dxa"/>
            <w:vAlign w:val="bottom"/>
          </w:tcPr>
          <w:p>
            <w:pPr>
              <w:spacing w:after="0"/>
              <w:rPr>
                <w:sz w:val="20"/>
                <w:szCs w:val="20"/>
                <w:color w:val="auto"/>
              </w:rPr>
            </w:pPr>
          </w:p>
        </w:tc>
        <w:tc>
          <w:tcPr>
            <w:tcW w:w="1140" w:type="dxa"/>
            <w:vAlign w:val="bottom"/>
          </w:tcPr>
          <w:p>
            <w:pPr>
              <w:jc w:val="right"/>
              <w:ind w:right="20"/>
              <w:spacing w:after="0"/>
              <w:rPr>
                <w:sz w:val="20"/>
                <w:szCs w:val="20"/>
                <w:color w:val="auto"/>
              </w:rPr>
            </w:pPr>
            <w:r>
              <w:rPr>
                <w:rFonts w:ascii="Arial" w:cs="Arial" w:eastAsia="Arial" w:hAnsi="Arial"/>
                <w:sz w:val="16"/>
                <w:szCs w:val="16"/>
                <w:color w:val="auto"/>
              </w:rPr>
              <w:t>18,549</w:t>
            </w:r>
          </w:p>
        </w:tc>
        <w:tc>
          <w:tcPr>
            <w:tcW w:w="12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(20,065)</w:t>
            </w:r>
          </w:p>
        </w:tc>
        <w:tc>
          <w:tcPr>
            <w:tcW w:w="100" w:type="dxa"/>
            <w:vAlign w:val="bottom"/>
          </w:tcPr>
          <w:p>
            <w:pPr>
              <w:spacing w:after="0"/>
              <w:rPr>
                <w:sz w:val="20"/>
                <w:szCs w:val="20"/>
                <w:color w:val="auto"/>
              </w:rPr>
            </w:pPr>
          </w:p>
        </w:tc>
        <w:tc>
          <w:tcPr>
            <w:tcW w:w="180" w:type="dxa"/>
            <w:vAlign w:val="bottom"/>
          </w:tcPr>
          <w:p>
            <w:pPr>
              <w:ind w:left="4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20"/>
              <w:spacing w:after="0"/>
              <w:rPr>
                <w:sz w:val="20"/>
                <w:szCs w:val="20"/>
                <w:color w:val="auto"/>
              </w:rPr>
            </w:pPr>
            <w:r>
              <w:rPr>
                <w:rFonts w:ascii="Arial" w:cs="Arial" w:eastAsia="Arial" w:hAnsi="Arial"/>
                <w:sz w:val="16"/>
                <w:szCs w:val="16"/>
                <w:color w:val="auto"/>
              </w:rPr>
              <w:t>2,411</w:t>
            </w:r>
          </w:p>
        </w:tc>
        <w:tc>
          <w:tcPr>
            <w:tcW w:w="14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22"/>
              <w:spacing w:after="0"/>
              <w:rPr>
                <w:sz w:val="20"/>
                <w:szCs w:val="20"/>
                <w:color w:val="auto"/>
              </w:rPr>
            </w:pPr>
            <w:r>
              <w:rPr>
                <w:rFonts w:ascii="Arial" w:cs="Arial" w:eastAsia="Arial" w:hAnsi="Arial"/>
                <w:sz w:val="16"/>
                <w:szCs w:val="16"/>
                <w:color w:val="auto"/>
              </w:rPr>
              <w:t>66</w:t>
            </w:r>
          </w:p>
        </w:tc>
        <w:tc>
          <w:tcPr>
            <w:tcW w:w="0" w:type="dxa"/>
            <w:vAlign w:val="bottom"/>
          </w:tcPr>
          <w:p>
            <w:pPr>
              <w:spacing w:after="0"/>
              <w:rPr>
                <w:sz w:val="1"/>
                <w:szCs w:val="1"/>
                <w:color w:val="auto"/>
              </w:rPr>
            </w:pPr>
          </w:p>
        </w:tc>
      </w:tr>
      <w:tr>
        <w:trPr>
          <w:trHeight w:val="33"/>
        </w:trPr>
        <w:tc>
          <w:tcPr>
            <w:tcW w:w="4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U.S. Treasury futures contracts - short position</w:t>
            </w:r>
          </w:p>
        </w:tc>
        <w:tc>
          <w:tcPr>
            <w:tcW w:w="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(1,730)</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(2,920)</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3,920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(730)</w:t>
            </w:r>
          </w:p>
        </w:tc>
        <w:tc>
          <w:tcPr>
            <w:tcW w:w="14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(76)</w:t>
            </w:r>
          </w:p>
        </w:tc>
        <w:tc>
          <w:tcPr>
            <w:tcW w:w="0" w:type="dxa"/>
            <w:vAlign w:val="bottom"/>
          </w:tcPr>
          <w:p>
            <w:pPr>
              <w:spacing w:after="0"/>
              <w:rPr>
                <w:sz w:val="1"/>
                <w:szCs w:val="1"/>
                <w:color w:val="auto"/>
              </w:rPr>
            </w:pPr>
          </w:p>
        </w:tc>
      </w:tr>
      <w:tr>
        <w:trPr>
          <w:trHeight w:val="237"/>
        </w:trPr>
        <w:tc>
          <w:tcPr>
            <w:tcW w:w="4820" w:type="dxa"/>
            <w:vAlign w:val="bottom"/>
            <w:gridSpan w:val="2"/>
          </w:tcPr>
          <w:p>
            <w:pPr>
              <w:ind w:left="40"/>
              <w:spacing w:after="0"/>
              <w:rPr>
                <w:sz w:val="20"/>
                <w:szCs w:val="20"/>
                <w:color w:val="auto"/>
              </w:rPr>
            </w:pPr>
            <w:r>
              <w:rPr>
                <w:rFonts w:ascii="Arial" w:cs="Arial" w:eastAsia="Arial" w:hAnsi="Arial"/>
                <w:sz w:val="16"/>
                <w:szCs w:val="16"/>
                <w:color w:val="auto"/>
              </w:rPr>
              <w:t>TBA put option</w:t>
            </w:r>
          </w:p>
        </w:tc>
        <w:tc>
          <w:tcPr>
            <w:tcW w:w="140" w:type="dxa"/>
            <w:vAlign w:val="bottom"/>
          </w:tcPr>
          <w:p>
            <w:pPr>
              <w:ind w:left="20"/>
              <w:spacing w:after="0"/>
              <w:rPr>
                <w:sz w:val="20"/>
                <w:szCs w:val="20"/>
                <w:color w:val="auto"/>
              </w:rPr>
            </w:pPr>
            <w:r>
              <w:rPr>
                <w:rFonts w:ascii="Arial" w:cs="Arial" w:eastAsia="Arial" w:hAnsi="Arial"/>
                <w:sz w:val="16"/>
                <w:szCs w:val="16"/>
                <w:color w:val="auto"/>
              </w:rPr>
              <w:t>$</w:t>
            </w:r>
          </w:p>
        </w:tc>
        <w:tc>
          <w:tcPr>
            <w:tcW w:w="11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140" w:type="dxa"/>
            <w:vAlign w:val="bottom"/>
          </w:tcPr>
          <w:p>
            <w:pPr>
              <w:jc w:val="right"/>
              <w:spacing w:after="0"/>
              <w:rPr>
                <w:sz w:val="20"/>
                <w:szCs w:val="20"/>
                <w:color w:val="auto"/>
              </w:rPr>
            </w:pPr>
            <w:r>
              <w:rPr>
                <w:rFonts w:ascii="Arial" w:cs="Arial" w:eastAsia="Arial" w:hAnsi="Arial"/>
                <w:sz w:val="16"/>
                <w:szCs w:val="16"/>
                <w:color w:val="auto"/>
              </w:rPr>
              <w:t>(150)</w:t>
            </w:r>
          </w:p>
        </w:tc>
        <w:tc>
          <w:tcPr>
            <w:tcW w:w="120" w:type="dxa"/>
            <w:vAlign w:val="bottom"/>
          </w:tcPr>
          <w:p>
            <w:pPr>
              <w:spacing w:after="0"/>
              <w:rPr>
                <w:sz w:val="20"/>
                <w:szCs w:val="20"/>
                <w:color w:val="auto"/>
              </w:rPr>
            </w:pPr>
          </w:p>
        </w:tc>
        <w:tc>
          <w:tcPr>
            <w:tcW w:w="1240" w:type="dxa"/>
            <w:vAlign w:val="bottom"/>
          </w:tcPr>
          <w:p>
            <w:pPr>
              <w:jc w:val="right"/>
              <w:ind w:right="42"/>
              <w:spacing w:after="0"/>
              <w:rPr>
                <w:sz w:val="20"/>
                <w:szCs w:val="20"/>
                <w:color w:val="auto"/>
              </w:rPr>
            </w:pPr>
            <w:r>
              <w:rPr>
                <w:rFonts w:ascii="Arial" w:cs="Arial" w:eastAsia="Arial" w:hAnsi="Arial"/>
                <w:sz w:val="16"/>
                <w:szCs w:val="16"/>
                <w:color w:val="auto"/>
              </w:rPr>
              <w:t>150</w:t>
            </w:r>
          </w:p>
        </w:tc>
        <w:tc>
          <w:tcPr>
            <w:tcW w:w="100" w:type="dxa"/>
            <w:vAlign w:val="bottom"/>
          </w:tcPr>
          <w:p>
            <w:pPr>
              <w:spacing w:after="0"/>
              <w:rPr>
                <w:sz w:val="20"/>
                <w:szCs w:val="20"/>
                <w:color w:val="auto"/>
              </w:rPr>
            </w:pPr>
          </w:p>
        </w:tc>
        <w:tc>
          <w:tcPr>
            <w:tcW w:w="180" w:type="dxa"/>
            <w:vAlign w:val="bottom"/>
          </w:tcPr>
          <w:p>
            <w:pPr>
              <w:ind w:left="40"/>
              <w:spacing w:after="0"/>
              <w:rPr>
                <w:sz w:val="20"/>
                <w:szCs w:val="20"/>
                <w:color w:val="auto"/>
              </w:rPr>
            </w:pPr>
            <w:r>
              <w:rPr>
                <w:rFonts w:ascii="Arial" w:cs="Arial" w:eastAsia="Arial" w:hAnsi="Arial"/>
                <w:sz w:val="16"/>
                <w:szCs w:val="16"/>
                <w:color w:val="auto"/>
              </w:rPr>
              <w:t>$</w:t>
            </w:r>
          </w:p>
        </w:tc>
        <w:tc>
          <w:tcPr>
            <w:tcW w:w="1200" w:type="dxa"/>
            <w:vAlign w:val="bottom"/>
            <w:tcBorders>
              <w:right w:val="single" w:sz="8" w:color="auto"/>
            </w:tcBorders>
            <w:gridSpan w:val="2"/>
          </w:tcPr>
          <w:p>
            <w:pPr>
              <w:jc w:val="right"/>
              <w:ind w:right="24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47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0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1060" w:type="dxa"/>
            <w:vAlign w:val="bottom"/>
            <w:tcBorders>
              <w:bottom w:val="single" w:sz="8" w:color="CCEEFF"/>
            </w:tcBorders>
          </w:tcPr>
          <w:p>
            <w:pPr>
              <w:spacing w:after="0"/>
              <w:rPr>
                <w:sz w:val="2"/>
                <w:szCs w:val="2"/>
                <w:color w:val="auto"/>
              </w:rPr>
            </w:pPr>
          </w:p>
        </w:tc>
        <w:tc>
          <w:tcPr>
            <w:tcW w:w="140" w:type="dxa"/>
            <w:vAlign w:val="bottom"/>
            <w:tcBorders>
              <w:bottom w:val="single" w:sz="8" w:color="CCEEFF"/>
              <w:right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5"/>
        </w:trPr>
        <w:tc>
          <w:tcPr>
            <w:tcW w:w="47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(1,333)</w:t>
            </w:r>
          </w:p>
        </w:tc>
        <w:tc>
          <w:tcPr>
            <w:tcW w:w="0" w:type="dxa"/>
            <w:vAlign w:val="bottom"/>
          </w:tcPr>
          <w:p>
            <w:pPr>
              <w:spacing w:after="0"/>
              <w:rPr>
                <w:sz w:val="1"/>
                <w:szCs w:val="1"/>
                <w:color w:val="auto"/>
              </w:rPr>
            </w:pPr>
          </w:p>
        </w:tc>
      </w:tr>
      <w:tr>
        <w:trPr>
          <w:trHeight w:val="20"/>
        </w:trPr>
        <w:tc>
          <w:tcPr>
            <w:tcW w:w="4700" w:type="dxa"/>
            <w:vAlign w:val="bottom"/>
            <w:tcBorders>
              <w:top w:val="single" w:sz="8" w:color="CCEEFF"/>
              <w:bottom w:val="single" w:sz="8" w:color="CCEEFF"/>
            </w:tcBorders>
            <w:vMerge w:val="restart"/>
          </w:tcPr>
          <w:p>
            <w:pPr>
              <w:ind w:left="100"/>
              <w:spacing w:after="0"/>
              <w:rPr>
                <w:sz w:val="20"/>
                <w:szCs w:val="20"/>
                <w:color w:val="auto"/>
              </w:rPr>
            </w:pPr>
            <w:r>
              <w:rPr>
                <w:rFonts w:ascii="Arial" w:cs="Arial" w:eastAsia="Arial" w:hAnsi="Arial"/>
                <w:sz w:val="18"/>
                <w:szCs w:val="18"/>
                <w:color w:val="auto"/>
              </w:rPr>
              <w:t>______________________</w:t>
            </w:r>
          </w:p>
        </w:tc>
        <w:tc>
          <w:tcPr>
            <w:tcW w:w="120" w:type="dxa"/>
            <w:vAlign w:val="bottom"/>
            <w:tcBorders>
              <w:top w:val="single" w:sz="8" w:color="CCEEFF"/>
              <w:bottom w:val="single" w:sz="8" w:color="CCEEFF"/>
            </w:tcBorders>
            <w:vMerge w:val="restart"/>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4700" w:type="dxa"/>
            <w:vAlign w:val="bottom"/>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0" w:type="dxa"/>
            <w:vAlign w:val="bottom"/>
          </w:tcPr>
          <w:p>
            <w:pPr>
              <w:spacing w:after="0"/>
              <w:rPr>
                <w:sz w:val="1"/>
                <w:szCs w:val="1"/>
                <w:color w:val="auto"/>
              </w:rPr>
            </w:pPr>
          </w:p>
        </w:tc>
      </w:tr>
    </w:tbl>
    <w:p>
      <w:pPr>
        <w:jc w:val="both"/>
        <w:ind w:left="660" w:hanging="328"/>
        <w:spacing w:after="0" w:line="248" w:lineRule="auto"/>
        <w:tabs>
          <w:tab w:leader="none" w:pos="660" w:val="left"/>
        </w:tabs>
        <w:numPr>
          <w:ilvl w:val="0"/>
          <w:numId w:val="58"/>
        </w:numPr>
        <w:rPr>
          <w:rFonts w:ascii="Arial" w:cs="Arial" w:eastAsia="Arial" w:hAnsi="Arial"/>
          <w:sz w:val="14"/>
          <w:szCs w:val="14"/>
          <w:color w:val="auto"/>
        </w:rPr>
      </w:pPr>
      <w:r>
        <w:rPr>
          <w:rFonts w:ascii="Arial" w:cs="Arial" w:eastAsia="Arial" w:hAnsi="Arial"/>
          <w:sz w:val="14"/>
          <w:szCs w:val="14"/>
          <w:color w:val="auto"/>
        </w:rPr>
        <w:t>Excludes a net gain of $75 million from investments in REIT equity securities, a net loss of $10 million from debt of consolidated VIEs, a net gain of $32 million from interest and principal-only securities and other miscellaneous net losses of $7 million recognized in gain (loss) on derivative instruments and other securities, net in our consolidated statements of comprehensive income.</w:t>
      </w: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2"/>
          </w:tcPr>
          <w:p>
            <w:pPr>
              <w:ind w:left="280"/>
              <w:spacing w:after="0"/>
              <w:rPr>
                <w:sz w:val="20"/>
                <w:szCs w:val="20"/>
                <w:color w:val="auto"/>
              </w:rPr>
            </w:pPr>
            <w:r>
              <w:rPr>
                <w:rFonts w:ascii="Arial" w:cs="Arial" w:eastAsia="Arial" w:hAnsi="Arial"/>
                <w:sz w:val="14"/>
                <w:szCs w:val="14"/>
                <w:b w:val="1"/>
                <w:bCs w:val="1"/>
                <w:color w:val="auto"/>
                <w:w w:val="96"/>
              </w:rPr>
              <w:t>Fiscal year 2013</w:t>
            </w: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8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95"/>
              </w:rPr>
              <w:t>Notional Amount</w:t>
            </w:r>
          </w:p>
        </w:tc>
        <w:tc>
          <w:tcPr>
            <w:tcW w:w="1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4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0"/>
              </w:rPr>
              <w:t>Settlement,</w:t>
            </w:r>
          </w:p>
        </w:tc>
        <w:tc>
          <w:tcPr>
            <w:tcW w:w="1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jc w:val="center"/>
              <w:ind w:right="82"/>
              <w:spacing w:after="0" w:line="153" w:lineRule="exact"/>
              <w:rPr>
                <w:sz w:val="20"/>
                <w:szCs w:val="20"/>
                <w:color w:val="auto"/>
              </w:rPr>
            </w:pPr>
            <w:r>
              <w:rPr>
                <w:rFonts w:ascii="Arial" w:cs="Arial" w:eastAsia="Arial" w:hAnsi="Arial"/>
                <w:sz w:val="14"/>
                <w:szCs w:val="14"/>
                <w:b w:val="1"/>
                <w:bCs w:val="1"/>
                <w:color w:val="auto"/>
                <w:w w:val="94"/>
              </w:rPr>
              <w:t>Amount of</w:t>
            </w:r>
          </w:p>
        </w:tc>
        <w:tc>
          <w:tcPr>
            <w:tcW w:w="0" w:type="dxa"/>
            <w:vAlign w:val="bottom"/>
          </w:tcPr>
          <w:p>
            <w:pPr>
              <w:spacing w:after="0"/>
              <w:rPr>
                <w:sz w:val="1"/>
                <w:szCs w:val="1"/>
                <w:color w:val="auto"/>
              </w:rPr>
            </w:pPr>
          </w:p>
        </w:tc>
      </w:tr>
      <w:tr>
        <w:trPr>
          <w:trHeight w:val="149"/>
        </w:trPr>
        <w:tc>
          <w:tcPr>
            <w:tcW w:w="4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gridSpan w:val="3"/>
            <w:vMerge w:val="continue"/>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40" w:type="dxa"/>
            <w:vAlign w:val="bottom"/>
            <w:gridSpan w:val="2"/>
            <w:vMerge w:val="continue"/>
          </w:tcPr>
          <w:p>
            <w:pPr>
              <w:spacing w:after="0"/>
              <w:rPr>
                <w:sz w:val="12"/>
                <w:szCs w:val="12"/>
                <w:color w:val="auto"/>
              </w:rPr>
            </w:pPr>
          </w:p>
        </w:tc>
        <w:tc>
          <w:tcPr>
            <w:tcW w:w="1480" w:type="dxa"/>
            <w:vAlign w:val="bottom"/>
            <w:gridSpan w:val="4"/>
            <w:vMerge w:val="restart"/>
          </w:tcPr>
          <w:p>
            <w:pPr>
              <w:jc w:val="center"/>
              <w:ind w:right="220"/>
              <w:spacing w:after="0"/>
              <w:rPr>
                <w:sz w:val="20"/>
                <w:szCs w:val="20"/>
                <w:color w:val="auto"/>
              </w:rPr>
            </w:pPr>
            <w:r>
              <w:rPr>
                <w:rFonts w:ascii="Arial" w:cs="Arial" w:eastAsia="Arial" w:hAnsi="Arial"/>
                <w:sz w:val="14"/>
                <w:szCs w:val="14"/>
                <w:b w:val="1"/>
                <w:bCs w:val="1"/>
                <w:color w:val="auto"/>
                <w:w w:val="93"/>
              </w:rPr>
              <w:t>Notional Amount</w:t>
            </w:r>
          </w:p>
        </w:tc>
        <w:tc>
          <w:tcPr>
            <w:tcW w:w="140" w:type="dxa"/>
            <w:vAlign w:val="bottom"/>
          </w:tcPr>
          <w:p>
            <w:pPr>
              <w:spacing w:after="0"/>
              <w:rPr>
                <w:sz w:val="12"/>
                <w:szCs w:val="12"/>
                <w:color w:val="auto"/>
              </w:rPr>
            </w:pPr>
          </w:p>
        </w:tc>
        <w:tc>
          <w:tcPr>
            <w:tcW w:w="1100" w:type="dxa"/>
            <w:vAlign w:val="bottom"/>
          </w:tcPr>
          <w:p>
            <w:pPr>
              <w:jc w:val="center"/>
              <w:ind w:right="62"/>
              <w:spacing w:after="0" w:line="149" w:lineRule="exact"/>
              <w:rPr>
                <w:sz w:val="20"/>
                <w:szCs w:val="20"/>
                <w:color w:val="auto"/>
              </w:rPr>
            </w:pPr>
            <w:r>
              <w:rPr>
                <w:rFonts w:ascii="Arial" w:cs="Arial" w:eastAsia="Arial" w:hAnsi="Arial"/>
                <w:sz w:val="14"/>
                <w:szCs w:val="14"/>
                <w:b w:val="1"/>
                <w:bCs w:val="1"/>
                <w:color w:val="auto"/>
                <w:w w:val="93"/>
              </w:rPr>
              <w:t>Gain/(Loss)</w:t>
            </w:r>
          </w:p>
        </w:tc>
        <w:tc>
          <w:tcPr>
            <w:tcW w:w="0" w:type="dxa"/>
            <w:vAlign w:val="bottom"/>
          </w:tcPr>
          <w:p>
            <w:pPr>
              <w:spacing w:after="0"/>
              <w:rPr>
                <w:sz w:val="1"/>
                <w:szCs w:val="1"/>
                <w:color w:val="auto"/>
              </w:rPr>
            </w:pPr>
          </w:p>
        </w:tc>
      </w:tr>
      <w:tr>
        <w:trPr>
          <w:trHeight w:val="149"/>
        </w:trPr>
        <w:tc>
          <w:tcPr>
            <w:tcW w:w="4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5"/>
              </w:rPr>
              <w:t>Long/(Short)</w:t>
            </w: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5"/>
              </w:rPr>
              <w:t>Termination,</w:t>
            </w:r>
          </w:p>
        </w:tc>
        <w:tc>
          <w:tcPr>
            <w:tcW w:w="1480" w:type="dxa"/>
            <w:vAlign w:val="bottom"/>
            <w:gridSpan w:val="4"/>
            <w:vMerge w:val="continue"/>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tcPr>
          <w:p>
            <w:pPr>
              <w:jc w:val="center"/>
              <w:ind w:right="82"/>
              <w:spacing w:after="0" w:line="149" w:lineRule="exact"/>
              <w:rPr>
                <w:sz w:val="20"/>
                <w:szCs w:val="20"/>
                <w:color w:val="auto"/>
              </w:rPr>
            </w:pPr>
            <w:r>
              <w:rPr>
                <w:rFonts w:ascii="Arial" w:cs="Arial" w:eastAsia="Arial" w:hAnsi="Arial"/>
                <w:sz w:val="14"/>
                <w:szCs w:val="14"/>
                <w:b w:val="1"/>
                <w:bCs w:val="1"/>
                <w:color w:val="auto"/>
                <w:w w:val="90"/>
              </w:rPr>
              <w:t>Recognized in</w:t>
            </w:r>
          </w:p>
        </w:tc>
        <w:tc>
          <w:tcPr>
            <w:tcW w:w="0" w:type="dxa"/>
            <w:vAlign w:val="bottom"/>
          </w:tcPr>
          <w:p>
            <w:pPr>
              <w:spacing w:after="0"/>
              <w:rPr>
                <w:sz w:val="1"/>
                <w:szCs w:val="1"/>
                <w:color w:val="auto"/>
              </w:rPr>
            </w:pPr>
          </w:p>
        </w:tc>
      </w:tr>
      <w:tr>
        <w:trPr>
          <w:trHeight w:val="149"/>
        </w:trPr>
        <w:tc>
          <w:tcPr>
            <w:tcW w:w="47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Derivative and Other Hedging Instruments</w:t>
            </w:r>
          </w:p>
        </w:tc>
        <w:tc>
          <w:tcPr>
            <w:tcW w:w="120" w:type="dxa"/>
            <w:vAlign w:val="bottom"/>
            <w:vMerge w:val="restart"/>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December 31,</w:t>
            </w:r>
          </w:p>
        </w:tc>
        <w:tc>
          <w:tcPr>
            <w:tcW w:w="1140" w:type="dxa"/>
            <w:vAlign w:val="bottom"/>
            <w:vMerge w:val="restart"/>
          </w:tcPr>
          <w:p>
            <w:pPr>
              <w:jc w:val="right"/>
              <w:ind w:right="180"/>
              <w:spacing w:after="0"/>
              <w:rPr>
                <w:sz w:val="20"/>
                <w:szCs w:val="20"/>
                <w:color w:val="auto"/>
              </w:rPr>
            </w:pPr>
            <w:r>
              <w:rPr>
                <w:rFonts w:ascii="Arial" w:cs="Arial" w:eastAsia="Arial" w:hAnsi="Arial"/>
                <w:sz w:val="14"/>
                <w:szCs w:val="14"/>
                <w:b w:val="1"/>
                <w:bCs w:val="1"/>
                <w:color w:val="auto"/>
              </w:rPr>
              <w:t>Additions</w:t>
            </w:r>
          </w:p>
        </w:tc>
        <w:tc>
          <w:tcPr>
            <w:tcW w:w="120" w:type="dxa"/>
            <w:vAlign w:val="bottom"/>
            <w:vMerge w:val="restart"/>
          </w:tcPr>
          <w:p>
            <w:pPr>
              <w:spacing w:after="0"/>
              <w:rPr>
                <w:sz w:val="12"/>
                <w:szCs w:val="12"/>
                <w:color w:val="auto"/>
              </w:rPr>
            </w:pPr>
          </w:p>
        </w:tc>
        <w:tc>
          <w:tcPr>
            <w:tcW w:w="13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7"/>
              </w:rPr>
              <w:t>Expiration or</w:t>
            </w:r>
          </w:p>
        </w:tc>
        <w:tc>
          <w:tcPr>
            <w:tcW w:w="180" w:type="dxa"/>
            <w:vAlign w:val="bottom"/>
          </w:tcPr>
          <w:p>
            <w:pPr>
              <w:spacing w:after="0"/>
              <w:rPr>
                <w:sz w:val="12"/>
                <w:szCs w:val="12"/>
                <w:color w:val="auto"/>
              </w:rPr>
            </w:pPr>
          </w:p>
        </w:tc>
        <w:tc>
          <w:tcPr>
            <w:tcW w:w="1300" w:type="dxa"/>
            <w:vAlign w:val="bottom"/>
            <w:gridSpan w:val="3"/>
          </w:tcPr>
          <w:p>
            <w:pPr>
              <w:jc w:val="center"/>
              <w:ind w:right="380"/>
              <w:spacing w:after="0" w:line="149" w:lineRule="exact"/>
              <w:rPr>
                <w:sz w:val="20"/>
                <w:szCs w:val="20"/>
                <w:color w:val="auto"/>
              </w:rPr>
            </w:pPr>
            <w:r>
              <w:rPr>
                <w:rFonts w:ascii="Arial" w:cs="Arial" w:eastAsia="Arial" w:hAnsi="Arial"/>
                <w:sz w:val="14"/>
                <w:szCs w:val="14"/>
                <w:b w:val="1"/>
                <w:bCs w:val="1"/>
                <w:color w:val="auto"/>
                <w:w w:val="95"/>
              </w:rPr>
              <w:t>Long/(Short)</w:t>
            </w:r>
          </w:p>
        </w:tc>
        <w:tc>
          <w:tcPr>
            <w:tcW w:w="140" w:type="dxa"/>
            <w:vAlign w:val="bottom"/>
          </w:tcPr>
          <w:p>
            <w:pPr>
              <w:spacing w:after="0"/>
              <w:rPr>
                <w:sz w:val="12"/>
                <w:szCs w:val="12"/>
                <w:color w:val="auto"/>
              </w:rPr>
            </w:pPr>
          </w:p>
        </w:tc>
        <w:tc>
          <w:tcPr>
            <w:tcW w:w="1100" w:type="dxa"/>
            <w:vAlign w:val="bottom"/>
          </w:tcPr>
          <w:p>
            <w:pPr>
              <w:jc w:val="center"/>
              <w:ind w:right="62"/>
              <w:spacing w:after="0" w:line="149" w:lineRule="exact"/>
              <w:rPr>
                <w:sz w:val="20"/>
                <w:szCs w:val="20"/>
                <w:color w:val="auto"/>
              </w:rPr>
            </w:pPr>
            <w:r>
              <w:rPr>
                <w:rFonts w:ascii="Arial" w:cs="Arial" w:eastAsia="Arial" w:hAnsi="Arial"/>
                <w:sz w:val="14"/>
                <w:szCs w:val="14"/>
                <w:b w:val="1"/>
                <w:bCs w:val="1"/>
                <w:color w:val="auto"/>
                <w:w w:val="91"/>
              </w:rPr>
              <w:t>Income on</w:t>
            </w:r>
          </w:p>
        </w:tc>
        <w:tc>
          <w:tcPr>
            <w:tcW w:w="0" w:type="dxa"/>
            <w:vAlign w:val="bottom"/>
          </w:tcPr>
          <w:p>
            <w:pPr>
              <w:spacing w:after="0"/>
              <w:rPr>
                <w:sz w:val="1"/>
                <w:szCs w:val="1"/>
                <w:color w:val="auto"/>
              </w:rPr>
            </w:pPr>
          </w:p>
        </w:tc>
      </w:tr>
      <w:tr>
        <w:trPr>
          <w:trHeight w:val="192"/>
        </w:trPr>
        <w:tc>
          <w:tcPr>
            <w:tcW w:w="47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89"/>
              </w:rPr>
              <w:t>2012</w:t>
            </w:r>
          </w:p>
        </w:tc>
        <w:tc>
          <w:tcPr>
            <w:tcW w:w="120" w:type="dxa"/>
            <w:vAlign w:val="bottom"/>
            <w:tcBorders>
              <w:bottom w:val="single" w:sz="8" w:color="CCEEFF"/>
            </w:tcBorders>
          </w:tcPr>
          <w:p>
            <w:pPr>
              <w:spacing w:after="0"/>
              <w:rPr>
                <w:sz w:val="16"/>
                <w:szCs w:val="16"/>
                <w:color w:val="auto"/>
              </w:rPr>
            </w:pPr>
          </w:p>
        </w:tc>
        <w:tc>
          <w:tcPr>
            <w:tcW w:w="11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Exercise</w:t>
            </w:r>
          </w:p>
        </w:tc>
        <w:tc>
          <w:tcPr>
            <w:tcW w:w="10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w w:val="93"/>
              </w:rPr>
              <w:t>December 31, 2013</w:t>
            </w:r>
          </w:p>
        </w:tc>
        <w:tc>
          <w:tcPr>
            <w:tcW w:w="14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91"/>
              </w:rPr>
              <w:t xml:space="preserve">Derivatives </w:t>
            </w:r>
            <w:r>
              <w:rPr>
                <w:rFonts w:ascii="Arial" w:cs="Arial" w:eastAsia="Arial" w:hAnsi="Arial"/>
                <w:sz w:val="8"/>
                <w:szCs w:val="8"/>
                <w:b w:val="1"/>
                <w:bCs w:val="1"/>
                <w:color w:val="auto"/>
                <w:w w:val="91"/>
              </w:rPr>
              <w:t>1</w:t>
            </w:r>
          </w:p>
        </w:tc>
        <w:tc>
          <w:tcPr>
            <w:tcW w:w="0" w:type="dxa"/>
            <w:vAlign w:val="bottom"/>
          </w:tcPr>
          <w:p>
            <w:pPr>
              <w:spacing w:after="0"/>
              <w:rPr>
                <w:sz w:val="1"/>
                <w:szCs w:val="1"/>
                <w:color w:val="auto"/>
              </w:rPr>
            </w:pPr>
          </w:p>
        </w:tc>
      </w:tr>
      <w:tr>
        <w:trPr>
          <w:trHeight w:val="236"/>
        </w:trPr>
        <w:tc>
          <w:tcPr>
            <w:tcW w:w="48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TBA securities, net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12,477</w:t>
            </w:r>
          </w:p>
        </w:tc>
        <w:tc>
          <w:tcPr>
            <w:tcW w:w="12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42,707</w:t>
            </w:r>
          </w:p>
        </w:tc>
        <w:tc>
          <w:tcPr>
            <w:tcW w:w="12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(53,065)</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2,119</w:t>
            </w:r>
          </w:p>
        </w:tc>
        <w:tc>
          <w:tcPr>
            <w:tcW w:w="140" w:type="dxa"/>
            <w:vAlign w:val="bottom"/>
            <w:tcBorders>
              <w:bottom w:val="single" w:sz="8" w:color="CCEEFF"/>
              <w:right w:val="single" w:sz="8" w:color="auto"/>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(726)</w:t>
            </w:r>
          </w:p>
        </w:tc>
        <w:tc>
          <w:tcPr>
            <w:tcW w:w="0" w:type="dxa"/>
            <w:vAlign w:val="bottom"/>
          </w:tcPr>
          <w:p>
            <w:pPr>
              <w:spacing w:after="0"/>
              <w:rPr>
                <w:sz w:val="1"/>
                <w:szCs w:val="1"/>
                <w:color w:val="auto"/>
              </w:rPr>
            </w:pPr>
          </w:p>
        </w:tc>
      </w:tr>
      <w:tr>
        <w:trPr>
          <w:trHeight w:val="237"/>
        </w:trPr>
        <w:tc>
          <w:tcPr>
            <w:tcW w:w="4820" w:type="dxa"/>
            <w:vAlign w:val="bottom"/>
            <w:gridSpan w:val="2"/>
          </w:tcPr>
          <w:p>
            <w:pPr>
              <w:ind w:left="40"/>
              <w:spacing w:after="0"/>
              <w:rPr>
                <w:sz w:val="20"/>
                <w:szCs w:val="20"/>
                <w:color w:val="auto"/>
              </w:rPr>
            </w:pPr>
            <w:r>
              <w:rPr>
                <w:rFonts w:ascii="Arial" w:cs="Arial" w:eastAsia="Arial" w:hAnsi="Arial"/>
                <w:sz w:val="16"/>
                <w:szCs w:val="16"/>
                <w:color w:val="auto"/>
              </w:rPr>
              <w:t>Interest rate swaps</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2"/>
              <w:spacing w:after="0"/>
              <w:rPr>
                <w:sz w:val="20"/>
                <w:szCs w:val="20"/>
                <w:color w:val="auto"/>
              </w:rPr>
            </w:pPr>
            <w:r>
              <w:rPr>
                <w:rFonts w:ascii="Arial" w:cs="Arial" w:eastAsia="Arial" w:hAnsi="Arial"/>
                <w:sz w:val="16"/>
                <w:szCs w:val="16"/>
                <w:color w:val="auto"/>
              </w:rPr>
              <w:t>(46,850)</w:t>
            </w:r>
          </w:p>
        </w:tc>
        <w:tc>
          <w:tcPr>
            <w:tcW w:w="12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(20,750)</w:t>
            </w:r>
          </w:p>
        </w:tc>
        <w:tc>
          <w:tcPr>
            <w:tcW w:w="120" w:type="dxa"/>
            <w:vAlign w:val="bottom"/>
          </w:tcPr>
          <w:p>
            <w:pPr>
              <w:spacing w:after="0"/>
              <w:rPr>
                <w:sz w:val="20"/>
                <w:szCs w:val="20"/>
                <w:color w:val="auto"/>
              </w:rPr>
            </w:pPr>
          </w:p>
        </w:tc>
        <w:tc>
          <w:tcPr>
            <w:tcW w:w="1240" w:type="dxa"/>
            <w:vAlign w:val="bottom"/>
          </w:tcPr>
          <w:p>
            <w:pPr>
              <w:jc w:val="right"/>
              <w:ind w:right="43"/>
              <w:spacing w:after="0"/>
              <w:rPr>
                <w:sz w:val="20"/>
                <w:szCs w:val="20"/>
                <w:color w:val="auto"/>
              </w:rPr>
            </w:pPr>
            <w:r>
              <w:rPr>
                <w:rFonts w:ascii="Arial" w:cs="Arial" w:eastAsia="Arial" w:hAnsi="Arial"/>
                <w:sz w:val="16"/>
                <w:szCs w:val="16"/>
                <w:color w:val="auto"/>
              </w:rPr>
              <w:t>24,350</w:t>
            </w:r>
          </w:p>
        </w:tc>
        <w:tc>
          <w:tcPr>
            <w:tcW w:w="100" w:type="dxa"/>
            <w:vAlign w:val="bottom"/>
          </w:tcPr>
          <w:p>
            <w:pPr>
              <w:spacing w:after="0"/>
              <w:rPr>
                <w:sz w:val="20"/>
                <w:szCs w:val="20"/>
                <w:color w:val="auto"/>
              </w:rPr>
            </w:pPr>
          </w:p>
        </w:tc>
        <w:tc>
          <w:tcPr>
            <w:tcW w:w="180" w:type="dxa"/>
            <w:vAlign w:val="bottom"/>
          </w:tcPr>
          <w:p>
            <w:pPr>
              <w:ind w:left="40"/>
              <w:spacing w:after="0"/>
              <w:rPr>
                <w:sz w:val="20"/>
                <w:szCs w:val="20"/>
                <w:color w:val="auto"/>
              </w:rPr>
            </w:pPr>
            <w:r>
              <w:rPr>
                <w:rFonts w:ascii="Arial" w:cs="Arial" w:eastAsia="Arial" w:hAnsi="Arial"/>
                <w:sz w:val="16"/>
                <w:szCs w:val="16"/>
                <w:color w:val="auto"/>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(43,250)</w:t>
            </w:r>
          </w:p>
        </w:tc>
        <w:tc>
          <w:tcPr>
            <w:tcW w:w="14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22"/>
              <w:spacing w:after="0"/>
              <w:rPr>
                <w:sz w:val="20"/>
                <w:szCs w:val="20"/>
                <w:color w:val="auto"/>
              </w:rPr>
            </w:pPr>
            <w:r>
              <w:rPr>
                <w:rFonts w:ascii="Arial" w:cs="Arial" w:eastAsia="Arial" w:hAnsi="Arial"/>
                <w:sz w:val="16"/>
                <w:szCs w:val="16"/>
                <w:color w:val="auto"/>
              </w:rPr>
              <w:t>1,145</w:t>
            </w:r>
          </w:p>
        </w:tc>
        <w:tc>
          <w:tcPr>
            <w:tcW w:w="0" w:type="dxa"/>
            <w:vAlign w:val="bottom"/>
          </w:tcPr>
          <w:p>
            <w:pPr>
              <w:spacing w:after="0"/>
              <w:rPr>
                <w:sz w:val="1"/>
                <w:szCs w:val="1"/>
                <w:color w:val="auto"/>
              </w:rPr>
            </w:pPr>
          </w:p>
        </w:tc>
      </w:tr>
      <w:tr>
        <w:trPr>
          <w:trHeight w:val="33"/>
        </w:trPr>
        <w:tc>
          <w:tcPr>
            <w:tcW w:w="4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Payer swaptions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ind w:right="2"/>
              <w:spacing w:after="0"/>
              <w:rPr>
                <w:sz w:val="20"/>
                <w:szCs w:val="20"/>
                <w:color w:val="auto"/>
              </w:rPr>
            </w:pPr>
            <w:r>
              <w:rPr>
                <w:rFonts w:ascii="Arial" w:cs="Arial" w:eastAsia="Arial" w:hAnsi="Arial"/>
                <w:sz w:val="16"/>
                <w:szCs w:val="16"/>
                <w:color w:val="auto"/>
              </w:rPr>
              <w:t>(14,450)</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(23,800)</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3"/>
              <w:spacing w:after="0"/>
              <w:rPr>
                <w:sz w:val="20"/>
                <w:szCs w:val="20"/>
                <w:color w:val="auto"/>
              </w:rPr>
            </w:pPr>
            <w:r>
              <w:rPr>
                <w:rFonts w:ascii="Arial" w:cs="Arial" w:eastAsia="Arial" w:hAnsi="Arial"/>
                <w:sz w:val="16"/>
                <w:szCs w:val="16"/>
                <w:color w:val="auto"/>
              </w:rPr>
              <w:t>24,000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(14,250)</w:t>
            </w:r>
          </w:p>
        </w:tc>
        <w:tc>
          <w:tcPr>
            <w:tcW w:w="14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258</w:t>
            </w:r>
          </w:p>
        </w:tc>
        <w:tc>
          <w:tcPr>
            <w:tcW w:w="0" w:type="dxa"/>
            <w:vAlign w:val="bottom"/>
          </w:tcPr>
          <w:p>
            <w:pPr>
              <w:spacing w:after="0"/>
              <w:rPr>
                <w:sz w:val="1"/>
                <w:szCs w:val="1"/>
                <w:color w:val="auto"/>
              </w:rPr>
            </w:pPr>
          </w:p>
        </w:tc>
      </w:tr>
      <w:tr>
        <w:trPr>
          <w:trHeight w:val="237"/>
        </w:trPr>
        <w:tc>
          <w:tcPr>
            <w:tcW w:w="4820" w:type="dxa"/>
            <w:vAlign w:val="bottom"/>
            <w:gridSpan w:val="2"/>
          </w:tcPr>
          <w:p>
            <w:pPr>
              <w:ind w:left="40"/>
              <w:spacing w:after="0"/>
              <w:rPr>
                <w:sz w:val="20"/>
                <w:szCs w:val="20"/>
                <w:color w:val="auto"/>
              </w:rPr>
            </w:pPr>
            <w:r>
              <w:rPr>
                <w:rFonts w:ascii="Arial" w:cs="Arial" w:eastAsia="Arial" w:hAnsi="Arial"/>
                <w:sz w:val="16"/>
                <w:szCs w:val="16"/>
                <w:color w:val="auto"/>
              </w:rPr>
              <w:t>U.S. Treasury securities - short position</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2"/>
              <w:spacing w:after="0"/>
              <w:rPr>
                <w:sz w:val="20"/>
                <w:szCs w:val="20"/>
                <w:color w:val="auto"/>
              </w:rPr>
            </w:pPr>
            <w:r>
              <w:rPr>
                <w:rFonts w:ascii="Arial" w:cs="Arial" w:eastAsia="Arial" w:hAnsi="Arial"/>
                <w:sz w:val="16"/>
                <w:szCs w:val="16"/>
                <w:color w:val="auto"/>
              </w:rPr>
              <w:t>(11,835)</w:t>
            </w:r>
          </w:p>
        </w:tc>
        <w:tc>
          <w:tcPr>
            <w:tcW w:w="12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(31,941)</w:t>
            </w:r>
          </w:p>
        </w:tc>
        <w:tc>
          <w:tcPr>
            <w:tcW w:w="120" w:type="dxa"/>
            <w:vAlign w:val="bottom"/>
          </w:tcPr>
          <w:p>
            <w:pPr>
              <w:spacing w:after="0"/>
              <w:rPr>
                <w:sz w:val="20"/>
                <w:szCs w:val="20"/>
                <w:color w:val="auto"/>
              </w:rPr>
            </w:pPr>
          </w:p>
        </w:tc>
        <w:tc>
          <w:tcPr>
            <w:tcW w:w="1240" w:type="dxa"/>
            <w:vAlign w:val="bottom"/>
          </w:tcPr>
          <w:p>
            <w:pPr>
              <w:jc w:val="right"/>
              <w:ind w:right="43"/>
              <w:spacing w:after="0"/>
              <w:rPr>
                <w:sz w:val="20"/>
                <w:szCs w:val="20"/>
                <w:color w:val="auto"/>
              </w:rPr>
            </w:pPr>
            <w:r>
              <w:rPr>
                <w:rFonts w:ascii="Arial" w:cs="Arial" w:eastAsia="Arial" w:hAnsi="Arial"/>
                <w:sz w:val="16"/>
                <w:szCs w:val="16"/>
                <w:color w:val="auto"/>
              </w:rPr>
              <w:t>41,769</w:t>
            </w:r>
          </w:p>
        </w:tc>
        <w:tc>
          <w:tcPr>
            <w:tcW w:w="100" w:type="dxa"/>
            <w:vAlign w:val="bottom"/>
          </w:tcPr>
          <w:p>
            <w:pPr>
              <w:spacing w:after="0"/>
              <w:rPr>
                <w:sz w:val="20"/>
                <w:szCs w:val="20"/>
                <w:color w:val="auto"/>
              </w:rPr>
            </w:pPr>
          </w:p>
        </w:tc>
        <w:tc>
          <w:tcPr>
            <w:tcW w:w="180" w:type="dxa"/>
            <w:vAlign w:val="bottom"/>
          </w:tcPr>
          <w:p>
            <w:pPr>
              <w:ind w:left="40"/>
              <w:spacing w:after="0"/>
              <w:rPr>
                <w:sz w:val="20"/>
                <w:szCs w:val="20"/>
                <w:color w:val="auto"/>
              </w:rPr>
            </w:pPr>
            <w:r>
              <w:rPr>
                <w:rFonts w:ascii="Arial" w:cs="Arial" w:eastAsia="Arial" w:hAnsi="Arial"/>
                <w:sz w:val="16"/>
                <w:szCs w:val="16"/>
                <w:color w:val="auto"/>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(2,007)</w:t>
            </w:r>
          </w:p>
        </w:tc>
        <w:tc>
          <w:tcPr>
            <w:tcW w:w="14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22"/>
              <w:spacing w:after="0"/>
              <w:rPr>
                <w:sz w:val="20"/>
                <w:szCs w:val="20"/>
                <w:color w:val="auto"/>
              </w:rPr>
            </w:pPr>
            <w:r>
              <w:rPr>
                <w:rFonts w:ascii="Arial" w:cs="Arial" w:eastAsia="Arial" w:hAnsi="Arial"/>
                <w:sz w:val="16"/>
                <w:szCs w:val="16"/>
                <w:color w:val="auto"/>
              </w:rPr>
              <w:t>472</w:t>
            </w:r>
          </w:p>
        </w:tc>
        <w:tc>
          <w:tcPr>
            <w:tcW w:w="0" w:type="dxa"/>
            <w:vAlign w:val="bottom"/>
          </w:tcPr>
          <w:p>
            <w:pPr>
              <w:spacing w:after="0"/>
              <w:rPr>
                <w:sz w:val="1"/>
                <w:szCs w:val="1"/>
                <w:color w:val="auto"/>
              </w:rPr>
            </w:pPr>
          </w:p>
        </w:tc>
      </w:tr>
      <w:tr>
        <w:trPr>
          <w:trHeight w:val="33"/>
        </w:trPr>
        <w:tc>
          <w:tcPr>
            <w:tcW w:w="4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U.S. Treasury securities - long position</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27,805</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(23,878)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3,927</w:t>
            </w:r>
          </w:p>
        </w:tc>
        <w:tc>
          <w:tcPr>
            <w:tcW w:w="14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(42)</w:t>
            </w:r>
          </w:p>
        </w:tc>
        <w:tc>
          <w:tcPr>
            <w:tcW w:w="0" w:type="dxa"/>
            <w:vAlign w:val="bottom"/>
          </w:tcPr>
          <w:p>
            <w:pPr>
              <w:spacing w:after="0"/>
              <w:rPr>
                <w:sz w:val="1"/>
                <w:szCs w:val="1"/>
                <w:color w:val="auto"/>
              </w:rPr>
            </w:pPr>
          </w:p>
        </w:tc>
      </w:tr>
      <w:tr>
        <w:trPr>
          <w:trHeight w:val="237"/>
        </w:trPr>
        <w:tc>
          <w:tcPr>
            <w:tcW w:w="4820" w:type="dxa"/>
            <w:vAlign w:val="bottom"/>
            <w:gridSpan w:val="2"/>
          </w:tcPr>
          <w:p>
            <w:pPr>
              <w:ind w:left="40"/>
              <w:spacing w:after="0"/>
              <w:rPr>
                <w:sz w:val="20"/>
                <w:szCs w:val="20"/>
                <w:color w:val="auto"/>
              </w:rPr>
            </w:pPr>
            <w:r>
              <w:rPr>
                <w:rFonts w:ascii="Arial" w:cs="Arial" w:eastAsia="Arial" w:hAnsi="Arial"/>
                <w:sz w:val="16"/>
                <w:szCs w:val="16"/>
                <w:color w:val="auto"/>
              </w:rPr>
              <w:t>U.S. Treasury futures contracts - short position</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140" w:type="dxa"/>
            <w:vAlign w:val="bottom"/>
          </w:tcPr>
          <w:p>
            <w:pPr>
              <w:jc w:val="right"/>
              <w:spacing w:after="0"/>
              <w:rPr>
                <w:sz w:val="20"/>
                <w:szCs w:val="20"/>
                <w:color w:val="auto"/>
              </w:rPr>
            </w:pPr>
            <w:r>
              <w:rPr>
                <w:rFonts w:ascii="Arial" w:cs="Arial" w:eastAsia="Arial" w:hAnsi="Arial"/>
                <w:sz w:val="16"/>
                <w:szCs w:val="16"/>
                <w:color w:val="auto"/>
              </w:rPr>
              <w:t>(9,239)</w:t>
            </w:r>
          </w:p>
        </w:tc>
        <w:tc>
          <w:tcPr>
            <w:tcW w:w="120" w:type="dxa"/>
            <w:vAlign w:val="bottom"/>
          </w:tcPr>
          <w:p>
            <w:pPr>
              <w:spacing w:after="0"/>
              <w:rPr>
                <w:sz w:val="20"/>
                <w:szCs w:val="20"/>
                <w:color w:val="auto"/>
              </w:rPr>
            </w:pPr>
          </w:p>
        </w:tc>
        <w:tc>
          <w:tcPr>
            <w:tcW w:w="1240" w:type="dxa"/>
            <w:vAlign w:val="bottom"/>
          </w:tcPr>
          <w:p>
            <w:pPr>
              <w:jc w:val="right"/>
              <w:ind w:right="43"/>
              <w:spacing w:after="0"/>
              <w:rPr>
                <w:sz w:val="20"/>
                <w:szCs w:val="20"/>
                <w:color w:val="auto"/>
              </w:rPr>
            </w:pPr>
            <w:r>
              <w:rPr>
                <w:rFonts w:ascii="Arial" w:cs="Arial" w:eastAsia="Arial" w:hAnsi="Arial"/>
                <w:sz w:val="16"/>
                <w:szCs w:val="16"/>
                <w:color w:val="auto"/>
              </w:rPr>
              <w:t>7,509</w:t>
            </w:r>
          </w:p>
        </w:tc>
        <w:tc>
          <w:tcPr>
            <w:tcW w:w="100" w:type="dxa"/>
            <w:vAlign w:val="bottom"/>
          </w:tcPr>
          <w:p>
            <w:pPr>
              <w:spacing w:after="0"/>
              <w:rPr>
                <w:sz w:val="20"/>
                <w:szCs w:val="20"/>
                <w:color w:val="auto"/>
              </w:rPr>
            </w:pPr>
          </w:p>
        </w:tc>
        <w:tc>
          <w:tcPr>
            <w:tcW w:w="180" w:type="dxa"/>
            <w:vAlign w:val="bottom"/>
          </w:tcPr>
          <w:p>
            <w:pPr>
              <w:ind w:left="40"/>
              <w:spacing w:after="0"/>
              <w:rPr>
                <w:sz w:val="20"/>
                <w:szCs w:val="20"/>
                <w:color w:val="auto"/>
              </w:rPr>
            </w:pPr>
            <w:r>
              <w:rPr>
                <w:rFonts w:ascii="Arial" w:cs="Arial" w:eastAsia="Arial" w:hAnsi="Arial"/>
                <w:sz w:val="16"/>
                <w:szCs w:val="16"/>
                <w:color w:val="auto"/>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(1,730)</w:t>
            </w:r>
          </w:p>
        </w:tc>
        <w:tc>
          <w:tcPr>
            <w:tcW w:w="14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22"/>
              <w:spacing w:after="0"/>
              <w:rPr>
                <w:sz w:val="20"/>
                <w:szCs w:val="20"/>
                <w:color w:val="auto"/>
              </w:rPr>
            </w:pPr>
            <w:r>
              <w:rPr>
                <w:rFonts w:ascii="Arial" w:cs="Arial" w:eastAsia="Arial" w:hAnsi="Arial"/>
                <w:sz w:val="16"/>
                <w:szCs w:val="16"/>
                <w:color w:val="auto"/>
              </w:rPr>
              <w:t>49</w:t>
            </w:r>
          </w:p>
        </w:tc>
        <w:tc>
          <w:tcPr>
            <w:tcW w:w="0" w:type="dxa"/>
            <w:vAlign w:val="bottom"/>
          </w:tcPr>
          <w:p>
            <w:pPr>
              <w:spacing w:after="0"/>
              <w:rPr>
                <w:sz w:val="1"/>
                <w:szCs w:val="1"/>
                <w:color w:val="auto"/>
              </w:rPr>
            </w:pPr>
          </w:p>
        </w:tc>
      </w:tr>
      <w:tr>
        <w:trPr>
          <w:trHeight w:val="33"/>
        </w:trPr>
        <w:tc>
          <w:tcPr>
            <w:tcW w:w="4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8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TBA put option</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(50)</w:t>
            </w:r>
          </w:p>
        </w:tc>
        <w:tc>
          <w:tcPr>
            <w:tcW w:w="12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43"/>
              <w:spacing w:after="0"/>
              <w:rPr>
                <w:sz w:val="20"/>
                <w:szCs w:val="20"/>
                <w:color w:val="auto"/>
              </w:rPr>
            </w:pPr>
            <w:r>
              <w:rPr>
                <w:rFonts w:ascii="Arial" w:cs="Arial" w:eastAsia="Arial" w:hAnsi="Arial"/>
                <w:sz w:val="16"/>
                <w:szCs w:val="16"/>
                <w:color w:val="auto"/>
              </w:rPr>
              <w:t>50</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CCEEFF"/>
              <w:right w:val="single" w:sz="8" w:color="auto"/>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7"/>
        </w:trPr>
        <w:tc>
          <w:tcPr>
            <w:tcW w:w="4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top w:val="single" w:sz="8" w:color="auto"/>
            </w:tcBorders>
          </w:tcPr>
          <w:p>
            <w:pPr>
              <w:jc w:val="right"/>
              <w:ind w:right="22"/>
              <w:spacing w:after="0"/>
              <w:rPr>
                <w:sz w:val="20"/>
                <w:szCs w:val="20"/>
                <w:color w:val="auto"/>
              </w:rPr>
            </w:pPr>
            <w:r>
              <w:rPr>
                <w:rFonts w:ascii="Arial" w:cs="Arial" w:eastAsia="Arial" w:hAnsi="Arial"/>
                <w:sz w:val="16"/>
                <w:szCs w:val="16"/>
                <w:color w:val="auto"/>
              </w:rPr>
              <w:t>1,156</w:t>
            </w:r>
          </w:p>
        </w:tc>
        <w:tc>
          <w:tcPr>
            <w:tcW w:w="0" w:type="dxa"/>
            <w:vAlign w:val="bottom"/>
          </w:tcPr>
          <w:p>
            <w:pPr>
              <w:spacing w:after="0"/>
              <w:rPr>
                <w:sz w:val="1"/>
                <w:szCs w:val="1"/>
                <w:color w:val="auto"/>
              </w:rPr>
            </w:pPr>
          </w:p>
        </w:tc>
      </w:tr>
      <w:tr>
        <w:trPr>
          <w:trHeight w:val="33"/>
        </w:trPr>
        <w:tc>
          <w:tcPr>
            <w:tcW w:w="4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7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800" w:right="239" w:bottom="1440" w:gutter="0" w:footer="0" w:header="0"/>
        </w:sectPr>
      </w:pPr>
    </w:p>
    <w:p>
      <w:pPr>
        <w:spacing w:after="0" w:line="2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94</w:t>
      </w:r>
    </w:p>
    <w:p>
      <w:pPr>
        <w:sectPr>
          <w:pgSz w:w="11900" w:h="16838" w:orient="portrait"/>
          <w:cols w:equalWidth="0" w:num="1">
            <w:col w:w="11420"/>
          </w:cols>
          <w:pgMar w:left="240" w:top="800" w:right="239" w:bottom="1440" w:gutter="0" w:footer="0" w:header="0"/>
          <w:type w:val="continuous"/>
        </w:sectPr>
      </w:pPr>
    </w:p>
    <w:bookmarkStart w:id="95" w:name="page96"/>
    <w:bookmarkEnd w:id="95"/>
    <w:p>
      <w:pPr>
        <w:ind w:left="100"/>
        <w:spacing w:after="0"/>
        <w:rPr>
          <w:sz w:val="20"/>
          <w:szCs w:val="20"/>
          <w:color w:val="auto"/>
        </w:rPr>
      </w:pPr>
      <w:r>
        <w:rPr>
          <w:rFonts w:ascii="Arial" w:cs="Arial" w:eastAsia="Arial" w:hAnsi="Arial"/>
          <w:sz w:val="18"/>
          <w:szCs w:val="18"/>
          <w:color w:val="auto"/>
        </w:rPr>
        <w:t>______________________</w:t>
      </w:r>
    </w:p>
    <w:p>
      <w:pPr>
        <w:spacing w:after="0" w:line="17" w:lineRule="exact"/>
        <w:rPr>
          <w:sz w:val="20"/>
          <w:szCs w:val="20"/>
          <w:color w:val="auto"/>
        </w:rPr>
      </w:pPr>
    </w:p>
    <w:p>
      <w:pPr>
        <w:ind w:left="660" w:hanging="328"/>
        <w:spacing w:after="0" w:line="255" w:lineRule="auto"/>
        <w:tabs>
          <w:tab w:leader="none" w:pos="660" w:val="left"/>
        </w:tabs>
        <w:numPr>
          <w:ilvl w:val="0"/>
          <w:numId w:val="59"/>
        </w:numPr>
        <w:rPr>
          <w:rFonts w:ascii="Arial" w:cs="Arial" w:eastAsia="Arial" w:hAnsi="Arial"/>
          <w:sz w:val="14"/>
          <w:szCs w:val="14"/>
          <w:color w:val="auto"/>
        </w:rPr>
      </w:pPr>
      <w:r>
        <w:rPr>
          <w:rFonts w:ascii="Arial" w:cs="Arial" w:eastAsia="Arial" w:hAnsi="Arial"/>
          <w:sz w:val="14"/>
          <w:szCs w:val="14"/>
          <w:color w:val="auto"/>
        </w:rPr>
        <w:t>Excludes a net gain of $2 million from investments in REIT equity securities, a net gain of $39 million from debt of consolidated VIEs and other miscellaneous net losses of $6 million recognized in gain (loss) on derivative instruments and other securities, net in our consolidated statements of comprehensive income.</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Pledged Assets</w:t>
      </w:r>
    </w:p>
    <w:p>
      <w:pPr>
        <w:spacing w:after="0" w:line="175"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Our funding agreements require us to fully collateralize our obligations under the agreements based upon our counterparties' collateral requirements and their determination of the fair value of the securities pledged as collateral, which fluctuates with changes in interest rates, credit quality and liquidity conditions within the investment banking, mortgage finance and real estate industries. Our derivative contracts similarly require us to fully collateralize our obligations under such agreements, which will vary over time based on similar factors as well as our counterparties' determination of the value of the derivative contract. We are typically required to post initial collateral upon execution of derivative transactions, such as interest rate swap agreements and TBA contracts. If we breach our collateral requirements, we will be required to fully settle our obligations under the agreements, which could include a forced liquidation of our pledged collateral.</w:t>
      </w:r>
    </w:p>
    <w:p>
      <w:pPr>
        <w:spacing w:after="0" w:line="135"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Our counterparties also apply a "haircut" to our pledged collateral, which means our collateral is valued at slightly less than market value and limits the amount we can borrow against our securities. This haircut reflects the underlying risk of the specific collateral and protects our counterparty against a change in its value. Our agreements do not specify the haircut; rather haircuts are determined on an individual transaction basis. Additionally, the FHLB of Des Moines may adjust the haircut on our outstanding FHLB advances at any time prior to maturity. As a condition of our membership in the FHLB of Des Moines, we are also obligated to purchase membership and activity-based stock in the FHLB based upon the aggregate amount of advances obtained from the FHLB.</w:t>
      </w:r>
    </w:p>
    <w:p>
      <w:pPr>
        <w:spacing w:after="0" w:line="139" w:lineRule="exact"/>
        <w:rPr>
          <w:sz w:val="20"/>
          <w:szCs w:val="20"/>
          <w:color w:val="auto"/>
        </w:rPr>
      </w:pPr>
    </w:p>
    <w:p>
      <w:pPr>
        <w:jc w:val="both"/>
        <w:ind w:firstLine="432"/>
        <w:spacing w:after="0" w:line="271" w:lineRule="auto"/>
        <w:rPr>
          <w:sz w:val="20"/>
          <w:szCs w:val="20"/>
          <w:color w:val="auto"/>
        </w:rPr>
      </w:pPr>
      <w:r>
        <w:rPr>
          <w:rFonts w:ascii="Arial" w:cs="Arial" w:eastAsia="Arial" w:hAnsi="Arial"/>
          <w:sz w:val="17"/>
          <w:szCs w:val="17"/>
          <w:color w:val="auto"/>
        </w:rPr>
        <w:t>Consequently, our funding agreements and derivative contracts expose us to credit risk relating to potential losses that could be recognized in the event that our counterparties fail to perform their obligations under such agreements. We minimize this risk by limiting our counterparties to major financial institutions with acceptable credit ratings or to registered clearinghouses and U.S. government agencies and we monitor our positions with individual counterparties. In the event of a default by a counterparty we may have difficulty obtaining our assets pledged as collateral to such counterparty and may not receive payments provided for under the terms of our derivative agreements. In the case of centrally cleared instruments, we could be exposed to credit risk if the central clearing agency or a clearing member defaults on its respective obligation to perform under the contract. However, we believe that the risk is minimal due to the clearing exchanges' initial and daily mark to market margin requirements and clearinghouse guarantee funds and other resources that are available in the event of a clearing member default.</w:t>
      </w:r>
    </w:p>
    <w:p>
      <w:pPr>
        <w:spacing w:after="0" w:line="125"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Further, each of our International Swaps and Derivatives Association ("ISDA") Master Agreements also contains a cross default provision under which a default under certain of our other indebtedness in excess of certain thresholds causes an event of default under the ISDA Master Agreement. Threshold amounts vary by lender. Following an event of default, we could be required to settle our obligations under the agreements. Additionally, under certain of our ISDA Master Agreements, we could be required to settle our obligations under the agreements if we fail to maintain certain minimum stockholders' equity thresholds or our REIT status or if we fail to comply with limits on our leverage above certain specified levels. As of December 31, 2015, the fair value of additional collateral that could be required to be posted as a result of the credit-risk-related contingent features being triggered was not material to our financial statements.</w:t>
      </w:r>
    </w:p>
    <w:p>
      <w:pPr>
        <w:spacing w:after="0" w:line="135" w:lineRule="exact"/>
        <w:rPr>
          <w:sz w:val="20"/>
          <w:szCs w:val="20"/>
          <w:color w:val="auto"/>
        </w:rPr>
      </w:pPr>
    </w:p>
    <w:p>
      <w:pPr>
        <w:jc w:val="both"/>
        <w:ind w:right="20" w:firstLine="432"/>
        <w:spacing w:after="0" w:line="264" w:lineRule="auto"/>
        <w:rPr>
          <w:sz w:val="20"/>
          <w:szCs w:val="20"/>
          <w:color w:val="auto"/>
        </w:rPr>
      </w:pPr>
      <w:r>
        <w:rPr>
          <w:rFonts w:ascii="Arial" w:cs="Arial" w:eastAsia="Arial" w:hAnsi="Arial"/>
          <w:sz w:val="18"/>
          <w:szCs w:val="18"/>
          <w:color w:val="auto"/>
        </w:rPr>
        <w:t>As of December 31, 2015, our amount at risk with any counterparty related to our repurchase agreements was less than 5% of our stockholders' equity and our amount at risk with any counterparty related to our interest rate swap and swaption agreements, excluding centrally cleared swaps, was less than 1% of our stockholders' equity.</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95</w:t>
      </w:r>
    </w:p>
    <w:p>
      <w:pPr>
        <w:sectPr>
          <w:pgSz w:w="11900" w:h="16838" w:orient="portrait"/>
          <w:cols w:equalWidth="0" w:num="1">
            <w:col w:w="11420"/>
          </w:cols>
          <w:pgMar w:left="240" w:top="584" w:right="239" w:bottom="1440" w:gutter="0" w:footer="0" w:header="0"/>
        </w:sectPr>
      </w:pPr>
    </w:p>
    <w:bookmarkStart w:id="96" w:name="page97"/>
    <w:bookmarkEnd w:id="96"/>
    <w:p>
      <w:pPr>
        <w:spacing w:after="0"/>
        <w:rPr>
          <w:sz w:val="20"/>
          <w:szCs w:val="20"/>
          <w:color w:val="auto"/>
        </w:rPr>
      </w:pPr>
      <w:r>
        <w:rPr>
          <w:rFonts w:ascii="Arial" w:cs="Arial" w:eastAsia="Arial" w:hAnsi="Arial"/>
          <w:sz w:val="18"/>
          <w:szCs w:val="18"/>
          <w:b w:val="1"/>
          <w:bCs w:val="1"/>
          <w:i w:val="1"/>
          <w:iCs w:val="1"/>
          <w:color w:val="auto"/>
        </w:rPr>
        <w:t>Assets Pledged to Counterparties</w:t>
      </w:r>
    </w:p>
    <w:p>
      <w:pPr>
        <w:spacing w:after="0" w:line="17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tables summarize our assets pledged as collateral under our funding, derivative and prime broker agreements by type, including securities pledged related to securities sold but not yet settled, as of December 31, 2015 and 2014 (in millions):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2520" w:type="dxa"/>
            <w:vAlign w:val="bottom"/>
            <w:tcBorders>
              <w:bottom w:val="single" w:sz="8" w:color="auto"/>
            </w:tcBorders>
            <w:gridSpan w:val="5"/>
          </w:tcPr>
          <w:p>
            <w:pPr>
              <w:ind w:left="900"/>
              <w:spacing w:after="0"/>
              <w:rPr>
                <w:sz w:val="20"/>
                <w:szCs w:val="20"/>
                <w:color w:val="auto"/>
              </w:rPr>
            </w:pPr>
            <w:r>
              <w:rPr>
                <w:rFonts w:ascii="Arial" w:cs="Arial" w:eastAsia="Arial" w:hAnsi="Arial"/>
                <w:sz w:val="14"/>
                <w:szCs w:val="14"/>
                <w:b w:val="1"/>
                <w:bCs w:val="1"/>
                <w:color w:val="auto"/>
              </w:rPr>
              <w:t>December 31, 2015</w:t>
            </w: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2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Assets Pledged to Counterparties</w:t>
            </w:r>
          </w:p>
        </w:tc>
        <w:tc>
          <w:tcPr>
            <w:tcW w:w="120" w:type="dxa"/>
            <w:vAlign w:val="bottom"/>
            <w:vMerge w:val="restart"/>
          </w:tcPr>
          <w:p>
            <w:pPr>
              <w:spacing w:after="0"/>
              <w:rPr>
                <w:sz w:val="13"/>
                <w:szCs w:val="13"/>
                <w:color w:val="auto"/>
              </w:rPr>
            </w:pPr>
          </w:p>
        </w:tc>
        <w:tc>
          <w:tcPr>
            <w:tcW w:w="1740" w:type="dxa"/>
            <w:vAlign w:val="bottom"/>
            <w:gridSpan w:val="3"/>
          </w:tcPr>
          <w:p>
            <w:pPr>
              <w:ind w:left="60"/>
              <w:spacing w:after="0" w:line="153" w:lineRule="exact"/>
              <w:rPr>
                <w:sz w:val="20"/>
                <w:szCs w:val="20"/>
                <w:color w:val="auto"/>
              </w:rPr>
            </w:pPr>
            <w:r>
              <w:rPr>
                <w:rFonts w:ascii="Arial" w:cs="Arial" w:eastAsia="Arial" w:hAnsi="Arial"/>
                <w:sz w:val="14"/>
                <w:szCs w:val="14"/>
                <w:b w:val="1"/>
                <w:bCs w:val="1"/>
                <w:color w:val="auto"/>
              </w:rPr>
              <w:t>Repurchase Agreements</w:t>
            </w:r>
          </w:p>
        </w:tc>
        <w:tc>
          <w:tcPr>
            <w:tcW w:w="1500" w:type="dxa"/>
            <w:vAlign w:val="bottom"/>
            <w:gridSpan w:val="3"/>
          </w:tcPr>
          <w:p>
            <w:pPr>
              <w:ind w:left="40"/>
              <w:spacing w:after="0" w:line="153" w:lineRule="exact"/>
              <w:rPr>
                <w:sz w:val="20"/>
                <w:szCs w:val="20"/>
                <w:color w:val="auto"/>
              </w:rPr>
            </w:pPr>
            <w:r>
              <w:rPr>
                <w:rFonts w:ascii="Arial" w:cs="Arial" w:eastAsia="Arial" w:hAnsi="Arial"/>
                <w:sz w:val="14"/>
                <w:szCs w:val="14"/>
                <w:b w:val="1"/>
                <w:bCs w:val="1"/>
                <w:color w:val="auto"/>
              </w:rPr>
              <w:t>Debt of Consolidated</w:t>
            </w:r>
          </w:p>
        </w:tc>
        <w:tc>
          <w:tcPr>
            <w:tcW w:w="180" w:type="dxa"/>
            <w:vAlign w:val="bottom"/>
          </w:tcPr>
          <w:p>
            <w:pPr>
              <w:spacing w:after="0"/>
              <w:rPr>
                <w:sz w:val="13"/>
                <w:szCs w:val="13"/>
                <w:color w:val="auto"/>
              </w:rPr>
            </w:pPr>
          </w:p>
        </w:tc>
        <w:tc>
          <w:tcPr>
            <w:tcW w:w="1160" w:type="dxa"/>
            <w:vAlign w:val="bottom"/>
            <w:gridSpan w:val="2"/>
          </w:tcPr>
          <w:p>
            <w:pPr>
              <w:ind w:left="120"/>
              <w:spacing w:after="0" w:line="153" w:lineRule="exact"/>
              <w:rPr>
                <w:sz w:val="20"/>
                <w:szCs w:val="20"/>
                <w:color w:val="auto"/>
              </w:rPr>
            </w:pPr>
            <w:r>
              <w:rPr>
                <w:rFonts w:ascii="Arial" w:cs="Arial" w:eastAsia="Arial" w:hAnsi="Arial"/>
                <w:sz w:val="14"/>
                <w:szCs w:val="14"/>
                <w:b w:val="1"/>
                <w:bCs w:val="1"/>
                <w:color w:val="auto"/>
              </w:rPr>
              <w:t>Derivative</w:t>
            </w:r>
          </w:p>
        </w:tc>
        <w:tc>
          <w:tcPr>
            <w:tcW w:w="160" w:type="dxa"/>
            <w:vAlign w:val="bottom"/>
          </w:tcPr>
          <w:p>
            <w:pPr>
              <w:spacing w:after="0"/>
              <w:rPr>
                <w:sz w:val="13"/>
                <w:szCs w:val="13"/>
                <w:color w:val="auto"/>
              </w:rPr>
            </w:pPr>
          </w:p>
        </w:tc>
        <w:tc>
          <w:tcPr>
            <w:tcW w:w="120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Prime Broker</w:t>
            </w:r>
          </w:p>
        </w:tc>
        <w:tc>
          <w:tcPr>
            <w:tcW w:w="260" w:type="dxa"/>
            <w:vAlign w:val="bottom"/>
          </w:tcPr>
          <w:p>
            <w:pPr>
              <w:spacing w:after="0"/>
              <w:rPr>
                <w:sz w:val="13"/>
                <w:szCs w:val="13"/>
                <w:color w:val="auto"/>
              </w:rPr>
            </w:pPr>
          </w:p>
        </w:tc>
        <w:tc>
          <w:tcPr>
            <w:tcW w:w="86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42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w w:val="95"/>
              </w:rPr>
              <w:t xml:space="preserve">and FHLB Advances </w:t>
            </w:r>
            <w:r>
              <w:rPr>
                <w:rFonts w:ascii="Arial" w:cs="Arial" w:eastAsia="Arial" w:hAnsi="Arial"/>
                <w:sz w:val="8"/>
                <w:szCs w:val="8"/>
                <w:b w:val="1"/>
                <w:bCs w:val="1"/>
                <w:color w:val="auto"/>
                <w:w w:val="95"/>
              </w:rPr>
              <w:t>1</w:t>
            </w:r>
          </w:p>
        </w:tc>
        <w:tc>
          <w:tcPr>
            <w:tcW w:w="12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VIEs</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w w:val="96"/>
              </w:rPr>
              <w:t>Agreements</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Agreements</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Agency MBS - fair value</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5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47,992</w:t>
            </w:r>
          </w:p>
        </w:tc>
        <w:tc>
          <w:tcPr>
            <w:tcW w:w="120" w:type="dxa"/>
            <w:vAlign w:val="bottom"/>
            <w:shd w:val="clear" w:color="auto" w:fill="CCEEFF"/>
          </w:tcPr>
          <w:p>
            <w:pPr>
              <w:spacing w:after="0"/>
              <w:rPr>
                <w:sz w:val="22"/>
                <w:szCs w:val="22"/>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1,029</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148</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485</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49,654</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AAA non-agency MBS - fair value</w:t>
            </w:r>
          </w:p>
        </w:tc>
        <w:tc>
          <w:tcPr>
            <w:tcW w:w="100" w:type="dxa"/>
            <w:vAlign w:val="bottom"/>
          </w:tcPr>
          <w:p>
            <w:pPr>
              <w:spacing w:after="0"/>
              <w:rPr>
                <w:sz w:val="22"/>
                <w:szCs w:val="22"/>
                <w:color w:val="auto"/>
              </w:rPr>
            </w:pPr>
          </w:p>
        </w:tc>
        <w:tc>
          <w:tcPr>
            <w:tcW w:w="1520" w:type="dxa"/>
            <w:vAlign w:val="bottom"/>
          </w:tcPr>
          <w:p>
            <w:pPr>
              <w:jc w:val="right"/>
              <w:ind w:right="48"/>
              <w:spacing w:after="0"/>
              <w:rPr>
                <w:sz w:val="20"/>
                <w:szCs w:val="20"/>
                <w:color w:val="auto"/>
              </w:rPr>
            </w:pPr>
            <w:r>
              <w:rPr>
                <w:rFonts w:ascii="Arial" w:cs="Arial" w:eastAsia="Arial" w:hAnsi="Arial"/>
                <w:sz w:val="14"/>
                <w:szCs w:val="14"/>
                <w:color w:val="auto"/>
              </w:rPr>
              <w:t>113</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1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113</w:t>
            </w:r>
          </w:p>
        </w:tc>
        <w:tc>
          <w:tcPr>
            <w:tcW w:w="0" w:type="dxa"/>
            <w:vAlign w:val="bottom"/>
          </w:tcPr>
          <w:p>
            <w:pPr>
              <w:spacing w:after="0"/>
              <w:rPr>
                <w:sz w:val="1"/>
                <w:szCs w:val="1"/>
                <w:color w:val="auto"/>
              </w:rPr>
            </w:pPr>
          </w:p>
        </w:tc>
      </w:tr>
      <w:tr>
        <w:trPr>
          <w:trHeight w:val="276"/>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U.S. Treasury securities - fair value</w:t>
            </w:r>
          </w:p>
        </w:tc>
        <w:tc>
          <w:tcPr>
            <w:tcW w:w="100" w:type="dxa"/>
            <w:vAlign w:val="bottom"/>
            <w:shd w:val="clear" w:color="auto" w:fill="CCEEFF"/>
          </w:tcPr>
          <w:p>
            <w:pPr>
              <w:spacing w:after="0"/>
              <w:rPr>
                <w:sz w:val="24"/>
                <w:szCs w:val="24"/>
                <w:color w:val="auto"/>
              </w:rPr>
            </w:pPr>
          </w:p>
        </w:tc>
        <w:tc>
          <w:tcPr>
            <w:tcW w:w="15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25</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1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116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25</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Accrued interest on pledged securities</w:t>
            </w:r>
          </w:p>
        </w:tc>
        <w:tc>
          <w:tcPr>
            <w:tcW w:w="100" w:type="dxa"/>
            <w:vAlign w:val="bottom"/>
          </w:tcPr>
          <w:p>
            <w:pPr>
              <w:spacing w:after="0"/>
              <w:rPr>
                <w:sz w:val="22"/>
                <w:szCs w:val="22"/>
                <w:color w:val="auto"/>
              </w:rPr>
            </w:pPr>
          </w:p>
        </w:tc>
        <w:tc>
          <w:tcPr>
            <w:tcW w:w="1520" w:type="dxa"/>
            <w:vAlign w:val="bottom"/>
          </w:tcPr>
          <w:p>
            <w:pPr>
              <w:jc w:val="right"/>
              <w:ind w:right="48"/>
              <w:spacing w:after="0"/>
              <w:rPr>
                <w:sz w:val="20"/>
                <w:szCs w:val="20"/>
                <w:color w:val="auto"/>
              </w:rPr>
            </w:pPr>
            <w:r>
              <w:rPr>
                <w:rFonts w:ascii="Arial" w:cs="Arial" w:eastAsia="Arial" w:hAnsi="Arial"/>
                <w:sz w:val="14"/>
                <w:szCs w:val="14"/>
                <w:color w:val="auto"/>
              </w:rPr>
              <w:t>135</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3</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140</w:t>
            </w:r>
          </w:p>
        </w:tc>
        <w:tc>
          <w:tcPr>
            <w:tcW w:w="0" w:type="dxa"/>
            <w:vAlign w:val="bottom"/>
          </w:tcPr>
          <w:p>
            <w:pPr>
              <w:spacing w:after="0"/>
              <w:rPr>
                <w:sz w:val="1"/>
                <w:szCs w:val="1"/>
                <w:color w:val="auto"/>
              </w:rPr>
            </w:pPr>
          </w:p>
        </w:tc>
      </w:tr>
      <w:tr>
        <w:trPr>
          <w:trHeight w:val="270"/>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Restricted cash and cash equivalents</w:t>
            </w:r>
          </w:p>
        </w:tc>
        <w:tc>
          <w:tcPr>
            <w:tcW w:w="100" w:type="dxa"/>
            <w:vAlign w:val="bottom"/>
            <w:shd w:val="clear" w:color="auto" w:fill="CCEEFF"/>
          </w:tcPr>
          <w:p>
            <w:pPr>
              <w:spacing w:after="0"/>
              <w:rPr>
                <w:sz w:val="23"/>
                <w:szCs w:val="23"/>
                <w:color w:val="auto"/>
              </w:rPr>
            </w:pPr>
          </w:p>
        </w:tc>
        <w:tc>
          <w:tcPr>
            <w:tcW w:w="15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23</w:t>
            </w:r>
          </w:p>
        </w:tc>
        <w:tc>
          <w:tcPr>
            <w:tcW w:w="12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11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3"/>
                <w:szCs w:val="23"/>
                <w:color w:val="auto"/>
              </w:rPr>
            </w:pP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1,226</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32</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1,281</w:t>
            </w:r>
          </w:p>
        </w:tc>
        <w:tc>
          <w:tcPr>
            <w:tcW w:w="0" w:type="dxa"/>
            <w:vAlign w:val="bottom"/>
          </w:tcPr>
          <w:p>
            <w:pPr>
              <w:spacing w:after="0"/>
              <w:rPr>
                <w:sz w:val="1"/>
                <w:szCs w:val="1"/>
                <w:color w:val="auto"/>
              </w:rPr>
            </w:pPr>
          </w:p>
        </w:tc>
      </w:tr>
      <w:tr>
        <w:trPr>
          <w:trHeight w:val="243"/>
        </w:trPr>
        <w:tc>
          <w:tcPr>
            <w:tcW w:w="4360" w:type="dxa"/>
            <w:vAlign w:val="bottom"/>
            <w:gridSpan w:val="2"/>
          </w:tcPr>
          <w:p>
            <w:pPr>
              <w:ind w:left="200"/>
              <w:spacing w:after="0"/>
              <w:rPr>
                <w:sz w:val="20"/>
                <w:szCs w:val="20"/>
                <w:color w:val="auto"/>
              </w:rPr>
            </w:pPr>
            <w:r>
              <w:rPr>
                <w:rFonts w:ascii="Arial" w:cs="Arial" w:eastAsia="Arial" w:hAnsi="Arial"/>
                <w:sz w:val="14"/>
                <w:szCs w:val="14"/>
                <w:color w:val="auto"/>
              </w:rPr>
              <w:t>Total</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52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48,288</w:t>
            </w:r>
          </w:p>
        </w:tc>
        <w:tc>
          <w:tcPr>
            <w:tcW w:w="120" w:type="dxa"/>
            <w:vAlign w:val="bottom"/>
          </w:tcPr>
          <w:p>
            <w:pPr>
              <w:spacing w:after="0"/>
              <w:rPr>
                <w:sz w:val="21"/>
                <w:szCs w:val="21"/>
                <w:color w:val="auto"/>
              </w:rPr>
            </w:pPr>
          </w:p>
        </w:tc>
        <w:tc>
          <w:tcPr>
            <w:tcW w:w="320" w:type="dxa"/>
            <w:vAlign w:val="bottom"/>
            <w:tcBorders>
              <w:top w:val="single" w:sz="8" w:color="auto"/>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1,032</w:t>
            </w:r>
          </w:p>
        </w:tc>
        <w:tc>
          <w:tcPr>
            <w:tcW w:w="120" w:type="dxa"/>
            <w:vAlign w:val="bottom"/>
          </w:tcPr>
          <w:p>
            <w:pPr>
              <w:spacing w:after="0"/>
              <w:rPr>
                <w:sz w:val="21"/>
                <w:szCs w:val="21"/>
                <w:color w:val="auto"/>
              </w:rPr>
            </w:pPr>
          </w:p>
        </w:tc>
        <w:tc>
          <w:tcPr>
            <w:tcW w:w="18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1,374</w:t>
            </w:r>
          </w:p>
        </w:tc>
        <w:tc>
          <w:tcPr>
            <w:tcW w:w="10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519</w:t>
            </w:r>
          </w:p>
        </w:tc>
        <w:tc>
          <w:tcPr>
            <w:tcW w:w="100" w:type="dxa"/>
            <w:vAlign w:val="bottom"/>
          </w:tcPr>
          <w:p>
            <w:pPr>
              <w:spacing w:after="0"/>
              <w:rPr>
                <w:sz w:val="21"/>
                <w:szCs w:val="21"/>
                <w:color w:val="auto"/>
              </w:rPr>
            </w:pPr>
          </w:p>
        </w:tc>
        <w:tc>
          <w:tcPr>
            <w:tcW w:w="26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51,213</w:t>
            </w:r>
          </w:p>
        </w:tc>
        <w:tc>
          <w:tcPr>
            <w:tcW w:w="0" w:type="dxa"/>
            <w:vAlign w:val="bottom"/>
          </w:tcPr>
          <w:p>
            <w:pPr>
              <w:spacing w:after="0"/>
              <w:rPr>
                <w:sz w:val="1"/>
                <w:szCs w:val="1"/>
                <w:color w:val="auto"/>
              </w:rPr>
            </w:pPr>
          </w:p>
        </w:tc>
      </w:tr>
      <w:tr>
        <w:trPr>
          <w:trHeight w:val="20"/>
        </w:trPr>
        <w:tc>
          <w:tcPr>
            <w:tcW w:w="4240" w:type="dxa"/>
            <w:vAlign w:val="bottom"/>
            <w:vMerge w:val="restart"/>
          </w:tcPr>
          <w:p>
            <w:pPr>
              <w:spacing w:after="0"/>
              <w:rPr>
                <w:sz w:val="20"/>
                <w:szCs w:val="20"/>
                <w:color w:val="auto"/>
              </w:rPr>
            </w:pPr>
            <w:r>
              <w:rPr>
                <w:rFonts w:ascii="Arial" w:cs="Arial" w:eastAsia="Arial" w:hAnsi="Arial"/>
                <w:sz w:val="13"/>
                <w:szCs w:val="13"/>
                <w:color w:val="auto"/>
              </w:rPr>
              <w:t>______________________</w:t>
            </w:r>
          </w:p>
        </w:tc>
        <w:tc>
          <w:tcPr>
            <w:tcW w:w="120" w:type="dxa"/>
            <w:vAlign w:val="bottom"/>
            <w:vMerge w:val="restart"/>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7"/>
        </w:trPr>
        <w:tc>
          <w:tcPr>
            <w:tcW w:w="4240" w:type="dxa"/>
            <w:vAlign w:val="bottom"/>
            <w:vMerge w:val="continue"/>
          </w:tcPr>
          <w:p>
            <w:pPr>
              <w:spacing w:after="0"/>
              <w:rPr>
                <w:sz w:val="11"/>
                <w:szCs w:val="11"/>
                <w:color w:val="auto"/>
              </w:rPr>
            </w:pPr>
          </w:p>
        </w:tc>
        <w:tc>
          <w:tcPr>
            <w:tcW w:w="12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15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11" w:lineRule="exact"/>
        <w:rPr>
          <w:sz w:val="20"/>
          <w:szCs w:val="20"/>
          <w:color w:val="auto"/>
        </w:rPr>
      </w:pPr>
    </w:p>
    <w:p>
      <w:pPr>
        <w:ind w:left="340"/>
        <w:spacing w:after="0"/>
        <w:rPr>
          <w:sz w:val="20"/>
          <w:szCs w:val="20"/>
          <w:color w:val="auto"/>
        </w:rPr>
      </w:pPr>
      <w:r>
        <w:rPr>
          <w:rFonts w:ascii="Arial" w:cs="Arial" w:eastAsia="Arial" w:hAnsi="Arial"/>
          <w:sz w:val="14"/>
          <w:szCs w:val="14"/>
          <w:color w:val="auto"/>
        </w:rPr>
        <w:t>1. Includes $245 million of retained interests in our consolidated VIEs pledged as collateral under repurchase agreements.</w:t>
      </w:r>
    </w:p>
    <w:p>
      <w:pPr>
        <w:spacing w:after="0" w:line="25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2520" w:type="dxa"/>
            <w:vAlign w:val="bottom"/>
            <w:tcBorders>
              <w:bottom w:val="single" w:sz="8" w:color="auto"/>
            </w:tcBorders>
            <w:gridSpan w:val="5"/>
          </w:tcPr>
          <w:p>
            <w:pPr>
              <w:ind w:left="900"/>
              <w:spacing w:after="0"/>
              <w:rPr>
                <w:sz w:val="20"/>
                <w:szCs w:val="20"/>
                <w:color w:val="auto"/>
              </w:rPr>
            </w:pPr>
            <w:r>
              <w:rPr>
                <w:rFonts w:ascii="Arial" w:cs="Arial" w:eastAsia="Arial" w:hAnsi="Arial"/>
                <w:sz w:val="14"/>
                <w:szCs w:val="14"/>
                <w:b w:val="1"/>
                <w:bCs w:val="1"/>
                <w:color w:val="auto"/>
              </w:rPr>
              <w:t>December 31, 2014</w:t>
            </w: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42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Assets Pledged to Counterparties</w:t>
            </w:r>
          </w:p>
        </w:tc>
        <w:tc>
          <w:tcPr>
            <w:tcW w:w="120" w:type="dxa"/>
            <w:vAlign w:val="bottom"/>
            <w:vMerge w:val="restart"/>
          </w:tcPr>
          <w:p>
            <w:pPr>
              <w:spacing w:after="0"/>
              <w:rPr>
                <w:sz w:val="16"/>
                <w:szCs w:val="16"/>
                <w:color w:val="auto"/>
              </w:rPr>
            </w:pPr>
          </w:p>
        </w:tc>
        <w:tc>
          <w:tcPr>
            <w:tcW w:w="1740" w:type="dxa"/>
            <w:vAlign w:val="bottom"/>
            <w:gridSpan w:val="3"/>
          </w:tcPr>
          <w:p>
            <w:pPr>
              <w:ind w:left="60"/>
              <w:spacing w:after="0"/>
              <w:rPr>
                <w:sz w:val="20"/>
                <w:szCs w:val="20"/>
                <w:color w:val="auto"/>
              </w:rPr>
            </w:pPr>
            <w:r>
              <w:rPr>
                <w:rFonts w:ascii="Arial" w:cs="Arial" w:eastAsia="Arial" w:hAnsi="Arial"/>
                <w:sz w:val="14"/>
                <w:szCs w:val="14"/>
                <w:b w:val="1"/>
                <w:bCs w:val="1"/>
                <w:color w:val="auto"/>
              </w:rPr>
              <w:t>Repurchase Agreements</w:t>
            </w:r>
          </w:p>
        </w:tc>
        <w:tc>
          <w:tcPr>
            <w:tcW w:w="1500" w:type="dxa"/>
            <w:vAlign w:val="bottom"/>
            <w:gridSpan w:val="3"/>
          </w:tcPr>
          <w:p>
            <w:pPr>
              <w:ind w:left="40"/>
              <w:spacing w:after="0"/>
              <w:rPr>
                <w:sz w:val="20"/>
                <w:szCs w:val="20"/>
                <w:color w:val="auto"/>
              </w:rPr>
            </w:pPr>
            <w:r>
              <w:rPr>
                <w:rFonts w:ascii="Arial" w:cs="Arial" w:eastAsia="Arial" w:hAnsi="Arial"/>
                <w:sz w:val="14"/>
                <w:szCs w:val="14"/>
                <w:b w:val="1"/>
                <w:bCs w:val="1"/>
                <w:color w:val="auto"/>
              </w:rPr>
              <w:t>Debt of Consolidated</w:t>
            </w:r>
          </w:p>
        </w:tc>
        <w:tc>
          <w:tcPr>
            <w:tcW w:w="180" w:type="dxa"/>
            <w:vAlign w:val="bottom"/>
          </w:tcPr>
          <w:p>
            <w:pPr>
              <w:spacing w:after="0"/>
              <w:rPr>
                <w:sz w:val="16"/>
                <w:szCs w:val="16"/>
                <w:color w:val="auto"/>
              </w:rPr>
            </w:pPr>
          </w:p>
        </w:tc>
        <w:tc>
          <w:tcPr>
            <w:tcW w:w="1160" w:type="dxa"/>
            <w:vAlign w:val="bottom"/>
            <w:gridSpan w:val="2"/>
          </w:tcPr>
          <w:p>
            <w:pPr>
              <w:ind w:left="120"/>
              <w:spacing w:after="0"/>
              <w:rPr>
                <w:sz w:val="20"/>
                <w:szCs w:val="20"/>
                <w:color w:val="auto"/>
              </w:rPr>
            </w:pPr>
            <w:r>
              <w:rPr>
                <w:rFonts w:ascii="Arial" w:cs="Arial" w:eastAsia="Arial" w:hAnsi="Arial"/>
                <w:sz w:val="14"/>
                <w:szCs w:val="14"/>
                <w:b w:val="1"/>
                <w:bCs w:val="1"/>
                <w:color w:val="auto"/>
              </w:rPr>
              <w:t>Derivative</w:t>
            </w:r>
          </w:p>
        </w:tc>
        <w:tc>
          <w:tcPr>
            <w:tcW w:w="160" w:type="dxa"/>
            <w:vAlign w:val="bottom"/>
          </w:tcPr>
          <w:p>
            <w:pPr>
              <w:spacing w:after="0"/>
              <w:rPr>
                <w:sz w:val="16"/>
                <w:szCs w:val="16"/>
                <w:color w:val="auto"/>
              </w:rPr>
            </w:pPr>
          </w:p>
        </w:tc>
        <w:tc>
          <w:tcPr>
            <w:tcW w:w="1200" w:type="dxa"/>
            <w:vAlign w:val="bottom"/>
            <w:gridSpan w:val="2"/>
          </w:tcPr>
          <w:p>
            <w:pPr>
              <w:ind w:left="40"/>
              <w:spacing w:after="0"/>
              <w:rPr>
                <w:sz w:val="20"/>
                <w:szCs w:val="20"/>
                <w:color w:val="auto"/>
              </w:rPr>
            </w:pPr>
            <w:r>
              <w:rPr>
                <w:rFonts w:ascii="Arial" w:cs="Arial" w:eastAsia="Arial" w:hAnsi="Arial"/>
                <w:sz w:val="14"/>
                <w:szCs w:val="14"/>
                <w:b w:val="1"/>
                <w:bCs w:val="1"/>
                <w:color w:val="auto"/>
              </w:rPr>
              <w:t>Prime Broker</w:t>
            </w:r>
          </w:p>
        </w:tc>
        <w:tc>
          <w:tcPr>
            <w:tcW w:w="260" w:type="dxa"/>
            <w:vAlign w:val="bottom"/>
          </w:tcPr>
          <w:p>
            <w:pPr>
              <w:spacing w:after="0"/>
              <w:rPr>
                <w:sz w:val="16"/>
                <w:szCs w:val="16"/>
                <w:color w:val="auto"/>
              </w:rPr>
            </w:pPr>
          </w:p>
        </w:tc>
        <w:tc>
          <w:tcPr>
            <w:tcW w:w="86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62"/>
        </w:trPr>
        <w:tc>
          <w:tcPr>
            <w:tcW w:w="4240" w:type="dxa"/>
            <w:vAlign w:val="bottom"/>
            <w:tcBorders>
              <w:bottom w:val="single" w:sz="8" w:color="auto"/>
            </w:tcBorders>
            <w:vMerge w:val="continue"/>
          </w:tcPr>
          <w:p>
            <w:pPr>
              <w:spacing w:after="0"/>
              <w:rPr>
                <w:sz w:val="14"/>
                <w:szCs w:val="14"/>
                <w:color w:val="auto"/>
              </w:rPr>
            </w:pPr>
          </w:p>
        </w:tc>
        <w:tc>
          <w:tcPr>
            <w:tcW w:w="120" w:type="dxa"/>
            <w:vAlign w:val="bottom"/>
            <w:tcBorders>
              <w:bottom w:val="single" w:sz="8" w:color="CCEEFF"/>
            </w:tcBorders>
            <w:vMerge w:val="continue"/>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right"/>
              <w:ind w:right="733"/>
              <w:spacing w:after="0"/>
              <w:rPr>
                <w:sz w:val="20"/>
                <w:szCs w:val="20"/>
                <w:color w:val="auto"/>
              </w:rPr>
            </w:pPr>
            <w:r>
              <w:rPr>
                <w:rFonts w:ascii="Arial" w:cs="Arial" w:eastAsia="Arial" w:hAnsi="Arial"/>
                <w:sz w:val="9"/>
                <w:szCs w:val="9"/>
                <w:b w:val="1"/>
                <w:bCs w:val="1"/>
                <w:color w:val="auto"/>
              </w:rPr>
              <w:t>1</w:t>
            </w:r>
          </w:p>
        </w:tc>
        <w:tc>
          <w:tcPr>
            <w:tcW w:w="120" w:type="dxa"/>
            <w:vAlign w:val="bottom"/>
            <w:tcBorders>
              <w:bottom w:val="single" w:sz="8" w:color="CCEEFF"/>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VIEs</w:t>
            </w:r>
          </w:p>
        </w:tc>
        <w:tc>
          <w:tcPr>
            <w:tcW w:w="12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w w:val="96"/>
              </w:rPr>
              <w:t>Agreements</w:t>
            </w:r>
          </w:p>
        </w:tc>
        <w:tc>
          <w:tcPr>
            <w:tcW w:w="10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Agreements</w:t>
            </w:r>
          </w:p>
        </w:tc>
        <w:tc>
          <w:tcPr>
            <w:tcW w:w="100" w:type="dxa"/>
            <w:vAlign w:val="bottom"/>
            <w:tcBorders>
              <w:bottom w:val="single" w:sz="8" w:color="CCEEFF"/>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0"/>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Agency MBS - fair value</w:t>
            </w:r>
          </w:p>
        </w:tc>
        <w:tc>
          <w:tcPr>
            <w:tcW w:w="4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1180" w:type="dxa"/>
            <w:vAlign w:val="bottom"/>
            <w:shd w:val="clear" w:color="auto" w:fill="CCEEFF"/>
          </w:tcPr>
          <w:p>
            <w:pPr>
              <w:jc w:val="right"/>
              <w:ind w:right="53"/>
              <w:spacing w:after="0"/>
              <w:rPr>
                <w:sz w:val="20"/>
                <w:szCs w:val="20"/>
                <w:color w:val="auto"/>
              </w:rPr>
            </w:pPr>
            <w:r>
              <w:rPr>
                <w:rFonts w:ascii="Arial" w:cs="Arial" w:eastAsia="Arial" w:hAnsi="Arial"/>
                <w:sz w:val="14"/>
                <w:szCs w:val="14"/>
                <w:color w:val="auto"/>
              </w:rPr>
              <w:t>51,037</w:t>
            </w:r>
          </w:p>
        </w:tc>
        <w:tc>
          <w:tcPr>
            <w:tcW w:w="120" w:type="dxa"/>
            <w:vAlign w:val="bottom"/>
            <w:shd w:val="clear" w:color="auto" w:fill="CCEEFF"/>
          </w:tcPr>
          <w:p>
            <w:pPr>
              <w:spacing w:after="0"/>
              <w:rPr>
                <w:sz w:val="21"/>
                <w:szCs w:val="21"/>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1,266</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69</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702</w:t>
            </w: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53,074</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U.S. Treasury securities - fair value</w:t>
            </w:r>
          </w:p>
        </w:tc>
        <w:tc>
          <w:tcPr>
            <w:tcW w:w="440" w:type="dxa"/>
            <w:vAlign w:val="bottom"/>
          </w:tcPr>
          <w:p>
            <w:pPr>
              <w:spacing w:after="0"/>
              <w:rPr>
                <w:sz w:val="22"/>
                <w:szCs w:val="22"/>
                <w:color w:val="auto"/>
              </w:rPr>
            </w:pPr>
          </w:p>
        </w:tc>
        <w:tc>
          <w:tcPr>
            <w:tcW w:w="1180" w:type="dxa"/>
            <w:vAlign w:val="bottom"/>
          </w:tcPr>
          <w:p>
            <w:pPr>
              <w:jc w:val="right"/>
              <w:ind w:right="53"/>
              <w:spacing w:after="0"/>
              <w:rPr>
                <w:sz w:val="20"/>
                <w:szCs w:val="20"/>
                <w:color w:val="auto"/>
              </w:rPr>
            </w:pPr>
            <w:r>
              <w:rPr>
                <w:rFonts w:ascii="Arial" w:cs="Arial" w:eastAsia="Arial" w:hAnsi="Arial"/>
                <w:sz w:val="14"/>
                <w:szCs w:val="14"/>
                <w:color w:val="auto"/>
              </w:rPr>
              <w:t>1,904</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060" w:type="dxa"/>
            <w:vAlign w:val="bottom"/>
          </w:tcPr>
          <w:p>
            <w:pPr>
              <w:jc w:val="right"/>
              <w:ind w:right="28"/>
              <w:spacing w:after="0"/>
              <w:rPr>
                <w:sz w:val="20"/>
                <w:szCs w:val="20"/>
                <w:color w:val="auto"/>
              </w:rPr>
            </w:pPr>
            <w:r>
              <w:rPr>
                <w:rFonts w:ascii="Arial" w:cs="Arial" w:eastAsia="Arial" w:hAnsi="Arial"/>
                <w:sz w:val="14"/>
                <w:szCs w:val="14"/>
                <w:color w:val="auto"/>
              </w:rPr>
              <w:t>550</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2,454</w:t>
            </w:r>
          </w:p>
        </w:tc>
        <w:tc>
          <w:tcPr>
            <w:tcW w:w="0" w:type="dxa"/>
            <w:vAlign w:val="bottom"/>
          </w:tcPr>
          <w:p>
            <w:pPr>
              <w:spacing w:after="0"/>
              <w:rPr>
                <w:sz w:val="1"/>
                <w:szCs w:val="1"/>
                <w:color w:val="auto"/>
              </w:rPr>
            </w:pPr>
          </w:p>
        </w:tc>
      </w:tr>
      <w:tr>
        <w:trPr>
          <w:trHeight w:val="276"/>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Accrued interest on pledged securities</w:t>
            </w:r>
          </w:p>
        </w:tc>
        <w:tc>
          <w:tcPr>
            <w:tcW w:w="44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53"/>
              <w:spacing w:after="0"/>
              <w:rPr>
                <w:sz w:val="20"/>
                <w:szCs w:val="20"/>
                <w:color w:val="auto"/>
              </w:rPr>
            </w:pPr>
            <w:r>
              <w:rPr>
                <w:rFonts w:ascii="Arial" w:cs="Arial" w:eastAsia="Arial" w:hAnsi="Arial"/>
                <w:sz w:val="14"/>
                <w:szCs w:val="14"/>
                <w:color w:val="auto"/>
              </w:rPr>
              <w:t>147</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153</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Restricted cash and cash equivalents</w:t>
            </w:r>
          </w:p>
        </w:tc>
        <w:tc>
          <w:tcPr>
            <w:tcW w:w="440" w:type="dxa"/>
            <w:vAlign w:val="bottom"/>
          </w:tcPr>
          <w:p>
            <w:pPr>
              <w:spacing w:after="0"/>
              <w:rPr>
                <w:sz w:val="22"/>
                <w:szCs w:val="22"/>
                <w:color w:val="auto"/>
              </w:rPr>
            </w:pPr>
          </w:p>
        </w:tc>
        <w:tc>
          <w:tcPr>
            <w:tcW w:w="1180" w:type="dxa"/>
            <w:vAlign w:val="bottom"/>
          </w:tcPr>
          <w:p>
            <w:pPr>
              <w:jc w:val="right"/>
              <w:ind w:right="53"/>
              <w:spacing w:after="0"/>
              <w:rPr>
                <w:sz w:val="20"/>
                <w:szCs w:val="20"/>
                <w:color w:val="auto"/>
              </w:rPr>
            </w:pPr>
            <w:r>
              <w:rPr>
                <w:rFonts w:ascii="Arial" w:cs="Arial" w:eastAsia="Arial" w:hAnsi="Arial"/>
                <w:sz w:val="14"/>
                <w:szCs w:val="14"/>
                <w:color w:val="auto"/>
              </w:rPr>
              <w:t>6</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698</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9</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713</w:t>
            </w:r>
          </w:p>
        </w:tc>
        <w:tc>
          <w:tcPr>
            <w:tcW w:w="0" w:type="dxa"/>
            <w:vAlign w:val="bottom"/>
          </w:tcPr>
          <w:p>
            <w:pPr>
              <w:spacing w:after="0"/>
              <w:rPr>
                <w:sz w:val="1"/>
                <w:szCs w:val="1"/>
                <w:color w:val="auto"/>
              </w:rPr>
            </w:pPr>
          </w:p>
        </w:tc>
      </w:tr>
      <w:tr>
        <w:trPr>
          <w:trHeight w:val="243"/>
        </w:trPr>
        <w:tc>
          <w:tcPr>
            <w:tcW w:w="4360" w:type="dxa"/>
            <w:vAlign w:val="bottom"/>
            <w:tcBorders>
              <w:top w:val="single" w:sz="8" w:color="CCEEFF"/>
              <w:bottom w:val="single" w:sz="8" w:color="CCEEFF"/>
            </w:tcBorders>
            <w:gridSpan w:val="2"/>
            <w:shd w:val="clear" w:color="auto" w:fill="CCEEFF"/>
          </w:tcPr>
          <w:p>
            <w:pPr>
              <w:ind w:left="200"/>
              <w:spacing w:after="0"/>
              <w:rPr>
                <w:sz w:val="20"/>
                <w:szCs w:val="20"/>
                <w:color w:val="auto"/>
              </w:rPr>
            </w:pPr>
            <w:r>
              <w:rPr>
                <w:rFonts w:ascii="Arial" w:cs="Arial" w:eastAsia="Arial" w:hAnsi="Arial"/>
                <w:sz w:val="14"/>
                <w:szCs w:val="14"/>
                <w:color w:val="auto"/>
              </w:rPr>
              <w:t>Total</w:t>
            </w:r>
          </w:p>
        </w:tc>
        <w:tc>
          <w:tcPr>
            <w:tcW w:w="440" w:type="dxa"/>
            <w:vAlign w:val="bottom"/>
            <w:tcBorders>
              <w:top w:val="single" w:sz="8" w:color="auto"/>
              <w:bottom w:val="single" w:sz="8" w:color="auto"/>
            </w:tcBorders>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1180" w:type="dxa"/>
            <w:vAlign w:val="bottom"/>
            <w:tcBorders>
              <w:top w:val="single" w:sz="8" w:color="auto"/>
              <w:bottom w:val="single" w:sz="8" w:color="auto"/>
            </w:tcBorders>
            <w:shd w:val="clear" w:color="auto" w:fill="CCEEFF"/>
          </w:tcPr>
          <w:p>
            <w:pPr>
              <w:jc w:val="right"/>
              <w:ind w:right="53"/>
              <w:spacing w:after="0"/>
              <w:rPr>
                <w:sz w:val="20"/>
                <w:szCs w:val="20"/>
                <w:color w:val="auto"/>
              </w:rPr>
            </w:pPr>
            <w:r>
              <w:rPr>
                <w:rFonts w:ascii="Arial" w:cs="Arial" w:eastAsia="Arial" w:hAnsi="Arial"/>
                <w:sz w:val="14"/>
                <w:szCs w:val="14"/>
                <w:color w:val="auto"/>
              </w:rPr>
              <w:t>53,094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1,270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1,319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711</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56,394</w:t>
            </w:r>
          </w:p>
        </w:tc>
        <w:tc>
          <w:tcPr>
            <w:tcW w:w="0" w:type="dxa"/>
            <w:vAlign w:val="bottom"/>
          </w:tcPr>
          <w:p>
            <w:pPr>
              <w:spacing w:after="0"/>
              <w:rPr>
                <w:sz w:val="1"/>
                <w:szCs w:val="1"/>
                <w:color w:val="auto"/>
              </w:rPr>
            </w:pPr>
          </w:p>
        </w:tc>
      </w:tr>
      <w:tr>
        <w:trPr>
          <w:trHeight w:val="20"/>
        </w:trPr>
        <w:tc>
          <w:tcPr>
            <w:tcW w:w="4240" w:type="dxa"/>
            <w:vAlign w:val="bottom"/>
            <w:vMerge w:val="restart"/>
          </w:tcPr>
          <w:p>
            <w:pPr>
              <w:spacing w:after="0"/>
              <w:rPr>
                <w:sz w:val="20"/>
                <w:szCs w:val="20"/>
                <w:color w:val="auto"/>
              </w:rPr>
            </w:pPr>
            <w:r>
              <w:rPr>
                <w:rFonts w:ascii="Arial" w:cs="Arial" w:eastAsia="Arial" w:hAnsi="Arial"/>
                <w:sz w:val="13"/>
                <w:szCs w:val="13"/>
                <w:color w:val="auto"/>
              </w:rPr>
              <w:t>______________________</w:t>
            </w:r>
          </w:p>
        </w:tc>
        <w:tc>
          <w:tcPr>
            <w:tcW w:w="120" w:type="dxa"/>
            <w:vAlign w:val="bottom"/>
            <w:vMerge w:val="restart"/>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2"/>
        </w:trPr>
        <w:tc>
          <w:tcPr>
            <w:tcW w:w="4240" w:type="dxa"/>
            <w:vAlign w:val="bottom"/>
            <w:vMerge w:val="continue"/>
          </w:tcPr>
          <w:p>
            <w:pPr>
              <w:spacing w:after="0"/>
              <w:rPr>
                <w:sz w:val="10"/>
                <w:szCs w:val="10"/>
                <w:color w:val="auto"/>
              </w:rPr>
            </w:pPr>
          </w:p>
        </w:tc>
        <w:tc>
          <w:tcPr>
            <w:tcW w:w="120" w:type="dxa"/>
            <w:vAlign w:val="bottom"/>
            <w:vMerge w:val="continue"/>
          </w:tcPr>
          <w:p>
            <w:pPr>
              <w:spacing w:after="0"/>
              <w:rPr>
                <w:sz w:val="10"/>
                <w:szCs w:val="10"/>
                <w:color w:val="auto"/>
              </w:rPr>
            </w:pPr>
          </w:p>
        </w:tc>
        <w:tc>
          <w:tcPr>
            <w:tcW w:w="44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0" w:type="dxa"/>
            <w:vAlign w:val="bottom"/>
          </w:tcPr>
          <w:p>
            <w:pPr>
              <w:spacing w:after="0"/>
              <w:rPr>
                <w:sz w:val="1"/>
                <w:szCs w:val="1"/>
                <w:color w:val="auto"/>
              </w:rPr>
            </w:pPr>
          </w:p>
        </w:tc>
      </w:tr>
    </w:tbl>
    <w:p>
      <w:pPr>
        <w:ind w:left="340"/>
        <w:spacing w:after="0"/>
        <w:rPr>
          <w:sz w:val="20"/>
          <w:szCs w:val="20"/>
          <w:color w:val="auto"/>
        </w:rPr>
      </w:pPr>
      <w:r>
        <w:rPr>
          <w:rFonts w:ascii="Arial" w:cs="Arial" w:eastAsia="Arial" w:hAnsi="Arial"/>
          <w:sz w:val="14"/>
          <w:szCs w:val="14"/>
          <w:color w:val="auto"/>
        </w:rPr>
        <w:t>1. Includes $179 million of retained interests in our consolidated VIEs pledged as collateral under repurchase agreements.</w:t>
      </w:r>
    </w:p>
    <w:p>
      <w:pPr>
        <w:spacing w:after="0" w:line="156"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As of December 31, 2015, we held $150 million of membership and activity-based stock in the FHLB of Des Moines. FHLB stock is reported at cost, which equals par value, in other assets on our accompanying consolidated balance sheets. FHLB stock can only be redeemed or sold at its par value, and only to the FHLB of Des Moines.</w:t>
      </w:r>
    </w:p>
    <w:p>
      <w:pPr>
        <w:spacing w:after="0" w:line="127"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cash and cash equivalents and agency securities pledged as collateral under our derivative agreements are included in restricted cash and cash equivalents and agency securities, at fair value, respectively, on our consolidated balance sheets.</w:t>
      </w:r>
    </w:p>
    <w:p>
      <w:pPr>
        <w:spacing w:after="0" w:line="116"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following table summarizes our securities pledged as collateral under our repurchase agreements and FHLB advances by the remaining maturity of our borrowings, including securities pledged related to sold but not yet settled securities, as of December 31, 2015 and 2014 (in millions). For the corresponding borrowings associated with the following amounts and the interest rates thereon, refer to Note 4</w:t>
      </w:r>
      <w:r>
        <w:rPr>
          <w:rFonts w:ascii="Arial" w:cs="Arial" w:eastAsia="Arial" w:hAnsi="Arial"/>
          <w:sz w:val="18"/>
          <w:szCs w:val="18"/>
          <w:i w:val="1"/>
          <w:iCs w:val="1"/>
          <w:color w:val="auto"/>
        </w:rPr>
        <w:t>.</w:t>
      </w: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4"/>
          </w:tcPr>
          <w:p>
            <w:pPr>
              <w:spacing w:after="0"/>
              <w:rPr>
                <w:sz w:val="20"/>
                <w:szCs w:val="20"/>
                <w:color w:val="auto"/>
              </w:rPr>
            </w:pPr>
            <w:r>
              <w:rPr>
                <w:rFonts w:ascii="Arial" w:cs="Arial" w:eastAsia="Arial" w:hAnsi="Arial"/>
                <w:sz w:val="14"/>
                <w:szCs w:val="14"/>
                <w:b w:val="1"/>
                <w:bCs w:val="1"/>
                <w:color w:val="auto"/>
              </w:rPr>
              <w:t>December 31, 2015</w:t>
            </w: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rPr>
              <w:t>December 31, 2014</w:t>
            </w: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0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6"/>
              </w:rPr>
              <w:t>Amortized</w:t>
            </w:r>
          </w:p>
        </w:tc>
        <w:tc>
          <w:tcPr>
            <w:tcW w:w="140" w:type="dxa"/>
            <w:vAlign w:val="bottom"/>
          </w:tcPr>
          <w:p>
            <w:pPr>
              <w:spacing w:after="0"/>
              <w:rPr>
                <w:sz w:val="13"/>
                <w:szCs w:val="13"/>
                <w:color w:val="auto"/>
              </w:rPr>
            </w:pPr>
          </w:p>
        </w:tc>
        <w:tc>
          <w:tcPr>
            <w:tcW w:w="98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2"/>
              </w:rPr>
              <w:t>Accrued</w:t>
            </w:r>
          </w:p>
        </w:tc>
        <w:tc>
          <w:tcPr>
            <w:tcW w:w="1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6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3"/>
              </w:rPr>
              <w:t>Amortized</w:t>
            </w:r>
          </w:p>
        </w:tc>
        <w:tc>
          <w:tcPr>
            <w:tcW w:w="140" w:type="dxa"/>
            <w:vAlign w:val="bottom"/>
          </w:tcPr>
          <w:p>
            <w:pPr>
              <w:spacing w:after="0"/>
              <w:rPr>
                <w:sz w:val="13"/>
                <w:szCs w:val="13"/>
                <w:color w:val="auto"/>
              </w:rPr>
            </w:pPr>
          </w:p>
        </w:tc>
        <w:tc>
          <w:tcPr>
            <w:tcW w:w="880" w:type="dxa"/>
            <w:vAlign w:val="bottom"/>
          </w:tcPr>
          <w:p>
            <w:pPr>
              <w:jc w:val="center"/>
              <w:ind w:right="42"/>
              <w:spacing w:after="0" w:line="153" w:lineRule="exact"/>
              <w:rPr>
                <w:sz w:val="20"/>
                <w:szCs w:val="20"/>
                <w:color w:val="auto"/>
              </w:rPr>
            </w:pPr>
            <w:r>
              <w:rPr>
                <w:rFonts w:ascii="Arial" w:cs="Arial" w:eastAsia="Arial" w:hAnsi="Arial"/>
                <w:sz w:val="14"/>
                <w:szCs w:val="14"/>
                <w:b w:val="1"/>
                <w:bCs w:val="1"/>
                <w:color w:val="auto"/>
                <w:w w:val="92"/>
              </w:rPr>
              <w:t>Accrued</w:t>
            </w:r>
          </w:p>
        </w:tc>
        <w:tc>
          <w:tcPr>
            <w:tcW w:w="0" w:type="dxa"/>
            <w:vAlign w:val="bottom"/>
          </w:tcPr>
          <w:p>
            <w:pPr>
              <w:spacing w:after="0"/>
              <w:rPr>
                <w:sz w:val="1"/>
                <w:szCs w:val="1"/>
                <w:color w:val="auto"/>
              </w:rPr>
            </w:pPr>
          </w:p>
        </w:tc>
      </w:tr>
      <w:tr>
        <w:trPr>
          <w:trHeight w:val="149"/>
        </w:trPr>
        <w:tc>
          <w:tcPr>
            <w:tcW w:w="402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Securities Pledged by Remaining Maturity of Repurchase</w:t>
            </w:r>
          </w:p>
        </w:tc>
        <w:tc>
          <w:tcPr>
            <w:tcW w:w="180" w:type="dxa"/>
            <w:vAlign w:val="bottom"/>
          </w:tcPr>
          <w:p>
            <w:pPr>
              <w:spacing w:after="0"/>
              <w:rPr>
                <w:sz w:val="12"/>
                <w:szCs w:val="12"/>
                <w:color w:val="auto"/>
              </w:rPr>
            </w:pPr>
          </w:p>
        </w:tc>
        <w:tc>
          <w:tcPr>
            <w:tcW w:w="1100" w:type="dxa"/>
            <w:vAlign w:val="bottom"/>
            <w:vMerge w:val="restart"/>
          </w:tcPr>
          <w:p>
            <w:pPr>
              <w:jc w:val="right"/>
              <w:ind w:right="160"/>
              <w:spacing w:after="0"/>
              <w:rPr>
                <w:sz w:val="20"/>
                <w:szCs w:val="20"/>
                <w:color w:val="auto"/>
              </w:rPr>
            </w:pPr>
            <w:r>
              <w:rPr>
                <w:rFonts w:ascii="Arial" w:cs="Arial" w:eastAsia="Arial" w:hAnsi="Arial"/>
                <w:sz w:val="14"/>
                <w:szCs w:val="14"/>
                <w:b w:val="1"/>
                <w:bCs w:val="1"/>
                <w:color w:val="auto"/>
                <w:w w:val="99"/>
              </w:rPr>
              <w:t>Fair Value of</w:t>
            </w: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0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2"/>
              </w:rPr>
              <w:t>Interest on</w:t>
            </w:r>
          </w:p>
        </w:tc>
        <w:tc>
          <w:tcPr>
            <w:tcW w:w="180" w:type="dxa"/>
            <w:vAlign w:val="bottom"/>
          </w:tcPr>
          <w:p>
            <w:pPr>
              <w:spacing w:after="0"/>
              <w:rPr>
                <w:sz w:val="12"/>
                <w:szCs w:val="12"/>
                <w:color w:val="auto"/>
              </w:rPr>
            </w:pPr>
          </w:p>
        </w:tc>
        <w:tc>
          <w:tcPr>
            <w:tcW w:w="1040" w:type="dxa"/>
            <w:vAlign w:val="bottom"/>
            <w:vMerge w:val="restart"/>
          </w:tcPr>
          <w:p>
            <w:pPr>
              <w:jc w:val="right"/>
              <w:ind w:right="120"/>
              <w:spacing w:after="0"/>
              <w:rPr>
                <w:sz w:val="20"/>
                <w:szCs w:val="20"/>
                <w:color w:val="auto"/>
              </w:rPr>
            </w:pPr>
            <w:r>
              <w:rPr>
                <w:rFonts w:ascii="Arial" w:cs="Arial" w:eastAsia="Arial" w:hAnsi="Arial"/>
                <w:sz w:val="14"/>
                <w:szCs w:val="14"/>
                <w:b w:val="1"/>
                <w:bCs w:val="1"/>
                <w:color w:val="auto"/>
                <w:w w:val="97"/>
              </w:rPr>
              <w:t>Fair Value of</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jc w:val="center"/>
              <w:ind w:right="62"/>
              <w:spacing w:after="0" w:line="149" w:lineRule="exact"/>
              <w:rPr>
                <w:sz w:val="20"/>
                <w:szCs w:val="20"/>
                <w:color w:val="auto"/>
              </w:rPr>
            </w:pPr>
            <w:r>
              <w:rPr>
                <w:rFonts w:ascii="Arial" w:cs="Arial" w:eastAsia="Arial" w:hAnsi="Arial"/>
                <w:sz w:val="14"/>
                <w:szCs w:val="14"/>
                <w:b w:val="1"/>
                <w:bCs w:val="1"/>
                <w:color w:val="auto"/>
                <w:w w:val="92"/>
              </w:rPr>
              <w:t>Interest on</w:t>
            </w:r>
          </w:p>
        </w:tc>
        <w:tc>
          <w:tcPr>
            <w:tcW w:w="0" w:type="dxa"/>
            <w:vAlign w:val="bottom"/>
          </w:tcPr>
          <w:p>
            <w:pPr>
              <w:spacing w:after="0"/>
              <w:rPr>
                <w:sz w:val="1"/>
                <w:szCs w:val="1"/>
                <w:color w:val="auto"/>
              </w:rPr>
            </w:pPr>
          </w:p>
        </w:tc>
      </w:tr>
      <w:tr>
        <w:trPr>
          <w:trHeight w:val="149"/>
        </w:trPr>
        <w:tc>
          <w:tcPr>
            <w:tcW w:w="402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10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Cost of Pledged</w:t>
            </w:r>
          </w:p>
        </w:tc>
        <w:tc>
          <w:tcPr>
            <w:tcW w:w="140" w:type="dxa"/>
            <w:vAlign w:val="bottom"/>
          </w:tcPr>
          <w:p>
            <w:pPr>
              <w:spacing w:after="0"/>
              <w:rPr>
                <w:sz w:val="12"/>
                <w:szCs w:val="12"/>
                <w:color w:val="auto"/>
              </w:rPr>
            </w:pPr>
          </w:p>
        </w:tc>
        <w:tc>
          <w:tcPr>
            <w:tcW w:w="9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Pledged</w:t>
            </w:r>
          </w:p>
        </w:tc>
        <w:tc>
          <w:tcPr>
            <w:tcW w:w="180" w:type="dxa"/>
            <w:vAlign w:val="bottom"/>
          </w:tcPr>
          <w:p>
            <w:pPr>
              <w:spacing w:after="0"/>
              <w:rPr>
                <w:sz w:val="12"/>
                <w:szCs w:val="12"/>
                <w:color w:val="auto"/>
              </w:rPr>
            </w:pPr>
          </w:p>
        </w:tc>
        <w:tc>
          <w:tcPr>
            <w:tcW w:w="10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90"/>
              </w:rPr>
              <w:t>Cost of Pledged</w:t>
            </w:r>
          </w:p>
        </w:tc>
        <w:tc>
          <w:tcPr>
            <w:tcW w:w="140" w:type="dxa"/>
            <w:vAlign w:val="bottom"/>
          </w:tcPr>
          <w:p>
            <w:pPr>
              <w:spacing w:after="0"/>
              <w:rPr>
                <w:sz w:val="12"/>
                <w:szCs w:val="12"/>
                <w:color w:val="auto"/>
              </w:rPr>
            </w:pPr>
          </w:p>
        </w:tc>
        <w:tc>
          <w:tcPr>
            <w:tcW w:w="880" w:type="dxa"/>
            <w:vAlign w:val="bottom"/>
          </w:tcPr>
          <w:p>
            <w:pPr>
              <w:jc w:val="center"/>
              <w:ind w:right="62"/>
              <w:spacing w:after="0" w:line="149" w:lineRule="exact"/>
              <w:rPr>
                <w:sz w:val="20"/>
                <w:szCs w:val="20"/>
                <w:color w:val="auto"/>
              </w:rPr>
            </w:pPr>
            <w:r>
              <w:rPr>
                <w:rFonts w:ascii="Arial" w:cs="Arial" w:eastAsia="Arial" w:hAnsi="Arial"/>
                <w:sz w:val="14"/>
                <w:szCs w:val="14"/>
                <w:b w:val="1"/>
                <w:bCs w:val="1"/>
                <w:color w:val="auto"/>
                <w:w w:val="91"/>
              </w:rPr>
              <w:t>Pledged</w:t>
            </w:r>
          </w:p>
        </w:tc>
        <w:tc>
          <w:tcPr>
            <w:tcW w:w="0" w:type="dxa"/>
            <w:vAlign w:val="bottom"/>
          </w:tcPr>
          <w:p>
            <w:pPr>
              <w:spacing w:after="0"/>
              <w:rPr>
                <w:sz w:val="1"/>
                <w:szCs w:val="1"/>
                <w:color w:val="auto"/>
              </w:rPr>
            </w:pPr>
          </w:p>
        </w:tc>
      </w:tr>
      <w:tr>
        <w:trPr>
          <w:trHeight w:val="192"/>
        </w:trPr>
        <w:tc>
          <w:tcPr>
            <w:tcW w:w="39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Agreements and FHLB Advances</w:t>
            </w:r>
          </w:p>
        </w:tc>
        <w:tc>
          <w:tcPr>
            <w:tcW w:w="120" w:type="dxa"/>
            <w:vAlign w:val="bottom"/>
            <w:tcBorders>
              <w:bottom w:val="single" w:sz="8" w:color="CCEEFF"/>
            </w:tcBorders>
          </w:tcPr>
          <w:p>
            <w:pPr>
              <w:spacing w:after="0"/>
              <w:rPr>
                <w:sz w:val="16"/>
                <w:szCs w:val="16"/>
                <w:color w:val="auto"/>
              </w:rPr>
            </w:pPr>
          </w:p>
        </w:tc>
        <w:tc>
          <w:tcPr>
            <w:tcW w:w="12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4"/>
              </w:rPr>
              <w:t>Pledged Securities</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right="101"/>
              <w:spacing w:after="0"/>
              <w:rPr>
                <w:sz w:val="20"/>
                <w:szCs w:val="20"/>
                <w:color w:val="auto"/>
              </w:rPr>
            </w:pPr>
            <w:r>
              <w:rPr>
                <w:rFonts w:ascii="Arial" w:cs="Arial" w:eastAsia="Arial" w:hAnsi="Arial"/>
                <w:sz w:val="14"/>
                <w:szCs w:val="14"/>
                <w:b w:val="1"/>
                <w:bCs w:val="1"/>
                <w:color w:val="auto"/>
                <w:w w:val="89"/>
              </w:rPr>
              <w:t>Securities</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42"/>
              <w:spacing w:after="0"/>
              <w:rPr>
                <w:sz w:val="20"/>
                <w:szCs w:val="20"/>
                <w:color w:val="auto"/>
              </w:rPr>
            </w:pPr>
            <w:r>
              <w:rPr>
                <w:rFonts w:ascii="Arial" w:cs="Arial" w:eastAsia="Arial" w:hAnsi="Arial"/>
                <w:sz w:val="14"/>
                <w:szCs w:val="14"/>
                <w:b w:val="1"/>
                <w:bCs w:val="1"/>
                <w:color w:val="auto"/>
                <w:w w:val="89"/>
              </w:rPr>
              <w:t>Securities</w:t>
            </w:r>
          </w:p>
        </w:tc>
        <w:tc>
          <w:tcPr>
            <w:tcW w:w="100" w:type="dxa"/>
            <w:vAlign w:val="bottom"/>
            <w:tcBorders>
              <w:bottom w:val="single" w:sz="8" w:color="CCEEFF"/>
            </w:tcBorders>
          </w:tcPr>
          <w:p>
            <w:pPr>
              <w:spacing w:after="0"/>
              <w:rPr>
                <w:sz w:val="16"/>
                <w:szCs w:val="16"/>
                <w:color w:val="auto"/>
              </w:rPr>
            </w:pPr>
          </w:p>
        </w:tc>
        <w:tc>
          <w:tcPr>
            <w:tcW w:w="122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4"/>
              </w:rPr>
              <w:t>Pledged Securities</w:t>
            </w:r>
          </w:p>
        </w:tc>
        <w:tc>
          <w:tcPr>
            <w:tcW w:w="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center"/>
              <w:ind w:right="81"/>
              <w:spacing w:after="0"/>
              <w:rPr>
                <w:sz w:val="20"/>
                <w:szCs w:val="20"/>
                <w:color w:val="auto"/>
              </w:rPr>
            </w:pPr>
            <w:r>
              <w:rPr>
                <w:rFonts w:ascii="Arial" w:cs="Arial" w:eastAsia="Arial" w:hAnsi="Arial"/>
                <w:sz w:val="14"/>
                <w:szCs w:val="14"/>
                <w:b w:val="1"/>
                <w:bCs w:val="1"/>
                <w:color w:val="auto"/>
                <w:w w:val="89"/>
              </w:rPr>
              <w:t>Securities</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42"/>
              <w:spacing w:after="0"/>
              <w:rPr>
                <w:sz w:val="20"/>
                <w:szCs w:val="20"/>
                <w:color w:val="auto"/>
              </w:rPr>
            </w:pPr>
            <w:r>
              <w:rPr>
                <w:rFonts w:ascii="Arial" w:cs="Arial" w:eastAsia="Arial" w:hAnsi="Arial"/>
                <w:sz w:val="14"/>
                <w:szCs w:val="14"/>
                <w:b w:val="1"/>
                <w:bCs w:val="1"/>
                <w:color w:val="auto"/>
                <w:w w:val="89"/>
              </w:rPr>
              <w:t>Securities</w:t>
            </w:r>
          </w:p>
        </w:tc>
        <w:tc>
          <w:tcPr>
            <w:tcW w:w="0" w:type="dxa"/>
            <w:vAlign w:val="bottom"/>
          </w:tcPr>
          <w:p>
            <w:pPr>
              <w:spacing w:after="0"/>
              <w:rPr>
                <w:sz w:val="1"/>
                <w:szCs w:val="1"/>
                <w:color w:val="auto"/>
              </w:rPr>
            </w:pPr>
          </w:p>
        </w:tc>
      </w:tr>
      <w:tr>
        <w:trPr>
          <w:trHeight w:val="270"/>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MBS:</w:t>
            </w:r>
            <w:r>
              <w:rPr>
                <w:rFonts w:ascii="Arial" w:cs="Arial" w:eastAsia="Arial" w:hAnsi="Arial"/>
                <w:sz w:val="21"/>
                <w:szCs w:val="21"/>
                <w:color w:val="auto"/>
                <w:vertAlign w:val="superscript"/>
              </w:rPr>
              <w:t>1</w:t>
            </w:r>
          </w:p>
        </w:tc>
        <w:tc>
          <w:tcPr>
            <w:tcW w:w="18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4020" w:type="dxa"/>
            <w:vAlign w:val="bottom"/>
            <w:gridSpan w:val="2"/>
          </w:tcPr>
          <w:p>
            <w:pPr>
              <w:ind w:left="120"/>
              <w:spacing w:after="0"/>
              <w:rPr>
                <w:sz w:val="20"/>
                <w:szCs w:val="20"/>
                <w:color w:val="auto"/>
              </w:rPr>
            </w:pPr>
            <w:r>
              <w:rPr>
                <w:rFonts w:ascii="Arial" w:cs="Arial" w:eastAsia="Arial" w:hAnsi="Arial"/>
                <w:sz w:val="16"/>
                <w:szCs w:val="16"/>
                <w:color w:val="auto"/>
              </w:rPr>
              <w:t>≤ 30 days</w:t>
            </w:r>
          </w:p>
        </w:tc>
        <w:tc>
          <w:tcPr>
            <w:tcW w:w="180" w:type="dxa"/>
            <w:vAlign w:val="bottom"/>
          </w:tcPr>
          <w:p>
            <w:pPr>
              <w:jc w:val="right"/>
              <w:ind w:right="2"/>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ind w:right="40"/>
              <w:spacing w:after="0"/>
              <w:rPr>
                <w:sz w:val="20"/>
                <w:szCs w:val="20"/>
                <w:color w:val="auto"/>
              </w:rPr>
            </w:pPr>
            <w:r>
              <w:rPr>
                <w:rFonts w:ascii="Arial" w:cs="Arial" w:eastAsia="Arial" w:hAnsi="Arial"/>
                <w:sz w:val="16"/>
                <w:szCs w:val="16"/>
                <w:color w:val="auto"/>
              </w:rPr>
              <w:t>20,053</w:t>
            </w:r>
          </w:p>
        </w:tc>
        <w:tc>
          <w:tcPr>
            <w:tcW w:w="30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980" w:type="dxa"/>
            <w:vAlign w:val="bottom"/>
          </w:tcPr>
          <w:p>
            <w:pPr>
              <w:jc w:val="right"/>
              <w:ind w:right="41"/>
              <w:spacing w:after="0"/>
              <w:rPr>
                <w:sz w:val="20"/>
                <w:szCs w:val="20"/>
                <w:color w:val="auto"/>
              </w:rPr>
            </w:pPr>
            <w:r>
              <w:rPr>
                <w:rFonts w:ascii="Arial" w:cs="Arial" w:eastAsia="Arial" w:hAnsi="Arial"/>
                <w:sz w:val="16"/>
                <w:szCs w:val="16"/>
                <w:color w:val="auto"/>
              </w:rPr>
              <w:t>20,075</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22"/>
              <w:spacing w:after="0"/>
              <w:rPr>
                <w:sz w:val="20"/>
                <w:szCs w:val="20"/>
                <w:color w:val="auto"/>
              </w:rPr>
            </w:pPr>
            <w:r>
              <w:rPr>
                <w:rFonts w:ascii="Arial" w:cs="Arial" w:eastAsia="Arial" w:hAnsi="Arial"/>
                <w:sz w:val="16"/>
                <w:szCs w:val="16"/>
                <w:color w:val="auto"/>
              </w:rPr>
              <w:t>57</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14,659</w:t>
            </w:r>
          </w:p>
        </w:tc>
        <w:tc>
          <w:tcPr>
            <w:tcW w:w="30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21"/>
              <w:spacing w:after="0"/>
              <w:rPr>
                <w:sz w:val="20"/>
                <w:szCs w:val="20"/>
                <w:color w:val="auto"/>
              </w:rPr>
            </w:pPr>
            <w:r>
              <w:rPr>
                <w:rFonts w:ascii="Arial" w:cs="Arial" w:eastAsia="Arial" w:hAnsi="Arial"/>
                <w:sz w:val="16"/>
                <w:szCs w:val="16"/>
                <w:color w:val="auto"/>
              </w:rPr>
              <w:t>14,509</w:t>
            </w:r>
          </w:p>
        </w:tc>
        <w:tc>
          <w:tcPr>
            <w:tcW w:w="10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22"/>
              <w:spacing w:after="0"/>
              <w:rPr>
                <w:sz w:val="20"/>
                <w:szCs w:val="20"/>
                <w:color w:val="auto"/>
              </w:rPr>
            </w:pPr>
            <w:r>
              <w:rPr>
                <w:rFonts w:ascii="Arial" w:cs="Arial" w:eastAsia="Arial" w:hAnsi="Arial"/>
                <w:sz w:val="16"/>
                <w:szCs w:val="16"/>
                <w:color w:val="auto"/>
              </w:rPr>
              <w:t>41</w:t>
            </w:r>
          </w:p>
        </w:tc>
        <w:tc>
          <w:tcPr>
            <w:tcW w:w="0" w:type="dxa"/>
            <w:vAlign w:val="bottom"/>
          </w:tcPr>
          <w:p>
            <w:pPr>
              <w:spacing w:after="0"/>
              <w:rPr>
                <w:sz w:val="1"/>
                <w:szCs w:val="1"/>
                <w:color w:val="auto"/>
              </w:rPr>
            </w:pPr>
          </w:p>
        </w:tc>
      </w:tr>
      <w:tr>
        <w:trPr>
          <w:trHeight w:val="33"/>
        </w:trPr>
        <w:tc>
          <w:tcPr>
            <w:tcW w:w="3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2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6"/>
                <w:szCs w:val="16"/>
                <w:color w:val="auto"/>
              </w:rPr>
              <w:t>&gt; 30 and ≤ 60 days</w:t>
            </w:r>
          </w:p>
        </w:tc>
        <w:tc>
          <w:tcPr>
            <w:tcW w:w="1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8,311</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8,340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23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10,906</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10,784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30</w:t>
            </w:r>
          </w:p>
        </w:tc>
        <w:tc>
          <w:tcPr>
            <w:tcW w:w="0" w:type="dxa"/>
            <w:vAlign w:val="bottom"/>
          </w:tcPr>
          <w:p>
            <w:pPr>
              <w:spacing w:after="0"/>
              <w:rPr>
                <w:sz w:val="1"/>
                <w:szCs w:val="1"/>
                <w:color w:val="auto"/>
              </w:rPr>
            </w:pPr>
          </w:p>
        </w:tc>
      </w:tr>
      <w:tr>
        <w:trPr>
          <w:trHeight w:val="237"/>
        </w:trPr>
        <w:tc>
          <w:tcPr>
            <w:tcW w:w="4020" w:type="dxa"/>
            <w:vAlign w:val="bottom"/>
            <w:gridSpan w:val="2"/>
          </w:tcPr>
          <w:p>
            <w:pPr>
              <w:ind w:left="120"/>
              <w:spacing w:after="0"/>
              <w:rPr>
                <w:sz w:val="20"/>
                <w:szCs w:val="20"/>
                <w:color w:val="auto"/>
              </w:rPr>
            </w:pPr>
            <w:r>
              <w:rPr>
                <w:rFonts w:ascii="Arial" w:cs="Arial" w:eastAsia="Arial" w:hAnsi="Arial"/>
                <w:sz w:val="16"/>
                <w:szCs w:val="16"/>
                <w:color w:val="auto"/>
              </w:rPr>
              <w:t>&gt; 60 and ≤ 90 days</w:t>
            </w:r>
          </w:p>
        </w:tc>
        <w:tc>
          <w:tcPr>
            <w:tcW w:w="180" w:type="dxa"/>
            <w:vAlign w:val="bottom"/>
          </w:tcPr>
          <w:p>
            <w:pPr>
              <w:spacing w:after="0"/>
              <w:rPr>
                <w:sz w:val="20"/>
                <w:szCs w:val="20"/>
                <w:color w:val="auto"/>
              </w:rPr>
            </w:pPr>
          </w:p>
        </w:tc>
        <w:tc>
          <w:tcPr>
            <w:tcW w:w="1100" w:type="dxa"/>
            <w:vAlign w:val="bottom"/>
          </w:tcPr>
          <w:p>
            <w:pPr>
              <w:jc w:val="right"/>
              <w:ind w:right="40"/>
              <w:spacing w:after="0"/>
              <w:rPr>
                <w:sz w:val="20"/>
                <w:szCs w:val="20"/>
                <w:color w:val="auto"/>
              </w:rPr>
            </w:pPr>
            <w:r>
              <w:rPr>
                <w:rFonts w:ascii="Arial" w:cs="Arial" w:eastAsia="Arial" w:hAnsi="Arial"/>
                <w:sz w:val="16"/>
                <w:szCs w:val="16"/>
                <w:color w:val="auto"/>
              </w:rPr>
              <w:t>7,534</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80" w:type="dxa"/>
            <w:vAlign w:val="bottom"/>
          </w:tcPr>
          <w:p>
            <w:pPr>
              <w:jc w:val="right"/>
              <w:ind w:right="41"/>
              <w:spacing w:after="0"/>
              <w:rPr>
                <w:sz w:val="20"/>
                <w:szCs w:val="20"/>
                <w:color w:val="auto"/>
              </w:rPr>
            </w:pPr>
            <w:r>
              <w:rPr>
                <w:rFonts w:ascii="Arial" w:cs="Arial" w:eastAsia="Arial" w:hAnsi="Arial"/>
                <w:sz w:val="16"/>
                <w:szCs w:val="16"/>
                <w:color w:val="auto"/>
              </w:rPr>
              <w:t>7,525</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80" w:type="dxa"/>
            <w:vAlign w:val="bottom"/>
          </w:tcPr>
          <w:p>
            <w:pPr>
              <w:jc w:val="right"/>
              <w:ind w:right="22"/>
              <w:spacing w:after="0"/>
              <w:rPr>
                <w:sz w:val="20"/>
                <w:szCs w:val="20"/>
                <w:color w:val="auto"/>
              </w:rPr>
            </w:pPr>
            <w:r>
              <w:rPr>
                <w:rFonts w:ascii="Arial" w:cs="Arial" w:eastAsia="Arial" w:hAnsi="Arial"/>
                <w:sz w:val="16"/>
                <w:szCs w:val="16"/>
                <w:color w:val="auto"/>
              </w:rPr>
              <w:t>21</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10,205</w:t>
            </w: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60" w:type="dxa"/>
            <w:vAlign w:val="bottom"/>
          </w:tcPr>
          <w:p>
            <w:pPr>
              <w:jc w:val="right"/>
              <w:ind w:right="21"/>
              <w:spacing w:after="0"/>
              <w:rPr>
                <w:sz w:val="20"/>
                <w:szCs w:val="20"/>
                <w:color w:val="auto"/>
              </w:rPr>
            </w:pPr>
            <w:r>
              <w:rPr>
                <w:rFonts w:ascii="Arial" w:cs="Arial" w:eastAsia="Arial" w:hAnsi="Arial"/>
                <w:sz w:val="16"/>
                <w:szCs w:val="16"/>
                <w:color w:val="auto"/>
              </w:rPr>
              <w:t>10,109</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80" w:type="dxa"/>
            <w:vAlign w:val="bottom"/>
          </w:tcPr>
          <w:p>
            <w:pPr>
              <w:jc w:val="right"/>
              <w:ind w:right="22"/>
              <w:spacing w:after="0"/>
              <w:rPr>
                <w:sz w:val="20"/>
                <w:szCs w:val="20"/>
                <w:color w:val="auto"/>
              </w:rPr>
            </w:pPr>
            <w:r>
              <w:rPr>
                <w:rFonts w:ascii="Arial" w:cs="Arial" w:eastAsia="Arial" w:hAnsi="Arial"/>
                <w:sz w:val="16"/>
                <w:szCs w:val="16"/>
                <w:color w:val="auto"/>
              </w:rPr>
              <w:t>28</w:t>
            </w:r>
          </w:p>
        </w:tc>
        <w:tc>
          <w:tcPr>
            <w:tcW w:w="0" w:type="dxa"/>
            <w:vAlign w:val="bottom"/>
          </w:tcPr>
          <w:p>
            <w:pPr>
              <w:spacing w:after="0"/>
              <w:rPr>
                <w:sz w:val="1"/>
                <w:szCs w:val="1"/>
                <w:color w:val="auto"/>
              </w:rPr>
            </w:pPr>
          </w:p>
        </w:tc>
      </w:tr>
      <w:tr>
        <w:trPr>
          <w:trHeight w:val="33"/>
        </w:trPr>
        <w:tc>
          <w:tcPr>
            <w:tcW w:w="3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02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6"/>
                <w:szCs w:val="16"/>
                <w:color w:val="auto"/>
              </w:rPr>
              <w:t>&gt; 90 days</w:t>
            </w:r>
          </w:p>
        </w:tc>
        <w:tc>
          <w:tcPr>
            <w:tcW w:w="18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12,207</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12,187</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34</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15,267</w:t>
            </w:r>
          </w:p>
        </w:tc>
        <w:tc>
          <w:tcPr>
            <w:tcW w:w="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15,096</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43</w:t>
            </w:r>
          </w:p>
        </w:tc>
        <w:tc>
          <w:tcPr>
            <w:tcW w:w="0" w:type="dxa"/>
            <w:vAlign w:val="bottom"/>
          </w:tcPr>
          <w:p>
            <w:pPr>
              <w:spacing w:after="0"/>
              <w:rPr>
                <w:sz w:val="1"/>
                <w:szCs w:val="1"/>
                <w:color w:val="auto"/>
              </w:rPr>
            </w:pPr>
          </w:p>
        </w:tc>
      </w:tr>
      <w:tr>
        <w:trPr>
          <w:trHeight w:val="217"/>
        </w:trPr>
        <w:tc>
          <w:tcPr>
            <w:tcW w:w="4020" w:type="dxa"/>
            <w:vAlign w:val="bottom"/>
            <w:gridSpan w:val="2"/>
          </w:tcPr>
          <w:p>
            <w:pPr>
              <w:ind w:left="380"/>
              <w:spacing w:after="0"/>
              <w:rPr>
                <w:sz w:val="20"/>
                <w:szCs w:val="20"/>
                <w:color w:val="auto"/>
              </w:rPr>
            </w:pPr>
            <w:r>
              <w:rPr>
                <w:rFonts w:ascii="Arial" w:cs="Arial" w:eastAsia="Arial" w:hAnsi="Arial"/>
                <w:sz w:val="16"/>
                <w:szCs w:val="16"/>
                <w:color w:val="auto"/>
              </w:rPr>
              <w:t>Total MBS</w:t>
            </w:r>
          </w:p>
        </w:tc>
        <w:tc>
          <w:tcPr>
            <w:tcW w:w="18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48,105</w:t>
            </w: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ind w:right="41"/>
              <w:spacing w:after="0"/>
              <w:rPr>
                <w:sz w:val="20"/>
                <w:szCs w:val="20"/>
                <w:color w:val="auto"/>
              </w:rPr>
            </w:pPr>
            <w:r>
              <w:rPr>
                <w:rFonts w:ascii="Arial" w:cs="Arial" w:eastAsia="Arial" w:hAnsi="Arial"/>
                <w:sz w:val="16"/>
                <w:szCs w:val="16"/>
                <w:color w:val="auto"/>
              </w:rPr>
              <w:t>48,127</w:t>
            </w: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ind w:right="22"/>
              <w:spacing w:after="0"/>
              <w:rPr>
                <w:sz w:val="20"/>
                <w:szCs w:val="20"/>
                <w:color w:val="auto"/>
              </w:rPr>
            </w:pPr>
            <w:r>
              <w:rPr>
                <w:rFonts w:ascii="Arial" w:cs="Arial" w:eastAsia="Arial" w:hAnsi="Arial"/>
                <w:sz w:val="16"/>
                <w:szCs w:val="16"/>
                <w:color w:val="auto"/>
              </w:rPr>
              <w:t>135</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51,037</w:t>
            </w:r>
          </w:p>
        </w:tc>
        <w:tc>
          <w:tcPr>
            <w:tcW w:w="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ind w:right="21"/>
              <w:spacing w:after="0"/>
              <w:rPr>
                <w:sz w:val="20"/>
                <w:szCs w:val="20"/>
                <w:color w:val="auto"/>
              </w:rPr>
            </w:pPr>
            <w:r>
              <w:rPr>
                <w:rFonts w:ascii="Arial" w:cs="Arial" w:eastAsia="Arial" w:hAnsi="Arial"/>
                <w:sz w:val="16"/>
                <w:szCs w:val="16"/>
                <w:color w:val="auto"/>
              </w:rPr>
              <w:t>50,498</w:t>
            </w: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ind w:right="22"/>
              <w:spacing w:after="0"/>
              <w:rPr>
                <w:sz w:val="20"/>
                <w:szCs w:val="20"/>
                <w:color w:val="auto"/>
              </w:rPr>
            </w:pPr>
            <w:r>
              <w:rPr>
                <w:rFonts w:ascii="Arial" w:cs="Arial" w:eastAsia="Arial" w:hAnsi="Arial"/>
                <w:sz w:val="16"/>
                <w:szCs w:val="16"/>
                <w:color w:val="auto"/>
              </w:rPr>
              <w:t>142</w:t>
            </w:r>
          </w:p>
        </w:tc>
        <w:tc>
          <w:tcPr>
            <w:tcW w:w="0" w:type="dxa"/>
            <w:vAlign w:val="bottom"/>
          </w:tcPr>
          <w:p>
            <w:pPr>
              <w:spacing w:after="0"/>
              <w:rPr>
                <w:sz w:val="1"/>
                <w:szCs w:val="1"/>
                <w:color w:val="auto"/>
              </w:rPr>
            </w:pPr>
          </w:p>
        </w:tc>
      </w:tr>
      <w:tr>
        <w:trPr>
          <w:trHeight w:val="33"/>
        </w:trPr>
        <w:tc>
          <w:tcPr>
            <w:tcW w:w="39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0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U.S. Treasury securities:</w:t>
            </w:r>
          </w:p>
        </w:tc>
        <w:tc>
          <w:tcPr>
            <w:tcW w:w="1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4020" w:type="dxa"/>
            <w:vAlign w:val="bottom"/>
            <w:gridSpan w:val="2"/>
          </w:tcPr>
          <w:p>
            <w:pPr>
              <w:ind w:left="160"/>
              <w:spacing w:after="0"/>
              <w:rPr>
                <w:sz w:val="20"/>
                <w:szCs w:val="20"/>
                <w:color w:val="auto"/>
              </w:rPr>
            </w:pPr>
            <w:r>
              <w:rPr>
                <w:rFonts w:ascii="Arial" w:cs="Arial" w:eastAsia="Arial" w:hAnsi="Arial"/>
                <w:sz w:val="16"/>
                <w:szCs w:val="16"/>
                <w:color w:val="auto"/>
              </w:rPr>
              <w:t>1 day</w:t>
            </w:r>
          </w:p>
        </w:tc>
        <w:tc>
          <w:tcPr>
            <w:tcW w:w="180" w:type="dxa"/>
            <w:vAlign w:val="bottom"/>
          </w:tcPr>
          <w:p>
            <w:pPr>
              <w:spacing w:after="0"/>
              <w:rPr>
                <w:sz w:val="20"/>
                <w:szCs w:val="20"/>
                <w:color w:val="auto"/>
              </w:rPr>
            </w:pPr>
          </w:p>
        </w:tc>
        <w:tc>
          <w:tcPr>
            <w:tcW w:w="1100" w:type="dxa"/>
            <w:vAlign w:val="bottom"/>
          </w:tcPr>
          <w:p>
            <w:pPr>
              <w:jc w:val="right"/>
              <w:ind w:right="40"/>
              <w:spacing w:after="0"/>
              <w:rPr>
                <w:sz w:val="20"/>
                <w:szCs w:val="20"/>
                <w:color w:val="auto"/>
              </w:rPr>
            </w:pPr>
            <w:r>
              <w:rPr>
                <w:rFonts w:ascii="Arial" w:cs="Arial" w:eastAsia="Arial" w:hAnsi="Arial"/>
                <w:sz w:val="16"/>
                <w:szCs w:val="16"/>
                <w:color w:val="auto"/>
              </w:rPr>
              <w:t>25</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80" w:type="dxa"/>
            <w:vAlign w:val="bottom"/>
          </w:tcPr>
          <w:p>
            <w:pPr>
              <w:jc w:val="right"/>
              <w:ind w:right="41"/>
              <w:spacing w:after="0"/>
              <w:rPr>
                <w:sz w:val="20"/>
                <w:szCs w:val="20"/>
                <w:color w:val="auto"/>
              </w:rPr>
            </w:pPr>
            <w:r>
              <w:rPr>
                <w:rFonts w:ascii="Arial" w:cs="Arial" w:eastAsia="Arial" w:hAnsi="Arial"/>
                <w:sz w:val="16"/>
                <w:szCs w:val="16"/>
                <w:color w:val="auto"/>
              </w:rPr>
              <w:t>25</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1,904</w:t>
            </w: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60" w:type="dxa"/>
            <w:vAlign w:val="bottom"/>
          </w:tcPr>
          <w:p>
            <w:pPr>
              <w:jc w:val="right"/>
              <w:ind w:right="21"/>
              <w:spacing w:after="0"/>
              <w:rPr>
                <w:sz w:val="20"/>
                <w:szCs w:val="20"/>
                <w:color w:val="auto"/>
              </w:rPr>
            </w:pPr>
            <w:r>
              <w:rPr>
                <w:rFonts w:ascii="Arial" w:cs="Arial" w:eastAsia="Arial" w:hAnsi="Arial"/>
                <w:sz w:val="16"/>
                <w:szCs w:val="16"/>
                <w:color w:val="auto"/>
              </w:rPr>
              <w:t>1,899</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80" w:type="dxa"/>
            <w:vAlign w:val="bottom"/>
          </w:tcPr>
          <w:p>
            <w:pPr>
              <w:jc w:val="right"/>
              <w:ind w:right="22"/>
              <w:spacing w:after="0"/>
              <w:rPr>
                <w:sz w:val="20"/>
                <w:szCs w:val="20"/>
                <w:color w:val="auto"/>
              </w:rPr>
            </w:pPr>
            <w:r>
              <w:rPr>
                <w:rFonts w:ascii="Arial" w:cs="Arial" w:eastAsia="Arial" w:hAnsi="Arial"/>
                <w:sz w:val="16"/>
                <w:szCs w:val="16"/>
                <w:color w:val="auto"/>
              </w:rPr>
              <w:t>5</w:t>
            </w:r>
          </w:p>
        </w:tc>
        <w:tc>
          <w:tcPr>
            <w:tcW w:w="0" w:type="dxa"/>
            <w:vAlign w:val="bottom"/>
          </w:tcPr>
          <w:p>
            <w:pPr>
              <w:spacing w:after="0"/>
              <w:rPr>
                <w:sz w:val="1"/>
                <w:szCs w:val="1"/>
                <w:color w:val="auto"/>
              </w:rPr>
            </w:pPr>
          </w:p>
        </w:tc>
      </w:tr>
      <w:tr>
        <w:trPr>
          <w:trHeight w:val="33"/>
        </w:trPr>
        <w:tc>
          <w:tcPr>
            <w:tcW w:w="39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020" w:type="dxa"/>
            <w:vAlign w:val="bottom"/>
            <w:gridSpan w:val="2"/>
            <w:shd w:val="clear" w:color="auto" w:fill="CCEEFF"/>
          </w:tcPr>
          <w:p>
            <w:pPr>
              <w:ind w:left="720"/>
              <w:spacing w:after="0"/>
              <w:rPr>
                <w:sz w:val="20"/>
                <w:szCs w:val="20"/>
                <w:color w:val="auto"/>
              </w:rPr>
            </w:pPr>
            <w:r>
              <w:rPr>
                <w:rFonts w:ascii="Arial" w:cs="Arial" w:eastAsia="Arial" w:hAnsi="Arial"/>
                <w:sz w:val="16"/>
                <w:szCs w:val="16"/>
                <w:color w:val="auto"/>
              </w:rPr>
              <w:t>Total</w:t>
            </w:r>
          </w:p>
        </w:tc>
        <w:tc>
          <w:tcPr>
            <w:tcW w:w="18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w w:val="89"/>
              </w:rPr>
              <w:t>$</w:t>
            </w:r>
          </w:p>
        </w:tc>
        <w:tc>
          <w:tcPr>
            <w:tcW w:w="110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48,130</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8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48,152</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135</w:t>
            </w:r>
          </w:p>
        </w:tc>
        <w:tc>
          <w:tcPr>
            <w:tcW w:w="100" w:type="dxa"/>
            <w:vAlign w:val="bottom"/>
            <w:shd w:val="clear" w:color="auto" w:fill="CCEEFF"/>
          </w:tcPr>
          <w:p>
            <w:pPr>
              <w:spacing w:after="0"/>
              <w:rPr>
                <w:sz w:val="21"/>
                <w:szCs w:val="21"/>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52,941</w:t>
            </w:r>
          </w:p>
        </w:tc>
        <w:tc>
          <w:tcPr>
            <w:tcW w:w="30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52,397</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147</w:t>
            </w:r>
          </w:p>
        </w:tc>
        <w:tc>
          <w:tcPr>
            <w:tcW w:w="0" w:type="dxa"/>
            <w:vAlign w:val="bottom"/>
          </w:tcPr>
          <w:p>
            <w:pPr>
              <w:spacing w:after="0"/>
              <w:rPr>
                <w:sz w:val="1"/>
                <w:szCs w:val="1"/>
                <w:color w:val="auto"/>
              </w:rPr>
            </w:pPr>
          </w:p>
        </w:tc>
      </w:tr>
      <w:tr>
        <w:trPr>
          <w:trHeight w:val="20"/>
        </w:trPr>
        <w:tc>
          <w:tcPr>
            <w:tcW w:w="39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746" w:right="239" w:bottom="1440" w:gutter="0" w:footer="0" w:header="0"/>
        </w:sectPr>
      </w:pPr>
    </w:p>
    <w:p>
      <w:pPr>
        <w:spacing w:after="0" w:line="35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96</w:t>
      </w:r>
    </w:p>
    <w:p>
      <w:pPr>
        <w:sectPr>
          <w:pgSz w:w="11900" w:h="16838" w:orient="portrait"/>
          <w:cols w:equalWidth="0" w:num="1">
            <w:col w:w="11420"/>
          </w:cols>
          <w:pgMar w:left="240" w:top="746" w:right="239" w:bottom="1440" w:gutter="0" w:footer="0" w:header="0"/>
          <w:type w:val="continuous"/>
        </w:sectPr>
      </w:pPr>
    </w:p>
    <w:bookmarkStart w:id="97" w:name="page98"/>
    <w:bookmarkEnd w:id="97"/>
    <w:p>
      <w:pPr>
        <w:spacing w:after="0"/>
        <w:rPr>
          <w:sz w:val="20"/>
          <w:szCs w:val="20"/>
          <w:color w:val="auto"/>
        </w:rPr>
      </w:pPr>
      <w:r>
        <w:rPr>
          <w:rFonts w:ascii="Arial" w:cs="Arial" w:eastAsia="Arial" w:hAnsi="Arial"/>
          <w:sz w:val="14"/>
          <w:szCs w:val="14"/>
          <w:color w:val="auto"/>
        </w:rPr>
        <w:t>______________________</w:t>
      </w:r>
    </w:p>
    <w:p>
      <w:pPr>
        <w:spacing w:after="0" w:line="13" w:lineRule="exact"/>
        <w:rPr>
          <w:sz w:val="20"/>
          <w:szCs w:val="20"/>
          <w:color w:val="auto"/>
        </w:rPr>
      </w:pPr>
    </w:p>
    <w:p>
      <w:pPr>
        <w:ind w:left="660" w:hanging="328"/>
        <w:spacing w:after="0"/>
        <w:tabs>
          <w:tab w:leader="none" w:pos="660" w:val="left"/>
        </w:tabs>
        <w:numPr>
          <w:ilvl w:val="0"/>
          <w:numId w:val="60"/>
        </w:numPr>
        <w:rPr>
          <w:rFonts w:ascii="Arial" w:cs="Arial" w:eastAsia="Arial" w:hAnsi="Arial"/>
          <w:sz w:val="13"/>
          <w:szCs w:val="13"/>
          <w:color w:val="auto"/>
        </w:rPr>
      </w:pPr>
      <w:r>
        <w:rPr>
          <w:rFonts w:ascii="Arial" w:cs="Arial" w:eastAsia="Arial" w:hAnsi="Arial"/>
          <w:sz w:val="13"/>
          <w:szCs w:val="13"/>
          <w:color w:val="auto"/>
        </w:rPr>
        <w:t>Includes $245 million and $179 million of retained interests in our consolidated VIEs pledged as collateral under repurchase agreements, as of December 31, 2015 and 2014, respectively.</w:t>
      </w:r>
    </w:p>
    <w:p>
      <w:pPr>
        <w:spacing w:after="0" w:line="248" w:lineRule="exact"/>
        <w:rPr>
          <w:sz w:val="20"/>
          <w:szCs w:val="20"/>
          <w:color w:val="auto"/>
        </w:rPr>
      </w:pPr>
    </w:p>
    <w:p>
      <w:pPr>
        <w:ind w:left="420"/>
        <w:spacing w:after="0"/>
        <w:rPr>
          <w:sz w:val="20"/>
          <w:szCs w:val="20"/>
          <w:color w:val="auto"/>
        </w:rPr>
      </w:pPr>
      <w:r>
        <w:rPr>
          <w:rFonts w:ascii="Arial" w:cs="Arial" w:eastAsia="Arial" w:hAnsi="Arial"/>
          <w:sz w:val="18"/>
          <w:szCs w:val="18"/>
          <w:color w:val="auto"/>
        </w:rPr>
        <w:t>As of December 31, 2015 and 2014, none of our borrowings backed by MBS were due on demand or mature overnight.</w:t>
      </w:r>
    </w:p>
    <w:p>
      <w:pPr>
        <w:spacing w:after="0" w:line="171"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The table above excludes agency securities transferred to our consolidated VIEs. Securities transferred to our consolidated VIEs can only be used to settle the obligations of each respective VIE. However, we may pledge our retained interests in our consolidated VIEs as collateral under our repurchase agreements and derivative contracts. Please refer to Notes 3 and 4 for additional information regarding our consolidated VIEs.</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Assets Pledged from Counterparties</w:t>
      </w:r>
    </w:p>
    <w:p>
      <w:pPr>
        <w:spacing w:after="0" w:line="171"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As of December 31, 2015 and 2014, we had assets pledged to us from counterparties as collateral under our reverse repurchase and derivative agreements summarized in the tables below (in millions).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44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gridSpan w:val="3"/>
          </w:tcPr>
          <w:p>
            <w:pPr>
              <w:jc w:val="center"/>
              <w:ind w:right="120"/>
              <w:spacing w:after="0"/>
              <w:rPr>
                <w:sz w:val="20"/>
                <w:szCs w:val="20"/>
                <w:color w:val="auto"/>
              </w:rPr>
            </w:pPr>
            <w:r>
              <w:rPr>
                <w:rFonts w:ascii="Arial" w:cs="Arial" w:eastAsia="Arial" w:hAnsi="Arial"/>
                <w:sz w:val="14"/>
                <w:szCs w:val="14"/>
                <w:b w:val="1"/>
                <w:bCs w:val="1"/>
                <w:color w:val="auto"/>
                <w:w w:val="91"/>
              </w:rPr>
              <w:t>December 31, 2015</w:t>
            </w:r>
          </w:p>
        </w:tc>
        <w:tc>
          <w:tcPr>
            <w:tcW w:w="2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34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1"/>
              </w:rPr>
              <w:t>December 31, 2014</w:t>
            </w: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4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40" w:type="dxa"/>
            <w:vAlign w:val="bottom"/>
            <w:gridSpan w:val="2"/>
          </w:tcPr>
          <w:p>
            <w:pPr>
              <w:jc w:val="center"/>
              <w:ind w:right="280"/>
              <w:spacing w:after="0" w:line="153" w:lineRule="exact"/>
              <w:rPr>
                <w:sz w:val="20"/>
                <w:szCs w:val="20"/>
                <w:color w:val="auto"/>
              </w:rPr>
            </w:pPr>
            <w:r>
              <w:rPr>
                <w:rFonts w:ascii="Arial" w:cs="Arial" w:eastAsia="Arial" w:hAnsi="Arial"/>
                <w:sz w:val="14"/>
                <w:szCs w:val="14"/>
                <w:b w:val="1"/>
                <w:bCs w:val="1"/>
                <w:color w:val="auto"/>
                <w:w w:val="91"/>
              </w:rPr>
              <w:t>Reverse</w:t>
            </w:r>
          </w:p>
        </w:tc>
        <w:tc>
          <w:tcPr>
            <w:tcW w:w="140" w:type="dxa"/>
            <w:vAlign w:val="bottom"/>
          </w:tcPr>
          <w:p>
            <w:pPr>
              <w:spacing w:after="0"/>
              <w:rPr>
                <w:sz w:val="13"/>
                <w:szCs w:val="13"/>
                <w:color w:val="auto"/>
              </w:rPr>
            </w:pPr>
          </w:p>
        </w:tc>
        <w:tc>
          <w:tcPr>
            <w:tcW w:w="114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5"/>
              </w:rPr>
              <w:t>Derivative</w:t>
            </w:r>
          </w:p>
        </w:tc>
        <w:tc>
          <w:tcPr>
            <w:tcW w:w="2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tcPr>
          <w:p>
            <w:pPr>
              <w:jc w:val="right"/>
              <w:ind w:right="248"/>
              <w:spacing w:after="0" w:line="153" w:lineRule="exact"/>
              <w:rPr>
                <w:sz w:val="20"/>
                <w:szCs w:val="20"/>
                <w:color w:val="auto"/>
              </w:rPr>
            </w:pPr>
            <w:r>
              <w:rPr>
                <w:rFonts w:ascii="Arial" w:cs="Arial" w:eastAsia="Arial" w:hAnsi="Arial"/>
                <w:sz w:val="14"/>
                <w:szCs w:val="14"/>
                <w:b w:val="1"/>
                <w:bCs w:val="1"/>
                <w:color w:val="auto"/>
              </w:rPr>
              <w:t>Reverse</w:t>
            </w: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5"/>
              </w:rPr>
              <w:t>Derivative</w:t>
            </w:r>
          </w:p>
        </w:tc>
        <w:tc>
          <w:tcPr>
            <w:tcW w:w="2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34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Assets Pledged to AGNC</w:t>
            </w:r>
          </w:p>
        </w:tc>
        <w:tc>
          <w:tcPr>
            <w:tcW w:w="340" w:type="dxa"/>
            <w:vAlign w:val="bottom"/>
            <w:vMerge w:val="restart"/>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2"/>
              </w:rPr>
              <w:t>Repurchase</w:t>
            </w:r>
          </w:p>
        </w:tc>
        <w:tc>
          <w:tcPr>
            <w:tcW w:w="14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880" w:type="dxa"/>
            <w:vAlign w:val="bottom"/>
            <w:vMerge w:val="restart"/>
          </w:tcPr>
          <w:p>
            <w:pPr>
              <w:jc w:val="right"/>
              <w:ind w:right="348"/>
              <w:spacing w:after="0"/>
              <w:rPr>
                <w:sz w:val="20"/>
                <w:szCs w:val="20"/>
                <w:color w:val="auto"/>
              </w:rPr>
            </w:pPr>
            <w:r>
              <w:rPr>
                <w:rFonts w:ascii="Arial" w:cs="Arial" w:eastAsia="Arial" w:hAnsi="Arial"/>
                <w:sz w:val="14"/>
                <w:szCs w:val="14"/>
                <w:b w:val="1"/>
                <w:bCs w:val="1"/>
                <w:color w:val="auto"/>
              </w:rPr>
              <w:t>Total</w:t>
            </w:r>
          </w:p>
        </w:tc>
        <w:tc>
          <w:tcPr>
            <w:tcW w:w="340" w:type="dxa"/>
            <w:vAlign w:val="bottom"/>
            <w:vMerge w:val="restart"/>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tcPr>
          <w:p>
            <w:pPr>
              <w:jc w:val="right"/>
              <w:ind w:right="128"/>
              <w:spacing w:after="0" w:line="149" w:lineRule="exact"/>
              <w:rPr>
                <w:sz w:val="20"/>
                <w:szCs w:val="20"/>
                <w:color w:val="auto"/>
              </w:rPr>
            </w:pPr>
            <w:r>
              <w:rPr>
                <w:rFonts w:ascii="Arial" w:cs="Arial" w:eastAsia="Arial" w:hAnsi="Arial"/>
                <w:sz w:val="14"/>
                <w:szCs w:val="14"/>
                <w:b w:val="1"/>
                <w:bCs w:val="1"/>
                <w:color w:val="auto"/>
                <w:w w:val="94"/>
              </w:rPr>
              <w:t>Repurchase</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86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3440" w:type="dxa"/>
            <w:vAlign w:val="bottom"/>
            <w:tcBorders>
              <w:bottom w:val="single" w:sz="8" w:color="auto"/>
            </w:tcBorders>
            <w:vMerge w:val="continue"/>
          </w:tcPr>
          <w:p>
            <w:pPr>
              <w:spacing w:after="0"/>
              <w:rPr>
                <w:sz w:val="16"/>
                <w:szCs w:val="16"/>
                <w:color w:val="auto"/>
              </w:rPr>
            </w:pPr>
          </w:p>
        </w:tc>
        <w:tc>
          <w:tcPr>
            <w:tcW w:w="34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center"/>
              <w:ind w:right="88"/>
              <w:spacing w:after="0"/>
              <w:rPr>
                <w:sz w:val="20"/>
                <w:szCs w:val="20"/>
                <w:color w:val="auto"/>
              </w:rPr>
            </w:pPr>
            <w:r>
              <w:rPr>
                <w:rFonts w:ascii="Arial" w:cs="Arial" w:eastAsia="Arial" w:hAnsi="Arial"/>
                <w:sz w:val="14"/>
                <w:szCs w:val="14"/>
                <w:b w:val="1"/>
                <w:bCs w:val="1"/>
                <w:color w:val="auto"/>
                <w:w w:val="91"/>
              </w:rPr>
              <w:t>Agreements</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center"/>
              <w:ind w:right="88"/>
              <w:spacing w:after="0"/>
              <w:rPr>
                <w:sz w:val="20"/>
                <w:szCs w:val="20"/>
                <w:color w:val="auto"/>
              </w:rPr>
            </w:pPr>
            <w:r>
              <w:rPr>
                <w:rFonts w:ascii="Arial" w:cs="Arial" w:eastAsia="Arial" w:hAnsi="Arial"/>
                <w:sz w:val="14"/>
                <w:szCs w:val="14"/>
                <w:b w:val="1"/>
                <w:bCs w:val="1"/>
                <w:color w:val="auto"/>
                <w:w w:val="91"/>
              </w:rPr>
              <w:t>Agreements</w:t>
            </w:r>
          </w:p>
        </w:tc>
        <w:tc>
          <w:tcPr>
            <w:tcW w:w="12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vMerge w:val="continue"/>
          </w:tcPr>
          <w:p>
            <w:pPr>
              <w:spacing w:after="0"/>
              <w:rPr>
                <w:sz w:val="16"/>
                <w:szCs w:val="16"/>
                <w:color w:val="auto"/>
              </w:rPr>
            </w:pPr>
          </w:p>
        </w:tc>
        <w:tc>
          <w:tcPr>
            <w:tcW w:w="34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w w:val="93"/>
              </w:rPr>
              <w:t>Agreements</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gridSpan w:val="2"/>
          </w:tcPr>
          <w:p>
            <w:pPr>
              <w:jc w:val="center"/>
              <w:ind w:right="260"/>
              <w:spacing w:after="0"/>
              <w:rPr>
                <w:sz w:val="20"/>
                <w:szCs w:val="20"/>
                <w:color w:val="auto"/>
              </w:rPr>
            </w:pPr>
            <w:r>
              <w:rPr>
                <w:rFonts w:ascii="Arial" w:cs="Arial" w:eastAsia="Arial" w:hAnsi="Arial"/>
                <w:sz w:val="14"/>
                <w:szCs w:val="14"/>
                <w:b w:val="1"/>
                <w:bCs w:val="1"/>
                <w:color w:val="auto"/>
                <w:w w:val="91"/>
              </w:rPr>
              <w:t>Agreements</w:t>
            </w: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37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Agency MBS - fair value</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4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40" w:type="dxa"/>
            <w:vAlign w:val="bottom"/>
            <w:gridSpan w:val="2"/>
            <w:shd w:val="clear" w:color="auto" w:fill="CCEEFF"/>
          </w:tcPr>
          <w:p>
            <w:pPr>
              <w:ind w:left="74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220" w:type="dxa"/>
            <w:vAlign w:val="bottom"/>
            <w:gridSpan w:val="2"/>
            <w:shd w:val="clear" w:color="auto" w:fill="CCEEFF"/>
          </w:tcPr>
          <w:p>
            <w:pPr>
              <w:jc w:val="right"/>
              <w:ind w:right="4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26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43</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43</w:t>
            </w:r>
          </w:p>
        </w:tc>
        <w:tc>
          <w:tcPr>
            <w:tcW w:w="0" w:type="dxa"/>
            <w:vAlign w:val="bottom"/>
          </w:tcPr>
          <w:p>
            <w:pPr>
              <w:spacing w:after="0"/>
              <w:rPr>
                <w:sz w:val="1"/>
                <w:szCs w:val="1"/>
                <w:color w:val="auto"/>
              </w:rPr>
            </w:pPr>
          </w:p>
        </w:tc>
      </w:tr>
      <w:tr>
        <w:trPr>
          <w:trHeight w:val="264"/>
        </w:trPr>
        <w:tc>
          <w:tcPr>
            <w:tcW w:w="3780" w:type="dxa"/>
            <w:vAlign w:val="bottom"/>
            <w:gridSpan w:val="2"/>
          </w:tcPr>
          <w:p>
            <w:pPr>
              <w:ind w:left="40"/>
              <w:spacing w:after="0"/>
              <w:rPr>
                <w:sz w:val="20"/>
                <w:szCs w:val="20"/>
                <w:color w:val="auto"/>
              </w:rPr>
            </w:pPr>
            <w:r>
              <w:rPr>
                <w:rFonts w:ascii="Arial" w:cs="Arial" w:eastAsia="Arial" w:hAnsi="Arial"/>
                <w:sz w:val="14"/>
                <w:szCs w:val="14"/>
                <w:color w:val="auto"/>
              </w:rPr>
              <w:t>U.S. Treasury securities - fair value</w:t>
            </w:r>
          </w:p>
        </w:tc>
        <w:tc>
          <w:tcPr>
            <w:tcW w:w="160" w:type="dxa"/>
            <w:vAlign w:val="bottom"/>
          </w:tcPr>
          <w:p>
            <w:pPr>
              <w:spacing w:after="0"/>
              <w:rPr>
                <w:sz w:val="22"/>
                <w:szCs w:val="22"/>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1,702</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40" w:type="dxa"/>
            <w:vAlign w:val="bottom"/>
            <w:gridSpan w:val="2"/>
          </w:tcPr>
          <w:p>
            <w:pPr>
              <w:ind w:left="74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1,702</w:t>
            </w:r>
          </w:p>
        </w:tc>
        <w:tc>
          <w:tcPr>
            <w:tcW w:w="34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5,363</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47</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5,410</w:t>
            </w:r>
          </w:p>
        </w:tc>
        <w:tc>
          <w:tcPr>
            <w:tcW w:w="0" w:type="dxa"/>
            <w:vAlign w:val="bottom"/>
          </w:tcPr>
          <w:p>
            <w:pPr>
              <w:spacing w:after="0"/>
              <w:rPr>
                <w:sz w:val="1"/>
                <w:szCs w:val="1"/>
                <w:color w:val="auto"/>
              </w:rPr>
            </w:pPr>
          </w:p>
        </w:tc>
      </w:tr>
      <w:tr>
        <w:trPr>
          <w:trHeight w:val="276"/>
        </w:trPr>
        <w:tc>
          <w:tcPr>
            <w:tcW w:w="37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Cash</w:t>
            </w:r>
          </w:p>
        </w:tc>
        <w:tc>
          <w:tcPr>
            <w:tcW w:w="160" w:type="dxa"/>
            <w:vAlign w:val="bottom"/>
            <w:tcBorders>
              <w:bottom w:val="single" w:sz="8" w:color="auto"/>
            </w:tcBorders>
            <w:shd w:val="clear" w:color="auto" w:fill="CCEEFF"/>
          </w:tcPr>
          <w:p>
            <w:pPr>
              <w:spacing w:after="0"/>
              <w:rPr>
                <w:sz w:val="24"/>
                <w:szCs w:val="24"/>
                <w:color w:val="auto"/>
              </w:rPr>
            </w:pPr>
          </w:p>
        </w:tc>
        <w:tc>
          <w:tcPr>
            <w:tcW w:w="10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40" w:type="dxa"/>
            <w:vAlign w:val="bottom"/>
            <w:tcBorders>
              <w:bottom w:val="single" w:sz="8" w:color="auto"/>
            </w:tcBorders>
            <w:shd w:val="clear" w:color="auto" w:fill="CCEEFF"/>
          </w:tcPr>
          <w:p>
            <w:pPr>
              <w:spacing w:after="0"/>
              <w:rPr>
                <w:sz w:val="24"/>
                <w:szCs w:val="24"/>
                <w:color w:val="auto"/>
              </w:rPr>
            </w:pPr>
          </w:p>
        </w:tc>
        <w:tc>
          <w:tcPr>
            <w:tcW w:w="1020" w:type="dxa"/>
            <w:vAlign w:val="bottom"/>
            <w:tcBorders>
              <w:bottom w:val="single" w:sz="8" w:color="auto"/>
            </w:tcBorders>
            <w:shd w:val="clear" w:color="auto" w:fill="CCEEFF"/>
          </w:tcPr>
          <w:p>
            <w:pPr>
              <w:ind w:left="7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260" w:type="dxa"/>
            <w:vAlign w:val="bottom"/>
            <w:tcBorders>
              <w:bottom w:val="single" w:sz="8" w:color="auto"/>
            </w:tcBorders>
            <w:shd w:val="clear" w:color="auto" w:fill="CCEEFF"/>
          </w:tcPr>
          <w:p>
            <w:pPr>
              <w:spacing w:after="0"/>
              <w:rPr>
                <w:sz w:val="24"/>
                <w:szCs w:val="24"/>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4"/>
                <w:szCs w:val="24"/>
                <w:color w:val="auto"/>
              </w:rPr>
            </w:pPr>
          </w:p>
        </w:tc>
        <w:tc>
          <w:tcPr>
            <w:tcW w:w="140" w:type="dxa"/>
            <w:vAlign w:val="bottom"/>
            <w:tcBorders>
              <w:bottom w:val="single" w:sz="8" w:color="auto"/>
            </w:tcBorders>
            <w:shd w:val="clear" w:color="auto" w:fill="CCEEFF"/>
          </w:tcPr>
          <w:p>
            <w:pPr>
              <w:spacing w:after="0"/>
              <w:rPr>
                <w:sz w:val="24"/>
                <w:szCs w:val="24"/>
                <w:color w:val="auto"/>
              </w:rPr>
            </w:pPr>
          </w:p>
        </w:tc>
        <w:tc>
          <w:tcPr>
            <w:tcW w:w="9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40" w:type="dxa"/>
            <w:vAlign w:val="bottom"/>
            <w:tcBorders>
              <w:bottom w:val="single" w:sz="8" w:color="auto"/>
            </w:tcBorders>
            <w:shd w:val="clear" w:color="auto" w:fill="CCEEFF"/>
          </w:tcPr>
          <w:p>
            <w:pPr>
              <w:spacing w:after="0"/>
              <w:rPr>
                <w:sz w:val="24"/>
                <w:szCs w:val="24"/>
                <w:color w:val="auto"/>
              </w:rPr>
            </w:pPr>
          </w:p>
        </w:tc>
        <w:tc>
          <w:tcPr>
            <w:tcW w:w="9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28</w:t>
            </w:r>
          </w:p>
        </w:tc>
        <w:tc>
          <w:tcPr>
            <w:tcW w:w="100" w:type="dxa"/>
            <w:vAlign w:val="bottom"/>
            <w:shd w:val="clear" w:color="auto" w:fill="CCEEFF"/>
          </w:tcPr>
          <w:p>
            <w:pPr>
              <w:spacing w:after="0"/>
              <w:rPr>
                <w:sz w:val="24"/>
                <w:szCs w:val="24"/>
                <w:color w:val="auto"/>
              </w:rPr>
            </w:pPr>
          </w:p>
        </w:tc>
        <w:tc>
          <w:tcPr>
            <w:tcW w:w="260" w:type="dxa"/>
            <w:vAlign w:val="bottom"/>
            <w:tcBorders>
              <w:bottom w:val="single" w:sz="8" w:color="auto"/>
            </w:tcBorders>
            <w:shd w:val="clear" w:color="auto" w:fill="CCEEFF"/>
          </w:tcPr>
          <w:p>
            <w:pPr>
              <w:spacing w:after="0"/>
              <w:rPr>
                <w:sz w:val="24"/>
                <w:szCs w:val="24"/>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28</w:t>
            </w:r>
          </w:p>
        </w:tc>
        <w:tc>
          <w:tcPr>
            <w:tcW w:w="0" w:type="dxa"/>
            <w:vAlign w:val="bottom"/>
          </w:tcPr>
          <w:p>
            <w:pPr>
              <w:spacing w:after="0"/>
              <w:rPr>
                <w:sz w:val="1"/>
                <w:szCs w:val="1"/>
                <w:color w:val="auto"/>
              </w:rPr>
            </w:pPr>
          </w:p>
        </w:tc>
      </w:tr>
      <w:tr>
        <w:trPr>
          <w:trHeight w:val="231"/>
        </w:trPr>
        <w:tc>
          <w:tcPr>
            <w:tcW w:w="3780" w:type="dxa"/>
            <w:vAlign w:val="bottom"/>
            <w:gridSpan w:val="2"/>
          </w:tcPr>
          <w:p>
            <w:pPr>
              <w:ind w:left="200"/>
              <w:spacing w:after="0"/>
              <w:rPr>
                <w:sz w:val="20"/>
                <w:szCs w:val="20"/>
                <w:color w:val="auto"/>
              </w:rPr>
            </w:pPr>
            <w:r>
              <w:rPr>
                <w:rFonts w:ascii="Arial" w:cs="Arial" w:eastAsia="Arial" w:hAnsi="Arial"/>
                <w:sz w:val="16"/>
                <w:szCs w:val="16"/>
                <w:color w:val="auto"/>
              </w:rPr>
              <w:t>Total</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1,702</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40" w:type="dxa"/>
            <w:vAlign w:val="bottom"/>
            <w:gridSpan w:val="2"/>
          </w:tcPr>
          <w:p>
            <w:pPr>
              <w:ind w:left="740"/>
              <w:spacing w:after="0"/>
              <w:rPr>
                <w:sz w:val="20"/>
                <w:szCs w:val="20"/>
                <w:color w:val="auto"/>
              </w:rPr>
            </w:pPr>
            <w:r>
              <w:rPr>
                <w:rFonts w:ascii="Arial" w:cs="Arial" w:eastAsia="Arial" w:hAnsi="Arial"/>
                <w:sz w:val="14"/>
                <w:szCs w:val="14"/>
                <w:color w:val="auto"/>
              </w:rPr>
              <w:t>—</w:t>
            </w: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1,702</w:t>
            </w:r>
          </w:p>
        </w:tc>
        <w:tc>
          <w:tcPr>
            <w:tcW w:w="34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5,363</w:t>
            </w:r>
          </w:p>
        </w:tc>
        <w:tc>
          <w:tcPr>
            <w:tcW w:w="26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118</w:t>
            </w:r>
          </w:p>
        </w:tc>
        <w:tc>
          <w:tcPr>
            <w:tcW w:w="100" w:type="dxa"/>
            <w:vAlign w:val="bottom"/>
          </w:tcPr>
          <w:p>
            <w:pPr>
              <w:spacing w:after="0"/>
              <w:rPr>
                <w:sz w:val="20"/>
                <w:szCs w:val="20"/>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5,481</w:t>
            </w:r>
          </w:p>
        </w:tc>
        <w:tc>
          <w:tcPr>
            <w:tcW w:w="0" w:type="dxa"/>
            <w:vAlign w:val="bottom"/>
          </w:tcPr>
          <w:p>
            <w:pPr>
              <w:spacing w:after="0"/>
              <w:rPr>
                <w:sz w:val="1"/>
                <w:szCs w:val="1"/>
                <w:color w:val="auto"/>
              </w:rPr>
            </w:pPr>
          </w:p>
        </w:tc>
      </w:tr>
      <w:tr>
        <w:trPr>
          <w:trHeight w:val="20"/>
        </w:trPr>
        <w:tc>
          <w:tcPr>
            <w:tcW w:w="34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U.S Treasury securities received as collateral under our reverse repurchase agreements that are used to cover short sales of the same securities are accounted for as securities borrowing transactions. We recognize a corresponding obligation to return the borrowed securities at fair value on the accompanying consolidated balance sheets based on the value of the underlying borrowed securities as of the reporting date.</w:t>
      </w:r>
    </w:p>
    <w:p>
      <w:pPr>
        <w:spacing w:after="0" w:line="127"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Cash collateral received is recognized in cash and cash equivalents with a corresponding amount recognized in accounts payable and other accrued liabilities on the accompanying consolidated balance sheets.</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Offsetting Assets and Liabilities</w:t>
      </w:r>
    </w:p>
    <w:p>
      <w:pPr>
        <w:spacing w:after="0" w:line="171"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Certain of our repurchase agreements and derivative transactions are governed by underlying agreements that generally provide for a right of setoff under master netting arrangements (or similar agreements), including in the event of default or in the event of bankruptcy of either party to the transactions. We present our assets and liabilities subject to such arrangements on a gross basis in our consolidated balance sheets.</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97</w:t>
      </w:r>
    </w:p>
    <w:p>
      <w:pPr>
        <w:sectPr>
          <w:pgSz w:w="11900" w:h="16838" w:orient="portrait"/>
          <w:cols w:equalWidth="0" w:num="1">
            <w:col w:w="11420"/>
          </w:cols>
          <w:pgMar w:left="240" w:top="742" w:right="239" w:bottom="1440" w:gutter="0" w:footer="0" w:header="0"/>
        </w:sectPr>
      </w:pPr>
    </w:p>
    <w:bookmarkStart w:id="98" w:name="page99"/>
    <w:bookmarkEnd w:id="98"/>
    <w:p>
      <w:pPr>
        <w:ind w:firstLine="432"/>
        <w:spacing w:after="0" w:line="277" w:lineRule="auto"/>
        <w:rPr>
          <w:sz w:val="20"/>
          <w:szCs w:val="20"/>
          <w:color w:val="auto"/>
        </w:rPr>
      </w:pPr>
      <w:r>
        <w:rPr>
          <w:rFonts w:ascii="Arial" w:cs="Arial" w:eastAsia="Arial" w:hAnsi="Arial"/>
          <w:sz w:val="18"/>
          <w:szCs w:val="18"/>
          <w:color w:val="auto"/>
        </w:rPr>
        <w:t>The following tables present information about our assets and liabilities that are subject to such arrangements and can potentially be offset on our consolidated balance sheets as of December 31, 2015 and 2014 (in millions):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2880" w:type="dxa"/>
            <w:vAlign w:val="bottom"/>
            <w:tcBorders>
              <w:bottom w:val="single" w:sz="8" w:color="auto"/>
            </w:tcBorders>
            <w:gridSpan w:val="11"/>
          </w:tcPr>
          <w:p>
            <w:pPr>
              <w:jc w:val="right"/>
              <w:ind w:right="28"/>
              <w:spacing w:after="0"/>
              <w:rPr>
                <w:sz w:val="20"/>
                <w:szCs w:val="20"/>
                <w:color w:val="auto"/>
              </w:rPr>
            </w:pPr>
            <w:r>
              <w:rPr>
                <w:rFonts w:ascii="Arial" w:cs="Arial" w:eastAsia="Arial" w:hAnsi="Arial"/>
                <w:sz w:val="14"/>
                <w:szCs w:val="14"/>
                <w:b w:val="1"/>
                <w:bCs w:val="1"/>
                <w:color w:val="auto"/>
                <w:w w:val="92"/>
              </w:rPr>
              <w:t>Offsetting of Financial and Derivative Assets</w:t>
            </w:r>
          </w:p>
        </w:tc>
        <w:tc>
          <w:tcPr>
            <w:tcW w:w="9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4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92"/>
              </w:rPr>
              <w:t>Net Amounts of</w:t>
            </w:r>
          </w:p>
        </w:tc>
        <w:tc>
          <w:tcPr>
            <w:tcW w:w="140" w:type="dxa"/>
            <w:vAlign w:val="bottom"/>
          </w:tcPr>
          <w:p>
            <w:pPr>
              <w:spacing w:after="0"/>
              <w:rPr>
                <w:sz w:val="13"/>
                <w:szCs w:val="13"/>
                <w:color w:val="auto"/>
              </w:rPr>
            </w:pPr>
          </w:p>
        </w:tc>
        <w:tc>
          <w:tcPr>
            <w:tcW w:w="2320" w:type="dxa"/>
            <w:vAlign w:val="bottom"/>
            <w:gridSpan w:val="5"/>
          </w:tcPr>
          <w:p>
            <w:pPr>
              <w:jc w:val="center"/>
              <w:ind w:right="220"/>
              <w:spacing w:after="0" w:line="153" w:lineRule="exact"/>
              <w:rPr>
                <w:sz w:val="20"/>
                <w:szCs w:val="20"/>
                <w:color w:val="auto"/>
              </w:rPr>
            </w:pPr>
            <w:r>
              <w:rPr>
                <w:rFonts w:ascii="Arial" w:cs="Arial" w:eastAsia="Arial" w:hAnsi="Arial"/>
                <w:sz w:val="14"/>
                <w:szCs w:val="14"/>
                <w:b w:val="1"/>
                <w:bCs w:val="1"/>
                <w:color w:val="auto"/>
                <w:w w:val="91"/>
              </w:rPr>
              <w:t>Gross Amounts Not Offset</w:t>
            </w:r>
          </w:p>
        </w:tc>
        <w:tc>
          <w:tcPr>
            <w:tcW w:w="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8"/>
        </w:trPr>
        <w:tc>
          <w:tcPr>
            <w:tcW w:w="39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9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240" w:type="dxa"/>
            <w:vAlign w:val="bottom"/>
            <w:gridSpan w:val="3"/>
            <w:vMerge w:val="continue"/>
          </w:tcPr>
          <w:p>
            <w:pPr>
              <w:spacing w:after="0"/>
              <w:rPr>
                <w:sz w:val="5"/>
                <w:szCs w:val="5"/>
                <w:color w:val="auto"/>
              </w:rPr>
            </w:pPr>
          </w:p>
        </w:tc>
        <w:tc>
          <w:tcPr>
            <w:tcW w:w="140" w:type="dxa"/>
            <w:vAlign w:val="bottom"/>
          </w:tcPr>
          <w:p>
            <w:pPr>
              <w:spacing w:after="0"/>
              <w:rPr>
                <w:sz w:val="5"/>
                <w:szCs w:val="5"/>
                <w:color w:val="auto"/>
              </w:rPr>
            </w:pPr>
          </w:p>
        </w:tc>
        <w:tc>
          <w:tcPr>
            <w:tcW w:w="1280" w:type="dxa"/>
            <w:vAlign w:val="bottom"/>
            <w:gridSpan w:val="3"/>
            <w:vMerge w:val="restart"/>
          </w:tcPr>
          <w:p>
            <w:pPr>
              <w:jc w:val="center"/>
              <w:ind w:left="788"/>
              <w:spacing w:after="0" w:line="149" w:lineRule="exact"/>
              <w:rPr>
                <w:sz w:val="20"/>
                <w:szCs w:val="20"/>
                <w:color w:val="auto"/>
              </w:rPr>
            </w:pPr>
            <w:r>
              <w:rPr>
                <w:rFonts w:ascii="Arial" w:cs="Arial" w:eastAsia="Arial" w:hAnsi="Arial"/>
                <w:sz w:val="14"/>
                <w:szCs w:val="14"/>
                <w:b w:val="1"/>
                <w:bCs w:val="1"/>
                <w:color w:val="auto"/>
                <w:w w:val="90"/>
              </w:rPr>
              <w:t>in the</w:t>
            </w:r>
          </w:p>
        </w:tc>
        <w:tc>
          <w:tcPr>
            <w:tcW w:w="9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390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6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980" w:type="dxa"/>
            <w:vAlign w:val="bottom"/>
            <w:vMerge w:val="restart"/>
          </w:tcPr>
          <w:p>
            <w:pPr>
              <w:jc w:val="center"/>
              <w:spacing w:after="0" w:line="149" w:lineRule="exact"/>
              <w:rPr>
                <w:sz w:val="20"/>
                <w:szCs w:val="20"/>
                <w:color w:val="auto"/>
              </w:rPr>
            </w:pPr>
            <w:r>
              <w:rPr>
                <w:rFonts w:ascii="Arial" w:cs="Arial" w:eastAsia="Arial" w:hAnsi="Arial"/>
                <w:sz w:val="14"/>
                <w:szCs w:val="14"/>
                <w:b w:val="1"/>
                <w:bCs w:val="1"/>
                <w:color w:val="auto"/>
                <w:w w:val="91"/>
              </w:rPr>
              <w:t>Gross Amounts</w:t>
            </w: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240" w:type="dxa"/>
            <w:vAlign w:val="bottom"/>
            <w:gridSpan w:val="3"/>
            <w:vMerge w:val="restart"/>
          </w:tcPr>
          <w:p>
            <w:pPr>
              <w:jc w:val="center"/>
              <w:ind w:right="120"/>
              <w:spacing w:after="0" w:line="149" w:lineRule="exact"/>
              <w:rPr>
                <w:sz w:val="20"/>
                <w:szCs w:val="20"/>
                <w:color w:val="auto"/>
              </w:rPr>
            </w:pPr>
            <w:r>
              <w:rPr>
                <w:rFonts w:ascii="Arial" w:cs="Arial" w:eastAsia="Arial" w:hAnsi="Arial"/>
                <w:sz w:val="14"/>
                <w:szCs w:val="14"/>
                <w:b w:val="1"/>
                <w:bCs w:val="1"/>
                <w:color w:val="auto"/>
                <w:w w:val="88"/>
              </w:rPr>
              <w:t>Assets Presented</w:t>
            </w:r>
          </w:p>
        </w:tc>
        <w:tc>
          <w:tcPr>
            <w:tcW w:w="140" w:type="dxa"/>
            <w:vAlign w:val="bottom"/>
          </w:tcPr>
          <w:p>
            <w:pPr>
              <w:spacing w:after="0"/>
              <w:rPr>
                <w:sz w:val="7"/>
                <w:szCs w:val="7"/>
                <w:color w:val="auto"/>
              </w:rPr>
            </w:pPr>
          </w:p>
        </w:tc>
        <w:tc>
          <w:tcPr>
            <w:tcW w:w="1280" w:type="dxa"/>
            <w:vAlign w:val="bottom"/>
            <w:gridSpan w:val="3"/>
            <w:vMerge w:val="continue"/>
          </w:tcPr>
          <w:p>
            <w:pPr>
              <w:spacing w:after="0"/>
              <w:rPr>
                <w:sz w:val="7"/>
                <w:szCs w:val="7"/>
                <w:color w:val="auto"/>
              </w:rPr>
            </w:pPr>
          </w:p>
        </w:tc>
        <w:tc>
          <w:tcPr>
            <w:tcW w:w="9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40" w:type="dxa"/>
            <w:vAlign w:val="bottom"/>
          </w:tcPr>
          <w:p>
            <w:pPr>
              <w:spacing w:after="0"/>
              <w:rPr>
                <w:sz w:val="7"/>
                <w:szCs w:val="7"/>
                <w:color w:val="auto"/>
              </w:rPr>
            </w:pPr>
          </w:p>
        </w:tc>
        <w:tc>
          <w:tcPr>
            <w:tcW w:w="9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8"/>
        </w:trPr>
        <w:tc>
          <w:tcPr>
            <w:tcW w:w="39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980" w:type="dxa"/>
            <w:vAlign w:val="bottom"/>
            <w:vMerge w:val="continue"/>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240" w:type="dxa"/>
            <w:vAlign w:val="bottom"/>
            <w:gridSpan w:val="3"/>
            <w:vMerge w:val="continue"/>
          </w:tcPr>
          <w:p>
            <w:pPr>
              <w:spacing w:after="0"/>
              <w:rPr>
                <w:sz w:val="5"/>
                <w:szCs w:val="5"/>
                <w:color w:val="auto"/>
              </w:rPr>
            </w:pPr>
          </w:p>
        </w:tc>
        <w:tc>
          <w:tcPr>
            <w:tcW w:w="140" w:type="dxa"/>
            <w:vAlign w:val="bottom"/>
          </w:tcPr>
          <w:p>
            <w:pPr>
              <w:spacing w:after="0"/>
              <w:rPr>
                <w:sz w:val="5"/>
                <w:szCs w:val="5"/>
                <w:color w:val="auto"/>
              </w:rPr>
            </w:pPr>
          </w:p>
        </w:tc>
        <w:tc>
          <w:tcPr>
            <w:tcW w:w="2220" w:type="dxa"/>
            <w:vAlign w:val="bottom"/>
            <w:gridSpan w:val="4"/>
            <w:vMerge w:val="restart"/>
          </w:tcPr>
          <w:p>
            <w:pPr>
              <w:jc w:val="center"/>
              <w:ind w:right="48"/>
              <w:spacing w:after="0"/>
              <w:rPr>
                <w:sz w:val="20"/>
                <w:szCs w:val="20"/>
                <w:color w:val="auto"/>
              </w:rPr>
            </w:pPr>
            <w:r>
              <w:rPr>
                <w:rFonts w:ascii="Arial" w:cs="Arial" w:eastAsia="Arial" w:hAnsi="Arial"/>
                <w:sz w:val="14"/>
                <w:szCs w:val="14"/>
                <w:b w:val="1"/>
                <w:bCs w:val="1"/>
                <w:color w:val="auto"/>
                <w:w w:val="88"/>
              </w:rPr>
              <w:t>Consolidated Balance Sheets</w:t>
            </w:r>
          </w:p>
        </w:tc>
        <w:tc>
          <w:tcPr>
            <w:tcW w:w="100" w:type="dxa"/>
            <w:vAlign w:val="bottom"/>
            <w:vMerge w:val="restart"/>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25"/>
        </w:trPr>
        <w:tc>
          <w:tcPr>
            <w:tcW w:w="3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60" w:type="dxa"/>
            <w:vAlign w:val="bottom"/>
            <w:gridSpan w:val="3"/>
          </w:tcPr>
          <w:p>
            <w:pPr>
              <w:jc w:val="center"/>
              <w:spacing w:after="0" w:line="125" w:lineRule="exact"/>
              <w:rPr>
                <w:sz w:val="20"/>
                <w:szCs w:val="20"/>
                <w:color w:val="auto"/>
              </w:rPr>
            </w:pPr>
            <w:r>
              <w:rPr>
                <w:rFonts w:ascii="Arial" w:cs="Arial" w:eastAsia="Arial" w:hAnsi="Arial"/>
                <w:sz w:val="14"/>
                <w:szCs w:val="14"/>
                <w:b w:val="1"/>
                <w:bCs w:val="1"/>
                <w:color w:val="auto"/>
                <w:w w:val="91"/>
              </w:rPr>
              <w:t>Gross Amounts</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80" w:type="dxa"/>
            <w:vAlign w:val="bottom"/>
          </w:tcPr>
          <w:p>
            <w:pPr>
              <w:jc w:val="center"/>
              <w:spacing w:after="0" w:line="125" w:lineRule="exact"/>
              <w:rPr>
                <w:sz w:val="20"/>
                <w:szCs w:val="20"/>
                <w:color w:val="auto"/>
              </w:rPr>
            </w:pPr>
            <w:r>
              <w:rPr>
                <w:rFonts w:ascii="Arial" w:cs="Arial" w:eastAsia="Arial" w:hAnsi="Arial"/>
                <w:sz w:val="14"/>
                <w:szCs w:val="14"/>
                <w:b w:val="1"/>
                <w:bCs w:val="1"/>
                <w:color w:val="auto"/>
                <w:w w:val="92"/>
              </w:rPr>
              <w:t>Offset in the</w:t>
            </w: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40" w:type="dxa"/>
            <w:vAlign w:val="bottom"/>
            <w:gridSpan w:val="2"/>
          </w:tcPr>
          <w:p>
            <w:pPr>
              <w:jc w:val="center"/>
              <w:ind w:right="220"/>
              <w:spacing w:after="0" w:line="125" w:lineRule="exact"/>
              <w:rPr>
                <w:sz w:val="20"/>
                <w:szCs w:val="20"/>
                <w:color w:val="auto"/>
              </w:rPr>
            </w:pPr>
            <w:r>
              <w:rPr>
                <w:rFonts w:ascii="Arial" w:cs="Arial" w:eastAsia="Arial" w:hAnsi="Arial"/>
                <w:sz w:val="14"/>
                <w:szCs w:val="14"/>
                <w:b w:val="1"/>
                <w:bCs w:val="1"/>
                <w:color w:val="auto"/>
                <w:w w:val="96"/>
              </w:rPr>
              <w:t>in the</w:t>
            </w:r>
          </w:p>
        </w:tc>
        <w:tc>
          <w:tcPr>
            <w:tcW w:w="140" w:type="dxa"/>
            <w:vAlign w:val="bottom"/>
            <w:tcBorders>
              <w:bottom w:val="single" w:sz="8" w:color="auto"/>
            </w:tcBorders>
          </w:tcPr>
          <w:p>
            <w:pPr>
              <w:spacing w:after="0"/>
              <w:rPr>
                <w:sz w:val="10"/>
                <w:szCs w:val="10"/>
                <w:color w:val="auto"/>
              </w:rPr>
            </w:pPr>
          </w:p>
        </w:tc>
        <w:tc>
          <w:tcPr>
            <w:tcW w:w="2220" w:type="dxa"/>
            <w:vAlign w:val="bottom"/>
            <w:tcBorders>
              <w:bottom w:val="single" w:sz="8" w:color="auto"/>
            </w:tcBorders>
            <w:gridSpan w:val="4"/>
            <w:vMerge w:val="continue"/>
          </w:tcPr>
          <w:p>
            <w:pPr>
              <w:spacing w:after="0"/>
              <w:rPr>
                <w:sz w:val="10"/>
                <w:szCs w:val="10"/>
                <w:color w:val="auto"/>
              </w:rPr>
            </w:pPr>
          </w:p>
        </w:tc>
        <w:tc>
          <w:tcPr>
            <w:tcW w:w="10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6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89"/>
              </w:rPr>
              <w:t>of Recognized</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140" w:type="dxa"/>
            <w:vAlign w:val="bottom"/>
          </w:tcPr>
          <w:p>
            <w:pPr>
              <w:spacing w:after="0"/>
              <w:rPr>
                <w:sz w:val="13"/>
                <w:szCs w:val="13"/>
                <w:color w:val="auto"/>
              </w:rPr>
            </w:pPr>
          </w:p>
        </w:tc>
        <w:tc>
          <w:tcPr>
            <w:tcW w:w="110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2"/>
              </w:rPr>
              <w:t>Financial</w:t>
            </w:r>
          </w:p>
        </w:tc>
        <w:tc>
          <w:tcPr>
            <w:tcW w:w="180" w:type="dxa"/>
            <w:vAlign w:val="bottom"/>
          </w:tcPr>
          <w:p>
            <w:pPr>
              <w:spacing w:after="0"/>
              <w:rPr>
                <w:sz w:val="13"/>
                <w:szCs w:val="13"/>
                <w:color w:val="auto"/>
              </w:rPr>
            </w:pPr>
          </w:p>
        </w:tc>
        <w:tc>
          <w:tcPr>
            <w:tcW w:w="104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97"/>
              </w:rPr>
              <w:t>Collateral</w:t>
            </w:r>
          </w:p>
        </w:tc>
        <w:tc>
          <w:tcPr>
            <w:tcW w:w="140" w:type="dxa"/>
            <w:vAlign w:val="bottom"/>
          </w:tcPr>
          <w:p>
            <w:pPr>
              <w:spacing w:after="0"/>
              <w:rPr>
                <w:sz w:val="13"/>
                <w:szCs w:val="13"/>
                <w:color w:val="auto"/>
              </w:rPr>
            </w:pPr>
          </w:p>
        </w:tc>
        <w:tc>
          <w:tcPr>
            <w:tcW w:w="980" w:type="dxa"/>
            <w:vAlign w:val="bottom"/>
            <w:vMerge w:val="restart"/>
          </w:tcPr>
          <w:p>
            <w:pPr>
              <w:jc w:val="right"/>
              <w:ind w:right="108"/>
              <w:spacing w:after="0"/>
              <w:rPr>
                <w:sz w:val="20"/>
                <w:szCs w:val="20"/>
                <w:color w:val="auto"/>
              </w:rPr>
            </w:pPr>
            <w:r>
              <w:rPr>
                <w:rFonts w:ascii="Arial" w:cs="Arial" w:eastAsia="Arial" w:hAnsi="Arial"/>
                <w:sz w:val="14"/>
                <w:szCs w:val="14"/>
                <w:b w:val="1"/>
                <w:bCs w:val="1"/>
                <w:color w:val="auto"/>
                <w:w w:val="98"/>
              </w:rPr>
              <w:t>Net Amount</w:t>
            </w:r>
          </w:p>
        </w:tc>
        <w:tc>
          <w:tcPr>
            <w:tcW w:w="0" w:type="dxa"/>
            <w:vAlign w:val="bottom"/>
          </w:tcPr>
          <w:p>
            <w:pPr>
              <w:spacing w:after="0"/>
              <w:rPr>
                <w:sz w:val="1"/>
                <w:szCs w:val="1"/>
                <w:color w:val="auto"/>
              </w:rPr>
            </w:pPr>
          </w:p>
        </w:tc>
      </w:tr>
      <w:tr>
        <w:trPr>
          <w:trHeight w:val="192"/>
        </w:trPr>
        <w:tc>
          <w:tcPr>
            <w:tcW w:w="3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6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2"/>
              </w:rPr>
              <w:t>Assets</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88"/>
              </w:rPr>
              <w:t>Balance Sheets</w:t>
            </w: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8"/>
              </w:rPr>
              <w:t>Balance Sheets</w:t>
            </w:r>
          </w:p>
        </w:tc>
        <w:tc>
          <w:tcPr>
            <w:tcW w:w="140" w:type="dxa"/>
            <w:vAlign w:val="bottom"/>
          </w:tcPr>
          <w:p>
            <w:pPr>
              <w:spacing w:after="0"/>
              <w:rPr>
                <w:sz w:val="16"/>
                <w:szCs w:val="16"/>
                <w:color w:val="auto"/>
              </w:rPr>
            </w:pPr>
          </w:p>
        </w:tc>
        <w:tc>
          <w:tcPr>
            <w:tcW w:w="11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Instruments</w:t>
            </w:r>
          </w:p>
        </w:tc>
        <w:tc>
          <w:tcPr>
            <w:tcW w:w="180" w:type="dxa"/>
            <w:vAlign w:val="bottom"/>
          </w:tcPr>
          <w:p>
            <w:pPr>
              <w:spacing w:after="0"/>
              <w:rPr>
                <w:sz w:val="16"/>
                <w:szCs w:val="16"/>
                <w:color w:val="auto"/>
              </w:rPr>
            </w:pPr>
          </w:p>
        </w:tc>
        <w:tc>
          <w:tcPr>
            <w:tcW w:w="10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8"/>
              </w:rPr>
              <w:t xml:space="preserve">Received </w:t>
            </w:r>
            <w:r>
              <w:rPr>
                <w:rFonts w:ascii="Arial" w:cs="Arial" w:eastAsia="Arial" w:hAnsi="Arial"/>
                <w:sz w:val="8"/>
                <w:szCs w:val="8"/>
                <w:b w:val="1"/>
                <w:bCs w:val="1"/>
                <w:color w:val="auto"/>
                <w:w w:val="88"/>
              </w:rPr>
              <w:t>2</w:t>
            </w:r>
          </w:p>
        </w:tc>
        <w:tc>
          <w:tcPr>
            <w:tcW w:w="140" w:type="dxa"/>
            <w:vAlign w:val="bottom"/>
          </w:tcPr>
          <w:p>
            <w:pPr>
              <w:spacing w:after="0"/>
              <w:rPr>
                <w:sz w:val="16"/>
                <w:szCs w:val="16"/>
                <w:color w:val="auto"/>
              </w:rPr>
            </w:pPr>
          </w:p>
        </w:tc>
        <w:tc>
          <w:tcPr>
            <w:tcW w:w="9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4000" w:type="dxa"/>
            <w:vAlign w:val="bottom"/>
            <w:tcBorders>
              <w:top w:val="single" w:sz="8" w:color="auto"/>
            </w:tcBorders>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December 31, 2015</w:t>
            </w:r>
          </w:p>
        </w:tc>
        <w:tc>
          <w:tcPr>
            <w:tcW w:w="2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86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2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980" w:type="dxa"/>
            <w:vAlign w:val="bottom"/>
            <w:tcBorders>
              <w:top w:val="single" w:sz="8" w:color="auto"/>
            </w:tcBorders>
            <w:shd w:val="clear" w:color="auto" w:fill="CCEEFF"/>
          </w:tcPr>
          <w:p>
            <w:pPr>
              <w:spacing w:after="0"/>
              <w:rPr>
                <w:sz w:val="23"/>
                <w:szCs w:val="23"/>
                <w:color w:val="auto"/>
              </w:rPr>
            </w:pPr>
          </w:p>
        </w:tc>
        <w:tc>
          <w:tcPr>
            <w:tcW w:w="80" w:type="dxa"/>
            <w:vAlign w:val="bottom"/>
            <w:tcBorders>
              <w:top w:val="single" w:sz="8" w:color="auto"/>
            </w:tcBorders>
            <w:shd w:val="clear" w:color="auto" w:fill="CCEEFF"/>
          </w:tcPr>
          <w:p>
            <w:pPr>
              <w:spacing w:after="0"/>
              <w:rPr>
                <w:sz w:val="23"/>
                <w:szCs w:val="23"/>
                <w:color w:val="auto"/>
              </w:rPr>
            </w:pPr>
          </w:p>
        </w:tc>
        <w:tc>
          <w:tcPr>
            <w:tcW w:w="2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104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98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80" w:type="dxa"/>
            <w:vAlign w:val="bottom"/>
            <w:tcBorders>
              <w:top w:val="single" w:sz="8" w:color="auto"/>
            </w:tcBorders>
            <w:shd w:val="clear" w:color="auto" w:fill="CCEEFF"/>
          </w:tcPr>
          <w:p>
            <w:pPr>
              <w:spacing w:after="0"/>
              <w:rPr>
                <w:sz w:val="23"/>
                <w:szCs w:val="23"/>
                <w:color w:val="auto"/>
              </w:rPr>
            </w:pPr>
          </w:p>
        </w:tc>
        <w:tc>
          <w:tcPr>
            <w:tcW w:w="94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980" w:type="dxa"/>
            <w:vAlign w:val="bottom"/>
            <w:tcBorders>
              <w:top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000" w:type="dxa"/>
            <w:vAlign w:val="bottom"/>
            <w:gridSpan w:val="2"/>
          </w:tcPr>
          <w:p>
            <w:pPr>
              <w:ind w:left="180"/>
              <w:spacing w:after="0"/>
              <w:rPr>
                <w:sz w:val="20"/>
                <w:szCs w:val="20"/>
                <w:color w:val="auto"/>
              </w:rPr>
            </w:pPr>
            <w:r>
              <w:rPr>
                <w:rFonts w:ascii="Arial" w:cs="Arial" w:eastAsia="Arial" w:hAnsi="Arial"/>
                <w:sz w:val="14"/>
                <w:szCs w:val="14"/>
                <w:color w:val="auto"/>
              </w:rPr>
              <w:t xml:space="preserve">Interest rate swap and swaption agreements, at fair value </w:t>
            </w:r>
            <w:r>
              <w:rPr>
                <w:rFonts w:ascii="Arial" w:cs="Arial" w:eastAsia="Arial" w:hAnsi="Arial"/>
                <w:sz w:val="8"/>
                <w:szCs w:val="8"/>
                <w:color w:val="auto"/>
              </w:rPr>
              <w:t>1</w:t>
            </w:r>
          </w:p>
        </w:tc>
        <w:tc>
          <w:tcPr>
            <w:tcW w:w="22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48</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ind w:left="800"/>
              <w:spacing w:after="0"/>
              <w:rPr>
                <w:sz w:val="20"/>
                <w:szCs w:val="20"/>
                <w:color w:val="auto"/>
              </w:rPr>
            </w:pPr>
            <w:r>
              <w:rPr>
                <w:rFonts w:ascii="Arial" w:cs="Arial" w:eastAsia="Arial" w:hAnsi="Arial"/>
                <w:sz w:val="14"/>
                <w:szCs w:val="14"/>
                <w:color w:val="auto"/>
              </w:rPr>
              <w:t>—</w:t>
            </w:r>
          </w:p>
        </w:tc>
        <w:tc>
          <w:tcPr>
            <w:tcW w:w="320" w:type="dxa"/>
            <w:vAlign w:val="bottom"/>
            <w:gridSpan w:val="5"/>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48</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(31)</w:t>
            </w:r>
          </w:p>
        </w:tc>
        <w:tc>
          <w:tcPr>
            <w:tcW w:w="120" w:type="dxa"/>
            <w:vAlign w:val="bottom"/>
          </w:tcPr>
          <w:p>
            <w:pPr>
              <w:spacing w:after="0"/>
              <w:rPr>
                <w:sz w:val="22"/>
                <w:szCs w:val="22"/>
                <w:color w:val="auto"/>
              </w:rPr>
            </w:pP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10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17</w:t>
            </w:r>
          </w:p>
        </w:tc>
        <w:tc>
          <w:tcPr>
            <w:tcW w:w="0" w:type="dxa"/>
            <w:vAlign w:val="bottom"/>
          </w:tcPr>
          <w:p>
            <w:pPr>
              <w:spacing w:after="0"/>
              <w:rPr>
                <w:sz w:val="1"/>
                <w:szCs w:val="1"/>
                <w:color w:val="auto"/>
              </w:rPr>
            </w:pPr>
          </w:p>
        </w:tc>
      </w:tr>
      <w:tr>
        <w:trPr>
          <w:trHeight w:val="270"/>
        </w:trPr>
        <w:tc>
          <w:tcPr>
            <w:tcW w:w="40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Receivable under reverse repurchase agreements</w:t>
            </w: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1,713</w:t>
            </w:r>
          </w:p>
        </w:tc>
        <w:tc>
          <w:tcPr>
            <w:tcW w:w="100" w:type="dxa"/>
            <w:vAlign w:val="bottom"/>
            <w:tcBorders>
              <w:bottom w:val="single" w:sz="8" w:color="auto"/>
            </w:tcBorders>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ind w:left="800"/>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auto"/>
            </w:tcBorders>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1,713</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(1,356)</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(357)</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83"/>
        </w:trPr>
        <w:tc>
          <w:tcPr>
            <w:tcW w:w="4000" w:type="dxa"/>
            <w:vAlign w:val="bottom"/>
            <w:gridSpan w:val="2"/>
          </w:tcPr>
          <w:p>
            <w:pPr>
              <w:ind w:left="280"/>
              <w:spacing w:after="0"/>
              <w:rPr>
                <w:sz w:val="20"/>
                <w:szCs w:val="20"/>
                <w:color w:val="auto"/>
              </w:rPr>
            </w:pPr>
            <w:r>
              <w:rPr>
                <w:rFonts w:ascii="Arial" w:cs="Arial" w:eastAsia="Arial" w:hAnsi="Arial"/>
                <w:sz w:val="14"/>
                <w:szCs w:val="14"/>
                <w:color w:val="auto"/>
              </w:rPr>
              <w:t>Total</w:t>
            </w:r>
          </w:p>
        </w:tc>
        <w:tc>
          <w:tcPr>
            <w:tcW w:w="22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1,761</w:t>
            </w: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ind w:left="800"/>
              <w:spacing w:after="0"/>
              <w:rPr>
                <w:sz w:val="20"/>
                <w:szCs w:val="20"/>
                <w:color w:val="auto"/>
              </w:rPr>
            </w:pPr>
            <w:r>
              <w:rPr>
                <w:rFonts w:ascii="Arial" w:cs="Arial" w:eastAsia="Arial" w:hAnsi="Arial"/>
                <w:sz w:val="14"/>
                <w:szCs w:val="14"/>
                <w:color w:val="auto"/>
              </w:rPr>
              <w:t>—</w:t>
            </w:r>
          </w:p>
        </w:tc>
        <w:tc>
          <w:tcPr>
            <w:tcW w:w="320" w:type="dxa"/>
            <w:vAlign w:val="bottom"/>
            <w:gridSpan w:val="5"/>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1,761</w:t>
            </w:r>
          </w:p>
        </w:tc>
        <w:tc>
          <w:tcPr>
            <w:tcW w:w="10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(1,387)</w:t>
            </w:r>
          </w:p>
        </w:tc>
        <w:tc>
          <w:tcPr>
            <w:tcW w:w="120" w:type="dxa"/>
            <w:vAlign w:val="bottom"/>
          </w:tcPr>
          <w:p>
            <w:pPr>
              <w:spacing w:after="0"/>
              <w:rPr>
                <w:sz w:val="24"/>
                <w:szCs w:val="24"/>
                <w:color w:val="auto"/>
              </w:rPr>
            </w:pP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(357)</w:t>
            </w:r>
          </w:p>
        </w:tc>
        <w:tc>
          <w:tcPr>
            <w:tcW w:w="10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17</w:t>
            </w:r>
          </w:p>
        </w:tc>
        <w:tc>
          <w:tcPr>
            <w:tcW w:w="0" w:type="dxa"/>
            <w:vAlign w:val="bottom"/>
          </w:tcPr>
          <w:p>
            <w:pPr>
              <w:spacing w:after="0"/>
              <w:rPr>
                <w:sz w:val="1"/>
                <w:szCs w:val="1"/>
                <w:color w:val="auto"/>
              </w:rPr>
            </w:pPr>
          </w:p>
        </w:tc>
      </w:tr>
      <w:tr>
        <w:trPr>
          <w:trHeight w:val="264"/>
        </w:trPr>
        <w:tc>
          <w:tcPr>
            <w:tcW w:w="390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86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980" w:type="dxa"/>
            <w:vAlign w:val="bottom"/>
            <w:tcBorders>
              <w:top w:val="single" w:sz="8" w:color="auto"/>
            </w:tcBorders>
            <w:shd w:val="clear" w:color="auto" w:fill="CCEEFF"/>
          </w:tcPr>
          <w:p>
            <w:pPr>
              <w:spacing w:after="0"/>
              <w:rPr>
                <w:sz w:val="22"/>
                <w:szCs w:val="22"/>
                <w:color w:val="auto"/>
              </w:rPr>
            </w:pPr>
          </w:p>
        </w:tc>
        <w:tc>
          <w:tcPr>
            <w:tcW w:w="80" w:type="dxa"/>
            <w:vAlign w:val="bottom"/>
            <w:tcBorders>
              <w:top w:val="single" w:sz="8" w:color="auto"/>
            </w:tcBorders>
            <w:shd w:val="clear" w:color="auto" w:fill="CCEEFF"/>
          </w:tcPr>
          <w:p>
            <w:pPr>
              <w:spacing w:after="0"/>
              <w:rPr>
                <w:sz w:val="22"/>
                <w:szCs w:val="22"/>
                <w:color w:val="auto"/>
              </w:rPr>
            </w:pPr>
          </w:p>
        </w:tc>
        <w:tc>
          <w:tcPr>
            <w:tcW w:w="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2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104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980" w:type="dxa"/>
            <w:vAlign w:val="bottom"/>
            <w:tcBorders>
              <w:top w:val="single" w:sz="8" w:color="auto"/>
            </w:tcBorders>
            <w:shd w:val="clear" w:color="auto" w:fill="CCEEFF"/>
          </w:tcPr>
          <w:p>
            <w:pPr>
              <w:spacing w:after="0"/>
              <w:rPr>
                <w:sz w:val="22"/>
                <w:szCs w:val="22"/>
                <w:color w:val="auto"/>
              </w:rPr>
            </w:pPr>
          </w:p>
        </w:tc>
        <w:tc>
          <w:tcPr>
            <w:tcW w:w="120" w:type="dxa"/>
            <w:vAlign w:val="bottom"/>
            <w:tcBorders>
              <w:top w:val="single" w:sz="8" w:color="CCEEFF"/>
            </w:tcBorders>
            <w:shd w:val="clear" w:color="auto" w:fill="CCEEFF"/>
          </w:tcPr>
          <w:p>
            <w:pPr>
              <w:spacing w:after="0"/>
              <w:rPr>
                <w:sz w:val="22"/>
                <w:szCs w:val="22"/>
                <w:color w:val="auto"/>
              </w:rPr>
            </w:pPr>
          </w:p>
        </w:tc>
        <w:tc>
          <w:tcPr>
            <w:tcW w:w="180" w:type="dxa"/>
            <w:vAlign w:val="bottom"/>
            <w:tcBorders>
              <w:top w:val="single" w:sz="8" w:color="auto"/>
            </w:tcBorders>
            <w:shd w:val="clear" w:color="auto" w:fill="CCEEFF"/>
          </w:tcPr>
          <w:p>
            <w:pPr>
              <w:spacing w:after="0"/>
              <w:rPr>
                <w:sz w:val="22"/>
                <w:szCs w:val="22"/>
                <w:color w:val="auto"/>
              </w:rPr>
            </w:pPr>
          </w:p>
        </w:tc>
        <w:tc>
          <w:tcPr>
            <w:tcW w:w="94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980" w:type="dxa"/>
            <w:vAlign w:val="bottom"/>
            <w:tcBorders>
              <w:top w:val="single" w:sz="8" w:color="auto"/>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4000" w:type="dxa"/>
            <w:vAlign w:val="bottom"/>
            <w:gridSpan w:val="2"/>
          </w:tcPr>
          <w:p>
            <w:pPr>
              <w:ind w:left="40"/>
              <w:spacing w:after="0"/>
              <w:rPr>
                <w:sz w:val="20"/>
                <w:szCs w:val="20"/>
                <w:color w:val="auto"/>
              </w:rPr>
            </w:pPr>
            <w:r>
              <w:rPr>
                <w:rFonts w:ascii="Arial" w:cs="Arial" w:eastAsia="Arial" w:hAnsi="Arial"/>
                <w:sz w:val="14"/>
                <w:szCs w:val="14"/>
                <w:b w:val="1"/>
                <w:bCs w:val="1"/>
                <w:color w:val="auto"/>
              </w:rPr>
              <w:t>December 31, 2014</w:t>
            </w: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40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 xml:space="preserve">Interest rate swap and swaption agreements, at fair value </w:t>
            </w:r>
            <w:r>
              <w:rPr>
                <w:rFonts w:ascii="Arial" w:cs="Arial" w:eastAsia="Arial" w:hAnsi="Arial"/>
                <w:sz w:val="8"/>
                <w:szCs w:val="8"/>
                <w:color w:val="auto"/>
              </w:rPr>
              <w:t>1</w:t>
            </w:r>
          </w:p>
        </w:tc>
        <w:tc>
          <w:tcPr>
            <w:tcW w:w="22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211</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ind w:left="800"/>
              <w:spacing w:after="0"/>
              <w:rPr>
                <w:sz w:val="20"/>
                <w:szCs w:val="20"/>
                <w:color w:val="auto"/>
              </w:rPr>
            </w:pPr>
            <w:r>
              <w:rPr>
                <w:rFonts w:ascii="Arial" w:cs="Arial" w:eastAsia="Arial" w:hAnsi="Arial"/>
                <w:sz w:val="14"/>
                <w:szCs w:val="14"/>
                <w:color w:val="auto"/>
              </w:rPr>
              <w:t>—</w:t>
            </w:r>
          </w:p>
        </w:tc>
        <w:tc>
          <w:tcPr>
            <w:tcW w:w="320" w:type="dxa"/>
            <w:vAlign w:val="bottom"/>
            <w:gridSpan w:val="5"/>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211</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(94)</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(83)</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34</w:t>
            </w:r>
          </w:p>
        </w:tc>
        <w:tc>
          <w:tcPr>
            <w:tcW w:w="0" w:type="dxa"/>
            <w:vAlign w:val="bottom"/>
          </w:tcPr>
          <w:p>
            <w:pPr>
              <w:spacing w:after="0"/>
              <w:rPr>
                <w:sz w:val="1"/>
                <w:szCs w:val="1"/>
                <w:color w:val="auto"/>
              </w:rPr>
            </w:pPr>
          </w:p>
        </w:tc>
      </w:tr>
      <w:tr>
        <w:trPr>
          <w:trHeight w:val="264"/>
        </w:trPr>
        <w:tc>
          <w:tcPr>
            <w:tcW w:w="400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Receivable under reverse repurchase agreements</w:t>
            </w: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5,218</w:t>
            </w:r>
          </w:p>
        </w:tc>
        <w:tc>
          <w:tcPr>
            <w:tcW w:w="100" w:type="dxa"/>
            <w:vAlign w:val="bottom"/>
            <w:tcBorders>
              <w:bottom w:val="single" w:sz="8" w:color="auto"/>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ind w:left="800"/>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auto"/>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5,218</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(4,690)</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(528)</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0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4"/>
                <w:szCs w:val="14"/>
                <w:color w:val="auto"/>
              </w:rPr>
              <w:t>Total</w:t>
            </w:r>
          </w:p>
        </w:tc>
        <w:tc>
          <w:tcPr>
            <w:tcW w:w="120" w:type="dxa"/>
            <w:vAlign w:val="bottom"/>
            <w:tcBorders>
              <w:bottom w:val="single" w:sz="8" w:color="CCEEFF"/>
            </w:tcBorders>
            <w:gridSpan w:val="2"/>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5,429</w:t>
            </w:r>
          </w:p>
        </w:tc>
        <w:tc>
          <w:tcPr>
            <w:tcW w:w="100" w:type="dxa"/>
            <w:vAlign w:val="bottom"/>
            <w:tcBorders>
              <w:bottom w:val="single" w:sz="8" w:color="auto"/>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ind w:left="800"/>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auto"/>
            </w:tcBorders>
            <w:shd w:val="clear" w:color="auto" w:fill="CCEEFF"/>
          </w:tcPr>
          <w:p>
            <w:pPr>
              <w:spacing w:after="0"/>
              <w:rPr>
                <w:sz w:val="21"/>
                <w:szCs w:val="21"/>
                <w:color w:val="auto"/>
              </w:rPr>
            </w:pPr>
          </w:p>
        </w:tc>
        <w:tc>
          <w:tcPr>
            <w:tcW w:w="120" w:type="dxa"/>
            <w:vAlign w:val="bottom"/>
            <w:tcBorders>
              <w:bottom w:val="single" w:sz="8" w:color="CCEEFF"/>
            </w:tcBorders>
            <w:gridSpan w:val="2"/>
            <w:shd w:val="clear" w:color="auto" w:fill="CCEEFF"/>
          </w:tcPr>
          <w:p>
            <w:pPr>
              <w:spacing w:after="0"/>
              <w:rPr>
                <w:sz w:val="21"/>
                <w:szCs w:val="21"/>
                <w:color w:val="auto"/>
              </w:rPr>
            </w:pPr>
          </w:p>
        </w:tc>
        <w:tc>
          <w:tcPr>
            <w:tcW w:w="12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5,429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(4,784)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(611)</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34</w:t>
            </w:r>
          </w:p>
        </w:tc>
        <w:tc>
          <w:tcPr>
            <w:tcW w:w="0" w:type="dxa"/>
            <w:vAlign w:val="bottom"/>
          </w:tcPr>
          <w:p>
            <w:pPr>
              <w:spacing w:after="0"/>
              <w:rPr>
                <w:sz w:val="1"/>
                <w:szCs w:val="1"/>
                <w:color w:val="auto"/>
              </w:rPr>
            </w:pPr>
          </w:p>
        </w:tc>
      </w:tr>
      <w:tr>
        <w:trPr>
          <w:trHeight w:val="20"/>
        </w:trPr>
        <w:tc>
          <w:tcPr>
            <w:tcW w:w="3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58"/>
        </w:trPr>
        <w:tc>
          <w:tcPr>
            <w:tcW w:w="3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860" w:type="dxa"/>
            <w:vAlign w:val="bottom"/>
            <w:tcBorders>
              <w:bottom w:val="single" w:sz="8" w:color="auto"/>
            </w:tcBorders>
            <w:gridSpan w:val="12"/>
          </w:tcPr>
          <w:p>
            <w:pPr>
              <w:ind w:left="840"/>
              <w:spacing w:after="0"/>
              <w:rPr>
                <w:sz w:val="20"/>
                <w:szCs w:val="20"/>
                <w:color w:val="auto"/>
              </w:rPr>
            </w:pPr>
            <w:r>
              <w:rPr>
                <w:rFonts w:ascii="Arial" w:cs="Arial" w:eastAsia="Arial" w:hAnsi="Arial"/>
                <w:sz w:val="14"/>
                <w:szCs w:val="14"/>
                <w:b w:val="1"/>
                <w:bCs w:val="1"/>
                <w:color w:val="auto"/>
                <w:w w:val="94"/>
              </w:rPr>
              <w:t>Offsetting of Financial and Derivative Liabilities</w:t>
            </w:r>
          </w:p>
        </w:tc>
        <w:tc>
          <w:tcPr>
            <w:tcW w:w="9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4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92"/>
              </w:rPr>
              <w:t>Net Amounts of</w:t>
            </w:r>
          </w:p>
        </w:tc>
        <w:tc>
          <w:tcPr>
            <w:tcW w:w="140" w:type="dxa"/>
            <w:vAlign w:val="bottom"/>
          </w:tcPr>
          <w:p>
            <w:pPr>
              <w:spacing w:after="0"/>
              <w:rPr>
                <w:sz w:val="13"/>
                <w:szCs w:val="13"/>
                <w:color w:val="auto"/>
              </w:rPr>
            </w:pPr>
          </w:p>
        </w:tc>
        <w:tc>
          <w:tcPr>
            <w:tcW w:w="2320" w:type="dxa"/>
            <w:vAlign w:val="bottom"/>
            <w:gridSpan w:val="5"/>
          </w:tcPr>
          <w:p>
            <w:pPr>
              <w:jc w:val="center"/>
              <w:ind w:right="220"/>
              <w:spacing w:after="0" w:line="153" w:lineRule="exact"/>
              <w:rPr>
                <w:sz w:val="20"/>
                <w:szCs w:val="20"/>
                <w:color w:val="auto"/>
              </w:rPr>
            </w:pPr>
            <w:r>
              <w:rPr>
                <w:rFonts w:ascii="Arial" w:cs="Arial" w:eastAsia="Arial" w:hAnsi="Arial"/>
                <w:sz w:val="14"/>
                <w:szCs w:val="14"/>
                <w:b w:val="1"/>
                <w:bCs w:val="1"/>
                <w:color w:val="auto"/>
                <w:w w:val="91"/>
              </w:rPr>
              <w:t>Gross Amounts Not Offset</w:t>
            </w:r>
          </w:p>
        </w:tc>
        <w:tc>
          <w:tcPr>
            <w:tcW w:w="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8"/>
        </w:trPr>
        <w:tc>
          <w:tcPr>
            <w:tcW w:w="39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9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240" w:type="dxa"/>
            <w:vAlign w:val="bottom"/>
            <w:gridSpan w:val="3"/>
            <w:vMerge w:val="continue"/>
          </w:tcPr>
          <w:p>
            <w:pPr>
              <w:spacing w:after="0"/>
              <w:rPr>
                <w:sz w:val="5"/>
                <w:szCs w:val="5"/>
                <w:color w:val="auto"/>
              </w:rPr>
            </w:pPr>
          </w:p>
        </w:tc>
        <w:tc>
          <w:tcPr>
            <w:tcW w:w="140" w:type="dxa"/>
            <w:vAlign w:val="bottom"/>
          </w:tcPr>
          <w:p>
            <w:pPr>
              <w:spacing w:after="0"/>
              <w:rPr>
                <w:sz w:val="5"/>
                <w:szCs w:val="5"/>
                <w:color w:val="auto"/>
              </w:rPr>
            </w:pPr>
          </w:p>
        </w:tc>
        <w:tc>
          <w:tcPr>
            <w:tcW w:w="1280" w:type="dxa"/>
            <w:vAlign w:val="bottom"/>
            <w:gridSpan w:val="3"/>
            <w:vMerge w:val="restart"/>
          </w:tcPr>
          <w:p>
            <w:pPr>
              <w:jc w:val="center"/>
              <w:ind w:left="788"/>
              <w:spacing w:after="0" w:line="149" w:lineRule="exact"/>
              <w:rPr>
                <w:sz w:val="20"/>
                <w:szCs w:val="20"/>
                <w:color w:val="auto"/>
              </w:rPr>
            </w:pPr>
            <w:r>
              <w:rPr>
                <w:rFonts w:ascii="Arial" w:cs="Arial" w:eastAsia="Arial" w:hAnsi="Arial"/>
                <w:sz w:val="14"/>
                <w:szCs w:val="14"/>
                <w:b w:val="1"/>
                <w:bCs w:val="1"/>
                <w:color w:val="auto"/>
                <w:w w:val="90"/>
              </w:rPr>
              <w:t>in the</w:t>
            </w:r>
          </w:p>
        </w:tc>
        <w:tc>
          <w:tcPr>
            <w:tcW w:w="9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390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6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80" w:type="dxa"/>
            <w:vAlign w:val="bottom"/>
            <w:gridSpan w:val="2"/>
            <w:vMerge w:val="restart"/>
          </w:tcPr>
          <w:p>
            <w:pPr>
              <w:jc w:val="center"/>
              <w:spacing w:after="0" w:line="149" w:lineRule="exact"/>
              <w:rPr>
                <w:sz w:val="20"/>
                <w:szCs w:val="20"/>
                <w:color w:val="auto"/>
              </w:rPr>
            </w:pPr>
            <w:r>
              <w:rPr>
                <w:rFonts w:ascii="Arial" w:cs="Arial" w:eastAsia="Arial" w:hAnsi="Arial"/>
                <w:sz w:val="14"/>
                <w:szCs w:val="14"/>
                <w:b w:val="1"/>
                <w:bCs w:val="1"/>
                <w:color w:val="auto"/>
                <w:w w:val="91"/>
              </w:rPr>
              <w:t>Gross Amounts</w:t>
            </w: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40" w:type="dxa"/>
            <w:vAlign w:val="bottom"/>
            <w:gridSpan w:val="2"/>
            <w:vMerge w:val="restart"/>
          </w:tcPr>
          <w:p>
            <w:pPr>
              <w:jc w:val="center"/>
              <w:ind w:right="200"/>
              <w:spacing w:after="0" w:line="149" w:lineRule="exact"/>
              <w:rPr>
                <w:sz w:val="20"/>
                <w:szCs w:val="20"/>
                <w:color w:val="auto"/>
              </w:rPr>
            </w:pPr>
            <w:r>
              <w:rPr>
                <w:rFonts w:ascii="Arial" w:cs="Arial" w:eastAsia="Arial" w:hAnsi="Arial"/>
                <w:sz w:val="14"/>
                <w:szCs w:val="14"/>
                <w:b w:val="1"/>
                <w:bCs w:val="1"/>
                <w:color w:val="auto"/>
                <w:w w:val="95"/>
              </w:rPr>
              <w:t>Liabilities</w:t>
            </w:r>
          </w:p>
        </w:tc>
        <w:tc>
          <w:tcPr>
            <w:tcW w:w="140" w:type="dxa"/>
            <w:vAlign w:val="bottom"/>
          </w:tcPr>
          <w:p>
            <w:pPr>
              <w:spacing w:after="0"/>
              <w:rPr>
                <w:sz w:val="7"/>
                <w:szCs w:val="7"/>
                <w:color w:val="auto"/>
              </w:rPr>
            </w:pPr>
          </w:p>
        </w:tc>
        <w:tc>
          <w:tcPr>
            <w:tcW w:w="1280" w:type="dxa"/>
            <w:vAlign w:val="bottom"/>
            <w:gridSpan w:val="3"/>
            <w:vMerge w:val="continue"/>
          </w:tcPr>
          <w:p>
            <w:pPr>
              <w:spacing w:after="0"/>
              <w:rPr>
                <w:sz w:val="7"/>
                <w:szCs w:val="7"/>
                <w:color w:val="auto"/>
              </w:rPr>
            </w:pPr>
          </w:p>
        </w:tc>
        <w:tc>
          <w:tcPr>
            <w:tcW w:w="9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40" w:type="dxa"/>
            <w:vAlign w:val="bottom"/>
          </w:tcPr>
          <w:p>
            <w:pPr>
              <w:spacing w:after="0"/>
              <w:rPr>
                <w:sz w:val="7"/>
                <w:szCs w:val="7"/>
                <w:color w:val="auto"/>
              </w:rPr>
            </w:pPr>
          </w:p>
        </w:tc>
        <w:tc>
          <w:tcPr>
            <w:tcW w:w="9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8"/>
        </w:trPr>
        <w:tc>
          <w:tcPr>
            <w:tcW w:w="39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80" w:type="dxa"/>
            <w:vAlign w:val="bottom"/>
            <w:gridSpan w:val="2"/>
            <w:vMerge w:val="continue"/>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40" w:type="dxa"/>
            <w:vAlign w:val="bottom"/>
            <w:gridSpan w:val="2"/>
            <w:vMerge w:val="continue"/>
          </w:tcPr>
          <w:p>
            <w:pPr>
              <w:spacing w:after="0"/>
              <w:rPr>
                <w:sz w:val="5"/>
                <w:szCs w:val="5"/>
                <w:color w:val="auto"/>
              </w:rPr>
            </w:pPr>
          </w:p>
        </w:tc>
        <w:tc>
          <w:tcPr>
            <w:tcW w:w="140" w:type="dxa"/>
            <w:vAlign w:val="bottom"/>
          </w:tcPr>
          <w:p>
            <w:pPr>
              <w:spacing w:after="0"/>
              <w:rPr>
                <w:sz w:val="5"/>
                <w:szCs w:val="5"/>
                <w:color w:val="auto"/>
              </w:rPr>
            </w:pPr>
          </w:p>
        </w:tc>
        <w:tc>
          <w:tcPr>
            <w:tcW w:w="2220" w:type="dxa"/>
            <w:vAlign w:val="bottom"/>
            <w:gridSpan w:val="4"/>
            <w:vMerge w:val="restart"/>
          </w:tcPr>
          <w:p>
            <w:pPr>
              <w:jc w:val="center"/>
              <w:ind w:right="48"/>
              <w:spacing w:after="0"/>
              <w:rPr>
                <w:sz w:val="20"/>
                <w:szCs w:val="20"/>
                <w:color w:val="auto"/>
              </w:rPr>
            </w:pPr>
            <w:r>
              <w:rPr>
                <w:rFonts w:ascii="Arial" w:cs="Arial" w:eastAsia="Arial" w:hAnsi="Arial"/>
                <w:sz w:val="14"/>
                <w:szCs w:val="14"/>
                <w:b w:val="1"/>
                <w:bCs w:val="1"/>
                <w:color w:val="auto"/>
                <w:w w:val="88"/>
              </w:rPr>
              <w:t>Consolidated Balance Sheets</w:t>
            </w:r>
          </w:p>
        </w:tc>
        <w:tc>
          <w:tcPr>
            <w:tcW w:w="100" w:type="dxa"/>
            <w:vAlign w:val="bottom"/>
            <w:vMerge w:val="restart"/>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25"/>
        </w:trPr>
        <w:tc>
          <w:tcPr>
            <w:tcW w:w="3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160" w:type="dxa"/>
            <w:vAlign w:val="bottom"/>
            <w:gridSpan w:val="4"/>
          </w:tcPr>
          <w:p>
            <w:pPr>
              <w:jc w:val="center"/>
              <w:ind w:right="120"/>
              <w:spacing w:after="0" w:line="125" w:lineRule="exact"/>
              <w:rPr>
                <w:sz w:val="20"/>
                <w:szCs w:val="20"/>
                <w:color w:val="auto"/>
              </w:rPr>
            </w:pPr>
            <w:r>
              <w:rPr>
                <w:rFonts w:ascii="Arial" w:cs="Arial" w:eastAsia="Arial" w:hAnsi="Arial"/>
                <w:sz w:val="14"/>
                <w:szCs w:val="14"/>
                <w:b w:val="1"/>
                <w:bCs w:val="1"/>
                <w:color w:val="auto"/>
                <w:w w:val="91"/>
              </w:rPr>
              <w:t>Gross Amounts</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80" w:type="dxa"/>
            <w:vAlign w:val="bottom"/>
          </w:tcPr>
          <w:p>
            <w:pPr>
              <w:jc w:val="center"/>
              <w:ind w:right="28"/>
              <w:spacing w:after="0" w:line="125" w:lineRule="exact"/>
              <w:rPr>
                <w:sz w:val="20"/>
                <w:szCs w:val="20"/>
                <w:color w:val="auto"/>
              </w:rPr>
            </w:pPr>
            <w:r>
              <w:rPr>
                <w:rFonts w:ascii="Arial" w:cs="Arial" w:eastAsia="Arial" w:hAnsi="Arial"/>
                <w:sz w:val="14"/>
                <w:szCs w:val="14"/>
                <w:b w:val="1"/>
                <w:bCs w:val="1"/>
                <w:color w:val="auto"/>
                <w:w w:val="92"/>
              </w:rPr>
              <w:t>Offset in the</w:t>
            </w: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40" w:type="dxa"/>
            <w:vAlign w:val="bottom"/>
            <w:gridSpan w:val="3"/>
          </w:tcPr>
          <w:p>
            <w:pPr>
              <w:jc w:val="center"/>
              <w:ind w:right="100"/>
              <w:spacing w:after="0" w:line="125" w:lineRule="exact"/>
              <w:rPr>
                <w:sz w:val="20"/>
                <w:szCs w:val="20"/>
                <w:color w:val="auto"/>
              </w:rPr>
            </w:pPr>
            <w:r>
              <w:rPr>
                <w:rFonts w:ascii="Arial" w:cs="Arial" w:eastAsia="Arial" w:hAnsi="Arial"/>
                <w:sz w:val="14"/>
                <w:szCs w:val="14"/>
                <w:b w:val="1"/>
                <w:bCs w:val="1"/>
                <w:color w:val="auto"/>
                <w:w w:val="89"/>
              </w:rPr>
              <w:t>Presented in the</w:t>
            </w:r>
          </w:p>
        </w:tc>
        <w:tc>
          <w:tcPr>
            <w:tcW w:w="140" w:type="dxa"/>
            <w:vAlign w:val="bottom"/>
            <w:tcBorders>
              <w:bottom w:val="single" w:sz="8" w:color="auto"/>
            </w:tcBorders>
          </w:tcPr>
          <w:p>
            <w:pPr>
              <w:spacing w:after="0"/>
              <w:rPr>
                <w:sz w:val="10"/>
                <w:szCs w:val="10"/>
                <w:color w:val="auto"/>
              </w:rPr>
            </w:pPr>
          </w:p>
        </w:tc>
        <w:tc>
          <w:tcPr>
            <w:tcW w:w="2220" w:type="dxa"/>
            <w:vAlign w:val="bottom"/>
            <w:tcBorders>
              <w:bottom w:val="single" w:sz="8" w:color="auto"/>
            </w:tcBorders>
            <w:gridSpan w:val="4"/>
            <w:vMerge w:val="continue"/>
          </w:tcPr>
          <w:p>
            <w:pPr>
              <w:spacing w:after="0"/>
              <w:rPr>
                <w:sz w:val="10"/>
                <w:szCs w:val="10"/>
                <w:color w:val="auto"/>
              </w:rPr>
            </w:pPr>
          </w:p>
        </w:tc>
        <w:tc>
          <w:tcPr>
            <w:tcW w:w="10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160" w:type="dxa"/>
            <w:vAlign w:val="bottom"/>
            <w:gridSpan w:val="4"/>
          </w:tcPr>
          <w:p>
            <w:pPr>
              <w:jc w:val="center"/>
              <w:ind w:right="100"/>
              <w:spacing w:after="0" w:line="153" w:lineRule="exact"/>
              <w:rPr>
                <w:sz w:val="20"/>
                <w:szCs w:val="20"/>
                <w:color w:val="auto"/>
              </w:rPr>
            </w:pPr>
            <w:r>
              <w:rPr>
                <w:rFonts w:ascii="Arial" w:cs="Arial" w:eastAsia="Arial" w:hAnsi="Arial"/>
                <w:sz w:val="14"/>
                <w:szCs w:val="14"/>
                <w:b w:val="1"/>
                <w:bCs w:val="1"/>
                <w:color w:val="auto"/>
                <w:w w:val="89"/>
              </w:rPr>
              <w:t>of Recognized</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jc w:val="center"/>
              <w:ind w:right="28"/>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140" w:type="dxa"/>
            <w:vAlign w:val="bottom"/>
          </w:tcPr>
          <w:p>
            <w:pPr>
              <w:spacing w:after="0"/>
              <w:rPr>
                <w:sz w:val="13"/>
                <w:szCs w:val="13"/>
                <w:color w:val="auto"/>
              </w:rPr>
            </w:pPr>
          </w:p>
        </w:tc>
        <w:tc>
          <w:tcPr>
            <w:tcW w:w="110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2"/>
              </w:rPr>
              <w:t>Financial</w:t>
            </w:r>
          </w:p>
        </w:tc>
        <w:tc>
          <w:tcPr>
            <w:tcW w:w="180" w:type="dxa"/>
            <w:vAlign w:val="bottom"/>
          </w:tcPr>
          <w:p>
            <w:pPr>
              <w:spacing w:after="0"/>
              <w:rPr>
                <w:sz w:val="13"/>
                <w:szCs w:val="13"/>
                <w:color w:val="auto"/>
              </w:rPr>
            </w:pPr>
          </w:p>
        </w:tc>
        <w:tc>
          <w:tcPr>
            <w:tcW w:w="104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97"/>
              </w:rPr>
              <w:t>Collateral</w:t>
            </w:r>
          </w:p>
        </w:tc>
        <w:tc>
          <w:tcPr>
            <w:tcW w:w="140" w:type="dxa"/>
            <w:vAlign w:val="bottom"/>
          </w:tcPr>
          <w:p>
            <w:pPr>
              <w:spacing w:after="0"/>
              <w:rPr>
                <w:sz w:val="13"/>
                <w:szCs w:val="13"/>
                <w:color w:val="auto"/>
              </w:rPr>
            </w:pPr>
          </w:p>
        </w:tc>
        <w:tc>
          <w:tcPr>
            <w:tcW w:w="980" w:type="dxa"/>
            <w:vAlign w:val="bottom"/>
            <w:vMerge w:val="restart"/>
          </w:tcPr>
          <w:p>
            <w:pPr>
              <w:jc w:val="right"/>
              <w:ind w:right="108"/>
              <w:spacing w:after="0"/>
              <w:rPr>
                <w:sz w:val="20"/>
                <w:szCs w:val="20"/>
                <w:color w:val="auto"/>
              </w:rPr>
            </w:pPr>
            <w:r>
              <w:rPr>
                <w:rFonts w:ascii="Arial" w:cs="Arial" w:eastAsia="Arial" w:hAnsi="Arial"/>
                <w:sz w:val="14"/>
                <w:szCs w:val="14"/>
                <w:b w:val="1"/>
                <w:bCs w:val="1"/>
                <w:color w:val="auto"/>
                <w:w w:val="98"/>
              </w:rPr>
              <w:t>Net Amount</w:t>
            </w:r>
          </w:p>
        </w:tc>
        <w:tc>
          <w:tcPr>
            <w:tcW w:w="0" w:type="dxa"/>
            <w:vAlign w:val="bottom"/>
          </w:tcPr>
          <w:p>
            <w:pPr>
              <w:spacing w:after="0"/>
              <w:rPr>
                <w:sz w:val="1"/>
                <w:szCs w:val="1"/>
                <w:color w:val="auto"/>
              </w:rPr>
            </w:pPr>
          </w:p>
        </w:tc>
      </w:tr>
      <w:tr>
        <w:trPr>
          <w:trHeight w:val="192"/>
        </w:trPr>
        <w:tc>
          <w:tcPr>
            <w:tcW w:w="39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center"/>
              <w:ind w:right="128"/>
              <w:spacing w:after="0"/>
              <w:rPr>
                <w:sz w:val="20"/>
                <w:szCs w:val="20"/>
                <w:color w:val="auto"/>
              </w:rPr>
            </w:pPr>
            <w:r>
              <w:rPr>
                <w:rFonts w:ascii="Arial" w:cs="Arial" w:eastAsia="Arial" w:hAnsi="Arial"/>
                <w:sz w:val="14"/>
                <w:szCs w:val="14"/>
                <w:b w:val="1"/>
                <w:bCs w:val="1"/>
                <w:color w:val="auto"/>
                <w:w w:val="95"/>
              </w:rPr>
              <w:t>Liabilities</w:t>
            </w:r>
          </w:p>
        </w:tc>
        <w:tc>
          <w:tcPr>
            <w:tcW w:w="10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8"/>
              </w:rPr>
              <w:t>Balance Sheets</w:t>
            </w:r>
          </w:p>
        </w:tc>
        <w:tc>
          <w:tcPr>
            <w:tcW w:w="8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88"/>
              </w:rPr>
              <w:t>Balance Sheets</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w w:val="94"/>
              </w:rPr>
              <w:t>Instruments</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center"/>
              <w:ind w:right="128"/>
              <w:spacing w:after="0"/>
              <w:rPr>
                <w:sz w:val="20"/>
                <w:szCs w:val="20"/>
                <w:color w:val="auto"/>
              </w:rPr>
            </w:pPr>
            <w:r>
              <w:rPr>
                <w:rFonts w:ascii="Arial" w:cs="Arial" w:eastAsia="Arial" w:hAnsi="Arial"/>
                <w:sz w:val="14"/>
                <w:szCs w:val="14"/>
                <w:b w:val="1"/>
                <w:bCs w:val="1"/>
                <w:color w:val="auto"/>
                <w:w w:val="92"/>
              </w:rPr>
              <w:t xml:space="preserve">Pledged </w:t>
            </w:r>
            <w:r>
              <w:rPr>
                <w:rFonts w:ascii="Arial" w:cs="Arial" w:eastAsia="Arial" w:hAnsi="Arial"/>
                <w:sz w:val="8"/>
                <w:szCs w:val="8"/>
                <w:b w:val="1"/>
                <w:bCs w:val="1"/>
                <w:color w:val="auto"/>
                <w:w w:val="92"/>
              </w:rPr>
              <w:t>2</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400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December 31, 2015</w:t>
            </w: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000" w:type="dxa"/>
            <w:vAlign w:val="bottom"/>
            <w:gridSpan w:val="2"/>
          </w:tcPr>
          <w:p>
            <w:pPr>
              <w:ind w:left="180"/>
              <w:spacing w:after="0"/>
              <w:rPr>
                <w:sz w:val="20"/>
                <w:szCs w:val="20"/>
                <w:color w:val="auto"/>
              </w:rPr>
            </w:pPr>
            <w:r>
              <w:rPr>
                <w:rFonts w:ascii="Arial" w:cs="Arial" w:eastAsia="Arial" w:hAnsi="Arial"/>
                <w:sz w:val="14"/>
                <w:szCs w:val="14"/>
                <w:color w:val="auto"/>
              </w:rPr>
              <w:t xml:space="preserve">Interest rate swap agreements, at fair value </w:t>
            </w:r>
            <w:r>
              <w:rPr>
                <w:rFonts w:ascii="Arial" w:cs="Arial" w:eastAsia="Arial" w:hAnsi="Arial"/>
                <w:sz w:val="8"/>
                <w:szCs w:val="8"/>
                <w:color w:val="auto"/>
              </w:rPr>
              <w:t>1</w:t>
            </w:r>
          </w:p>
        </w:tc>
        <w:tc>
          <w:tcPr>
            <w:tcW w:w="1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920</w:t>
            </w:r>
          </w:p>
        </w:tc>
        <w:tc>
          <w:tcPr>
            <w:tcW w:w="100" w:type="dxa"/>
            <w:vAlign w:val="bottom"/>
          </w:tcPr>
          <w:p>
            <w:pPr>
              <w:spacing w:after="0"/>
              <w:rPr>
                <w:sz w:val="22"/>
                <w:szCs w:val="22"/>
                <w:color w:val="auto"/>
              </w:rPr>
            </w:pPr>
          </w:p>
        </w:tc>
        <w:tc>
          <w:tcPr>
            <w:tcW w:w="1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80" w:type="dxa"/>
            <w:vAlign w:val="bottom"/>
          </w:tcPr>
          <w:p>
            <w:pPr>
              <w:ind w:left="820"/>
              <w:spacing w:after="0"/>
              <w:rPr>
                <w:sz w:val="20"/>
                <w:szCs w:val="20"/>
                <w:color w:val="auto"/>
              </w:rPr>
            </w:pPr>
            <w:r>
              <w:rPr>
                <w:rFonts w:ascii="Arial" w:cs="Arial" w:eastAsia="Arial" w:hAnsi="Arial"/>
                <w:sz w:val="14"/>
                <w:szCs w:val="14"/>
                <w:color w:val="auto"/>
                <w:w w:val="99"/>
              </w:rPr>
              <w:t>—</w:t>
            </w:r>
          </w:p>
        </w:tc>
        <w:tc>
          <w:tcPr>
            <w:tcW w:w="320" w:type="dxa"/>
            <w:vAlign w:val="bottom"/>
            <w:gridSpan w:val="5"/>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920</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(31)</w:t>
            </w:r>
          </w:p>
        </w:tc>
        <w:tc>
          <w:tcPr>
            <w:tcW w:w="120" w:type="dxa"/>
            <w:vAlign w:val="bottom"/>
          </w:tcPr>
          <w:p>
            <w:pPr>
              <w:spacing w:after="0"/>
              <w:rPr>
                <w:sz w:val="22"/>
                <w:szCs w:val="22"/>
                <w:color w:val="auto"/>
              </w:rPr>
            </w:pP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(889)</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0"/>
        </w:trPr>
        <w:tc>
          <w:tcPr>
            <w:tcW w:w="40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Repurchase agreements and FHLB advances</w:t>
            </w:r>
          </w:p>
        </w:tc>
        <w:tc>
          <w:tcPr>
            <w:tcW w:w="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45,507</w:t>
            </w: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ind w:left="820"/>
              <w:spacing w:after="0"/>
              <w:rPr>
                <w:sz w:val="20"/>
                <w:szCs w:val="20"/>
                <w:color w:val="auto"/>
              </w:rPr>
            </w:pPr>
            <w:r>
              <w:rPr>
                <w:rFonts w:ascii="Arial" w:cs="Arial" w:eastAsia="Arial" w:hAnsi="Arial"/>
                <w:sz w:val="14"/>
                <w:szCs w:val="14"/>
                <w:color w:val="auto"/>
                <w:w w:val="99"/>
              </w:rPr>
              <w:t>—</w:t>
            </w:r>
          </w:p>
        </w:tc>
        <w:tc>
          <w:tcPr>
            <w:tcW w:w="80" w:type="dxa"/>
            <w:vAlign w:val="bottom"/>
            <w:tcBorders>
              <w:bottom w:val="single" w:sz="8" w:color="auto"/>
            </w:tcBorders>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45,507</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(1,356)</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(44,151)</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83"/>
        </w:trPr>
        <w:tc>
          <w:tcPr>
            <w:tcW w:w="4000" w:type="dxa"/>
            <w:vAlign w:val="bottom"/>
            <w:gridSpan w:val="2"/>
          </w:tcPr>
          <w:p>
            <w:pPr>
              <w:ind w:left="280"/>
              <w:spacing w:after="0"/>
              <w:rPr>
                <w:sz w:val="20"/>
                <w:szCs w:val="20"/>
                <w:color w:val="auto"/>
              </w:rPr>
            </w:pPr>
            <w:r>
              <w:rPr>
                <w:rFonts w:ascii="Arial" w:cs="Arial" w:eastAsia="Arial" w:hAnsi="Arial"/>
                <w:sz w:val="14"/>
                <w:szCs w:val="14"/>
                <w:color w:val="auto"/>
              </w:rPr>
              <w:t>Total</w:t>
            </w:r>
          </w:p>
        </w:tc>
        <w:tc>
          <w:tcPr>
            <w:tcW w:w="1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4"/>
                <w:szCs w:val="24"/>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46,427</w:t>
            </w:r>
          </w:p>
        </w:tc>
        <w:tc>
          <w:tcPr>
            <w:tcW w:w="100" w:type="dxa"/>
            <w:vAlign w:val="bottom"/>
          </w:tcPr>
          <w:p>
            <w:pPr>
              <w:spacing w:after="0"/>
              <w:rPr>
                <w:sz w:val="24"/>
                <w:szCs w:val="24"/>
                <w:color w:val="auto"/>
              </w:rPr>
            </w:pPr>
          </w:p>
        </w:tc>
        <w:tc>
          <w:tcPr>
            <w:tcW w:w="1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4"/>
                <w:szCs w:val="24"/>
                <w:color w:val="auto"/>
              </w:rPr>
            </w:pPr>
          </w:p>
        </w:tc>
        <w:tc>
          <w:tcPr>
            <w:tcW w:w="980" w:type="dxa"/>
            <w:vAlign w:val="bottom"/>
          </w:tcPr>
          <w:p>
            <w:pPr>
              <w:ind w:left="820"/>
              <w:spacing w:after="0"/>
              <w:rPr>
                <w:sz w:val="20"/>
                <w:szCs w:val="20"/>
                <w:color w:val="auto"/>
              </w:rPr>
            </w:pPr>
            <w:r>
              <w:rPr>
                <w:rFonts w:ascii="Arial" w:cs="Arial" w:eastAsia="Arial" w:hAnsi="Arial"/>
                <w:sz w:val="14"/>
                <w:szCs w:val="14"/>
                <w:color w:val="auto"/>
                <w:w w:val="99"/>
              </w:rPr>
              <w:t>—</w:t>
            </w:r>
          </w:p>
        </w:tc>
        <w:tc>
          <w:tcPr>
            <w:tcW w:w="320" w:type="dxa"/>
            <w:vAlign w:val="bottom"/>
            <w:gridSpan w:val="5"/>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46,427</w:t>
            </w:r>
          </w:p>
        </w:tc>
        <w:tc>
          <w:tcPr>
            <w:tcW w:w="10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(1,387)</w:t>
            </w:r>
          </w:p>
        </w:tc>
        <w:tc>
          <w:tcPr>
            <w:tcW w:w="120" w:type="dxa"/>
            <w:vAlign w:val="bottom"/>
          </w:tcPr>
          <w:p>
            <w:pPr>
              <w:spacing w:after="0"/>
              <w:rPr>
                <w:sz w:val="24"/>
                <w:szCs w:val="24"/>
                <w:color w:val="auto"/>
              </w:rPr>
            </w:pP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(45,040)</w:t>
            </w:r>
          </w:p>
        </w:tc>
        <w:tc>
          <w:tcPr>
            <w:tcW w:w="10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390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86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980" w:type="dxa"/>
            <w:vAlign w:val="bottom"/>
            <w:tcBorders>
              <w:top w:val="single" w:sz="8" w:color="auto"/>
            </w:tcBorders>
            <w:shd w:val="clear" w:color="auto" w:fill="CCEEFF"/>
          </w:tcPr>
          <w:p>
            <w:pPr>
              <w:spacing w:after="0"/>
              <w:rPr>
                <w:sz w:val="22"/>
                <w:szCs w:val="22"/>
                <w:color w:val="auto"/>
              </w:rPr>
            </w:pPr>
          </w:p>
        </w:tc>
        <w:tc>
          <w:tcPr>
            <w:tcW w:w="80" w:type="dxa"/>
            <w:vAlign w:val="bottom"/>
            <w:tcBorders>
              <w:top w:val="single" w:sz="8" w:color="auto"/>
            </w:tcBorders>
            <w:shd w:val="clear" w:color="auto" w:fill="CCEEFF"/>
          </w:tcPr>
          <w:p>
            <w:pPr>
              <w:spacing w:after="0"/>
              <w:rPr>
                <w:sz w:val="22"/>
                <w:szCs w:val="22"/>
                <w:color w:val="auto"/>
              </w:rPr>
            </w:pPr>
          </w:p>
        </w:tc>
        <w:tc>
          <w:tcPr>
            <w:tcW w:w="2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104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980" w:type="dxa"/>
            <w:vAlign w:val="bottom"/>
            <w:tcBorders>
              <w:top w:val="single" w:sz="8" w:color="auto"/>
            </w:tcBorders>
            <w:shd w:val="clear" w:color="auto" w:fill="CCEEFF"/>
          </w:tcPr>
          <w:p>
            <w:pPr>
              <w:spacing w:after="0"/>
              <w:rPr>
                <w:sz w:val="22"/>
                <w:szCs w:val="22"/>
                <w:color w:val="auto"/>
              </w:rPr>
            </w:pPr>
          </w:p>
        </w:tc>
        <w:tc>
          <w:tcPr>
            <w:tcW w:w="120" w:type="dxa"/>
            <w:vAlign w:val="bottom"/>
            <w:tcBorders>
              <w:top w:val="single" w:sz="8" w:color="CCEEFF"/>
            </w:tcBorders>
            <w:shd w:val="clear" w:color="auto" w:fill="CCEEFF"/>
          </w:tcPr>
          <w:p>
            <w:pPr>
              <w:spacing w:after="0"/>
              <w:rPr>
                <w:sz w:val="22"/>
                <w:szCs w:val="22"/>
                <w:color w:val="auto"/>
              </w:rPr>
            </w:pPr>
          </w:p>
        </w:tc>
        <w:tc>
          <w:tcPr>
            <w:tcW w:w="180" w:type="dxa"/>
            <w:vAlign w:val="bottom"/>
            <w:tcBorders>
              <w:top w:val="single" w:sz="8" w:color="auto"/>
            </w:tcBorders>
            <w:shd w:val="clear" w:color="auto" w:fill="CCEEFF"/>
          </w:tcPr>
          <w:p>
            <w:pPr>
              <w:spacing w:after="0"/>
              <w:rPr>
                <w:sz w:val="22"/>
                <w:szCs w:val="22"/>
                <w:color w:val="auto"/>
              </w:rPr>
            </w:pPr>
          </w:p>
        </w:tc>
        <w:tc>
          <w:tcPr>
            <w:tcW w:w="94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980" w:type="dxa"/>
            <w:vAlign w:val="bottom"/>
            <w:tcBorders>
              <w:top w:val="single" w:sz="8" w:color="auto"/>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4000" w:type="dxa"/>
            <w:vAlign w:val="bottom"/>
            <w:gridSpan w:val="2"/>
          </w:tcPr>
          <w:p>
            <w:pPr>
              <w:ind w:left="40"/>
              <w:spacing w:after="0"/>
              <w:rPr>
                <w:sz w:val="20"/>
                <w:szCs w:val="20"/>
                <w:color w:val="auto"/>
              </w:rPr>
            </w:pPr>
            <w:r>
              <w:rPr>
                <w:rFonts w:ascii="Arial" w:cs="Arial" w:eastAsia="Arial" w:hAnsi="Arial"/>
                <w:sz w:val="14"/>
                <w:szCs w:val="14"/>
                <w:b w:val="1"/>
                <w:bCs w:val="1"/>
                <w:color w:val="auto"/>
              </w:rPr>
              <w:t>December 31, 2014</w:t>
            </w: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40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 xml:space="preserve">Interest rate swap agreements, at fair value </w:t>
            </w:r>
            <w:r>
              <w:rPr>
                <w:rFonts w:ascii="Arial" w:cs="Arial" w:eastAsia="Arial" w:hAnsi="Arial"/>
                <w:sz w:val="8"/>
                <w:szCs w:val="8"/>
                <w:color w:val="auto"/>
              </w:rPr>
              <w:t>1</w:t>
            </w: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880</w:t>
            </w:r>
          </w:p>
        </w:tc>
        <w:tc>
          <w:tcPr>
            <w:tcW w:w="100" w:type="dxa"/>
            <w:vAlign w:val="bottom"/>
            <w:shd w:val="clear" w:color="auto" w:fill="CCEEFF"/>
          </w:tcPr>
          <w:p>
            <w:pPr>
              <w:spacing w:after="0"/>
              <w:rPr>
                <w:sz w:val="24"/>
                <w:szCs w:val="24"/>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980" w:type="dxa"/>
            <w:vAlign w:val="bottom"/>
            <w:shd w:val="clear" w:color="auto" w:fill="CCEEFF"/>
          </w:tcPr>
          <w:p>
            <w:pPr>
              <w:ind w:left="820"/>
              <w:spacing w:after="0"/>
              <w:rPr>
                <w:sz w:val="20"/>
                <w:szCs w:val="20"/>
                <w:color w:val="auto"/>
              </w:rPr>
            </w:pPr>
            <w:r>
              <w:rPr>
                <w:rFonts w:ascii="Arial" w:cs="Arial" w:eastAsia="Arial" w:hAnsi="Arial"/>
                <w:sz w:val="14"/>
                <w:szCs w:val="14"/>
                <w:color w:val="auto"/>
                <w:w w:val="99"/>
              </w:rPr>
              <w:t>—</w:t>
            </w:r>
          </w:p>
        </w:tc>
        <w:tc>
          <w:tcPr>
            <w:tcW w:w="320" w:type="dxa"/>
            <w:vAlign w:val="bottom"/>
            <w:gridSpan w:val="5"/>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880</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(94)</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(782)</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264"/>
        </w:trPr>
        <w:tc>
          <w:tcPr>
            <w:tcW w:w="400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Repurchase agreements</w:t>
            </w: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50,296</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ind w:left="820"/>
              <w:spacing w:after="0"/>
              <w:rPr>
                <w:sz w:val="20"/>
                <w:szCs w:val="20"/>
                <w:color w:val="auto"/>
              </w:rPr>
            </w:pPr>
            <w:r>
              <w:rPr>
                <w:rFonts w:ascii="Arial" w:cs="Arial" w:eastAsia="Arial" w:hAnsi="Arial"/>
                <w:sz w:val="14"/>
                <w:szCs w:val="14"/>
                <w:color w:val="auto"/>
                <w:w w:val="99"/>
              </w:rPr>
              <w:t>—</w:t>
            </w:r>
          </w:p>
        </w:tc>
        <w:tc>
          <w:tcPr>
            <w:tcW w:w="8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50,296</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(4,690)</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(45,606)</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00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w:t>
            </w: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1"/>
                <w:szCs w:val="21"/>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51,176</w:t>
            </w:r>
          </w:p>
        </w:tc>
        <w:tc>
          <w:tcPr>
            <w:tcW w:w="100" w:type="dxa"/>
            <w:vAlign w:val="bottom"/>
            <w:shd w:val="clear" w:color="auto" w:fill="CCEEFF"/>
          </w:tcPr>
          <w:p>
            <w:pPr>
              <w:spacing w:after="0"/>
              <w:rPr>
                <w:sz w:val="21"/>
                <w:szCs w:val="21"/>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1"/>
                <w:szCs w:val="21"/>
                <w:color w:val="auto"/>
              </w:rPr>
            </w:pPr>
          </w:p>
        </w:tc>
        <w:tc>
          <w:tcPr>
            <w:tcW w:w="980" w:type="dxa"/>
            <w:vAlign w:val="bottom"/>
            <w:shd w:val="clear" w:color="auto" w:fill="CCEEFF"/>
          </w:tcPr>
          <w:p>
            <w:pPr>
              <w:ind w:left="820"/>
              <w:spacing w:after="0"/>
              <w:rPr>
                <w:sz w:val="20"/>
                <w:szCs w:val="20"/>
                <w:color w:val="auto"/>
              </w:rPr>
            </w:pPr>
            <w:r>
              <w:rPr>
                <w:rFonts w:ascii="Arial" w:cs="Arial" w:eastAsia="Arial" w:hAnsi="Arial"/>
                <w:sz w:val="14"/>
                <w:szCs w:val="14"/>
                <w:color w:val="auto"/>
                <w:w w:val="99"/>
              </w:rPr>
              <w:t>—</w:t>
            </w:r>
          </w:p>
        </w:tc>
        <w:tc>
          <w:tcPr>
            <w:tcW w:w="320" w:type="dxa"/>
            <w:vAlign w:val="bottom"/>
            <w:gridSpan w:val="5"/>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51,176</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(4,784)</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(46,388)</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20"/>
        </w:trPr>
        <w:tc>
          <w:tcPr>
            <w:tcW w:w="39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_______________________</w:t>
            </w:r>
          </w:p>
        </w:tc>
        <w:tc>
          <w:tcPr>
            <w:tcW w:w="100" w:type="dxa"/>
            <w:vAlign w:val="bottom"/>
            <w:tcBorders>
              <w:top w:val="single" w:sz="8" w:color="CCEEFF"/>
              <w:bottom w:val="single" w:sz="8" w:color="CCEEFF"/>
            </w:tcBorders>
            <w:vMerge w:val="restart"/>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3900" w:type="dxa"/>
            <w:vAlign w:val="bottom"/>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left="660" w:right="320" w:hanging="328"/>
        <w:spacing w:after="0" w:line="241" w:lineRule="auto"/>
        <w:tabs>
          <w:tab w:leader="none" w:pos="660" w:val="left"/>
        </w:tabs>
        <w:numPr>
          <w:ilvl w:val="0"/>
          <w:numId w:val="61"/>
        </w:numPr>
        <w:rPr>
          <w:rFonts w:ascii="Arial" w:cs="Arial" w:eastAsia="Arial" w:hAnsi="Arial"/>
          <w:sz w:val="14"/>
          <w:szCs w:val="14"/>
          <w:color w:val="auto"/>
        </w:rPr>
      </w:pPr>
      <w:r>
        <w:rPr>
          <w:rFonts w:ascii="Arial" w:cs="Arial" w:eastAsia="Arial" w:hAnsi="Arial"/>
          <w:sz w:val="14"/>
          <w:szCs w:val="14"/>
          <w:color w:val="auto"/>
        </w:rPr>
        <w:t>Reported under derivative assets / liabilities, at fair value in the accompanying consolidated balance sheets. Refer to Note 5 for a reconciliation of derivative assets / liabilities, at fair value to their sub-components.</w:t>
      </w:r>
    </w:p>
    <w:p>
      <w:pPr>
        <w:ind w:left="660" w:right="240" w:hanging="328"/>
        <w:spacing w:after="0" w:line="255" w:lineRule="auto"/>
        <w:tabs>
          <w:tab w:leader="none" w:pos="660" w:val="left"/>
        </w:tabs>
        <w:numPr>
          <w:ilvl w:val="0"/>
          <w:numId w:val="61"/>
        </w:numPr>
        <w:rPr>
          <w:rFonts w:ascii="Arial" w:cs="Arial" w:eastAsia="Arial" w:hAnsi="Arial"/>
          <w:sz w:val="14"/>
          <w:szCs w:val="14"/>
          <w:color w:val="auto"/>
        </w:rPr>
      </w:pPr>
      <w:r>
        <w:rPr>
          <w:rFonts w:ascii="Arial" w:cs="Arial" w:eastAsia="Arial" w:hAnsi="Arial"/>
          <w:sz w:val="14"/>
          <w:szCs w:val="14"/>
          <w:color w:val="auto"/>
        </w:rPr>
        <w:t>Includes cash and securities pledged / received as collateral, at fair value. Amounts presented are limited to collateral pledged sufficient to reduce the net amount to zero for individual counterparties, as applicable.</w:t>
      </w: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98</w:t>
      </w:r>
    </w:p>
    <w:p>
      <w:pPr>
        <w:sectPr>
          <w:pgSz w:w="11900" w:h="16838" w:orient="portrait"/>
          <w:cols w:equalWidth="0" w:num="1">
            <w:col w:w="11420"/>
          </w:cols>
          <w:pgMar w:left="240" w:top="746" w:right="239" w:bottom="1440" w:gutter="0" w:footer="0" w:header="0"/>
        </w:sectPr>
      </w:pPr>
    </w:p>
    <w:bookmarkStart w:id="99" w:name="page100"/>
    <w:bookmarkEnd w:id="99"/>
    <w:p>
      <w:pPr>
        <w:spacing w:after="0"/>
        <w:rPr>
          <w:sz w:val="20"/>
          <w:szCs w:val="20"/>
          <w:color w:val="auto"/>
        </w:rPr>
      </w:pPr>
      <w:r>
        <w:rPr>
          <w:rFonts w:ascii="Arial" w:cs="Arial" w:eastAsia="Arial" w:hAnsi="Arial"/>
          <w:sz w:val="18"/>
          <w:szCs w:val="18"/>
          <w:b w:val="1"/>
          <w:bCs w:val="1"/>
          <w:color w:val="auto"/>
        </w:rPr>
        <w:t>Note 7. Fair Value Measurements</w:t>
      </w:r>
    </w:p>
    <w:p>
      <w:pPr>
        <w:spacing w:after="0" w:line="229" w:lineRule="exact"/>
        <w:rPr>
          <w:sz w:val="20"/>
          <w:szCs w:val="20"/>
          <w:color w:val="auto"/>
        </w:rPr>
      </w:pPr>
    </w:p>
    <w:p>
      <w:pPr>
        <w:jc w:val="both"/>
        <w:ind w:firstLine="405"/>
        <w:spacing w:after="0" w:line="270" w:lineRule="auto"/>
        <w:rPr>
          <w:sz w:val="20"/>
          <w:szCs w:val="20"/>
          <w:color w:val="auto"/>
        </w:rPr>
      </w:pPr>
      <w:r>
        <w:rPr>
          <w:rFonts w:ascii="Arial" w:cs="Arial" w:eastAsia="Arial" w:hAnsi="Arial"/>
          <w:sz w:val="17"/>
          <w:szCs w:val="17"/>
          <w:color w:val="auto"/>
        </w:rPr>
        <w:t>We determine the fair value of our investment securities and debt of consolidated VIEs based upon fair value estimates obtained from multiple third party pricing services and dealers. In determining fair value, third party pricing sources use various valuation approaches, including market and income approaches. Factors used by third party sources in estimating the fair value of an instrument may include observable inputs such as coupons, primary and secondary mortgage rates, pricing information, credit data, volatility statistics, and other market data that are current as of the measurement date. The availability of observable inputs can vary by instrument and is affected by a wide variety of factors, including the type of instrument, whether the instrument is new and not yet established in the marketplace and other characteristics particular to the instrument. Third party pricing sources may also use certain unobservable inputs, such as assumptions of future levels of prepayment, defaults and foreclosures, especially when estimating fair values for securities with lower levels of recent trading activity. We make inquiries of third party pricing sources to understand the significant inputs and assumptions they used to determine their prices. For further information regarding valuation of our derivative instruments, please refer to the discussion of derivative and other hedging instruments in Note 2.</w:t>
      </w:r>
    </w:p>
    <w:p>
      <w:pPr>
        <w:spacing w:after="0" w:line="218"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We review the various third party fair value estimates and perform procedures to validate their reasonableness, including an analysis of the range of third party estimates for each position, comparison to recent trade activity for similar securities, and management review for consistency with market conditions observed as of the measurement date. While we do not adjust prices we obtain from third party pricing sources, we will exclude third party prices for securities from our determination of fair value if we determine (based on our validation procedures and our market knowledge and expertise) that the price is significantly different from observable market data would indicate and we cannot obtain an understanding from the third party source as to the significant inputs used to determine the price.</w:t>
      </w:r>
    </w:p>
    <w:p>
      <w:pPr>
        <w:spacing w:after="0" w:line="234"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The validation procedures described above also influence our determination of the appropriate fair value measurement classification. We utilize a three-level valuation hierarchy for disclosure of fair value measurement. The valuation hierarchy is based upon the transparency of inputs to the valuation of an asset or liability as of the measurement date. A financial instrument's categorization within the hierarchy is based upon the lowest level of input that is significant to the fair value measurement. There were no transfers between hierarchy levels during fiscal years December 31, 2015 and 2014. The three levels of hierarchy are defined as follows:</w:t>
      </w:r>
    </w:p>
    <w:p>
      <w:pPr>
        <w:spacing w:after="0" w:line="134" w:lineRule="exact"/>
        <w:rPr>
          <w:sz w:val="20"/>
          <w:szCs w:val="20"/>
          <w:color w:val="auto"/>
        </w:rPr>
      </w:pPr>
    </w:p>
    <w:p>
      <w:pPr>
        <w:ind w:left="660" w:hanging="328"/>
        <w:spacing w:after="0" w:line="277" w:lineRule="auto"/>
        <w:tabs>
          <w:tab w:leader="none" w:pos="6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Level 1 Inputs —Quoted prices (unadjusted) for identical unrestricted assets and liabilities in active markets that are accessible at the measurement date.</w:t>
      </w:r>
    </w:p>
    <w:p>
      <w:pPr>
        <w:spacing w:after="0" w:line="116" w:lineRule="exact"/>
        <w:rPr>
          <w:rFonts w:ascii="Arial" w:cs="Arial" w:eastAsia="Arial" w:hAnsi="Arial"/>
          <w:sz w:val="18"/>
          <w:szCs w:val="18"/>
          <w:color w:val="auto"/>
        </w:rPr>
      </w:pPr>
    </w:p>
    <w:p>
      <w:pPr>
        <w:ind w:left="660" w:hanging="328"/>
        <w:spacing w:after="0" w:line="308" w:lineRule="auto"/>
        <w:tabs>
          <w:tab w:leader="none" w:pos="660" w:val="left"/>
        </w:tabs>
        <w:numPr>
          <w:ilvl w:val="0"/>
          <w:numId w:val="62"/>
        </w:numPr>
        <w:rPr>
          <w:rFonts w:ascii="Arial" w:cs="Arial" w:eastAsia="Arial" w:hAnsi="Arial"/>
          <w:sz w:val="17"/>
          <w:szCs w:val="17"/>
          <w:color w:val="auto"/>
        </w:rPr>
      </w:pPr>
      <w:r>
        <w:rPr>
          <w:rFonts w:ascii="Arial" w:cs="Arial" w:eastAsia="Arial" w:hAnsi="Arial"/>
          <w:sz w:val="17"/>
          <w:szCs w:val="17"/>
          <w:color w:val="auto"/>
        </w:rPr>
        <w:t>Level 2 Inputs —Quoted prices for similar assets and liabilities in active markets; quoted prices for identical or similar instruments in markets that are not active; and model-derived valuations whose inputs are observable or whose significant value drivers are observable.</w:t>
      </w:r>
    </w:p>
    <w:p>
      <w:pPr>
        <w:spacing w:after="0" w:line="92" w:lineRule="exact"/>
        <w:rPr>
          <w:rFonts w:ascii="Arial" w:cs="Arial" w:eastAsia="Arial" w:hAnsi="Arial"/>
          <w:sz w:val="17"/>
          <w:szCs w:val="17"/>
          <w:color w:val="auto"/>
        </w:rPr>
      </w:pPr>
    </w:p>
    <w:p>
      <w:pPr>
        <w:ind w:left="660" w:hanging="328"/>
        <w:spacing w:after="0"/>
        <w:tabs>
          <w:tab w:leader="none" w:pos="6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Level 3 Inputs —Instruments with primarily unobservable market data that cannot be corroborated.</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99</w:t>
      </w:r>
    </w:p>
    <w:p>
      <w:pPr>
        <w:sectPr>
          <w:pgSz w:w="11900" w:h="16838" w:orient="portrait"/>
          <w:cols w:equalWidth="0" w:num="1">
            <w:col w:w="11420"/>
          </w:cols>
          <w:pgMar w:left="240" w:top="580" w:right="239" w:bottom="1440" w:gutter="0" w:footer="0" w:header="0"/>
        </w:sectPr>
      </w:pPr>
    </w:p>
    <w:bookmarkStart w:id="100" w:name="page101"/>
    <w:bookmarkEnd w:id="100"/>
    <w:p>
      <w:pPr>
        <w:ind w:firstLine="432"/>
        <w:spacing w:after="0" w:line="277" w:lineRule="auto"/>
        <w:rPr>
          <w:sz w:val="20"/>
          <w:szCs w:val="20"/>
          <w:color w:val="auto"/>
        </w:rPr>
      </w:pPr>
      <w:r>
        <w:rPr>
          <w:rFonts w:ascii="Arial" w:cs="Arial" w:eastAsia="Arial" w:hAnsi="Arial"/>
          <w:sz w:val="18"/>
          <w:szCs w:val="18"/>
          <w:color w:val="auto"/>
        </w:rPr>
        <w:t>The following table provides a summary of our assets and liabilities that are measured at fair value on a recurring basis as of December 31, 2015 and 2014 (in millions):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58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4"/>
          </w:tcPr>
          <w:p>
            <w:pPr>
              <w:jc w:val="center"/>
              <w:ind w:right="20"/>
              <w:spacing w:after="0"/>
              <w:rPr>
                <w:sz w:val="20"/>
                <w:szCs w:val="20"/>
                <w:color w:val="auto"/>
              </w:rPr>
            </w:pPr>
            <w:r>
              <w:rPr>
                <w:rFonts w:ascii="Arial" w:cs="Arial" w:eastAsia="Arial" w:hAnsi="Arial"/>
                <w:sz w:val="14"/>
                <w:szCs w:val="14"/>
                <w:b w:val="1"/>
                <w:bCs w:val="1"/>
                <w:color w:val="auto"/>
                <w:w w:val="91"/>
              </w:rPr>
              <w:t>December 31, 2015</w:t>
            </w:r>
          </w:p>
        </w:tc>
        <w:tc>
          <w:tcPr>
            <w:tcW w:w="1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1"/>
              </w:rPr>
              <w:t>December 31, 2014</w:t>
            </w:r>
          </w:p>
        </w:tc>
        <w:tc>
          <w:tcPr>
            <w:tcW w:w="2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5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60" w:type="dxa"/>
            <w:vAlign w:val="bottom"/>
          </w:tcPr>
          <w:p>
            <w:pPr>
              <w:jc w:val="right"/>
              <w:ind w:right="228"/>
              <w:spacing w:after="0"/>
              <w:rPr>
                <w:sz w:val="20"/>
                <w:szCs w:val="20"/>
                <w:color w:val="auto"/>
              </w:rPr>
            </w:pPr>
            <w:r>
              <w:rPr>
                <w:rFonts w:ascii="Arial" w:cs="Arial" w:eastAsia="Arial" w:hAnsi="Arial"/>
                <w:sz w:val="14"/>
                <w:szCs w:val="14"/>
                <w:b w:val="1"/>
                <w:bCs w:val="1"/>
                <w:color w:val="auto"/>
              </w:rPr>
              <w:t>Level 1</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8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2"/>
              </w:rPr>
              <w:t>Level 2</w:t>
            </w:r>
          </w:p>
        </w:tc>
        <w:tc>
          <w:tcPr>
            <w:tcW w:w="180" w:type="dxa"/>
            <w:vAlign w:val="bottom"/>
          </w:tcPr>
          <w:p>
            <w:pPr>
              <w:spacing w:after="0"/>
              <w:rPr>
                <w:sz w:val="22"/>
                <w:szCs w:val="22"/>
                <w:color w:val="auto"/>
              </w:rPr>
            </w:pPr>
          </w:p>
        </w:tc>
        <w:tc>
          <w:tcPr>
            <w:tcW w:w="1040" w:type="dxa"/>
            <w:vAlign w:val="bottom"/>
            <w:gridSpan w:val="2"/>
          </w:tcPr>
          <w:p>
            <w:pPr>
              <w:ind w:left="100"/>
              <w:spacing w:after="0"/>
              <w:rPr>
                <w:sz w:val="20"/>
                <w:szCs w:val="20"/>
                <w:color w:val="auto"/>
              </w:rPr>
            </w:pPr>
            <w:r>
              <w:rPr>
                <w:rFonts w:ascii="Arial" w:cs="Arial" w:eastAsia="Arial" w:hAnsi="Arial"/>
                <w:sz w:val="14"/>
                <w:szCs w:val="14"/>
                <w:b w:val="1"/>
                <w:bCs w:val="1"/>
                <w:color w:val="auto"/>
              </w:rPr>
              <w:t>Level 3</w:t>
            </w:r>
          </w:p>
        </w:tc>
        <w:tc>
          <w:tcPr>
            <w:tcW w:w="200" w:type="dxa"/>
            <w:vAlign w:val="bottom"/>
          </w:tcPr>
          <w:p>
            <w:pPr>
              <w:spacing w:after="0"/>
              <w:rPr>
                <w:sz w:val="22"/>
                <w:szCs w:val="22"/>
                <w:color w:val="auto"/>
              </w:rPr>
            </w:pPr>
          </w:p>
        </w:tc>
        <w:tc>
          <w:tcPr>
            <w:tcW w:w="820" w:type="dxa"/>
            <w:vAlign w:val="bottom"/>
          </w:tcPr>
          <w:p>
            <w:pPr>
              <w:jc w:val="right"/>
              <w:ind w:right="208"/>
              <w:spacing w:after="0"/>
              <w:rPr>
                <w:sz w:val="20"/>
                <w:szCs w:val="20"/>
                <w:color w:val="auto"/>
              </w:rPr>
            </w:pPr>
            <w:r>
              <w:rPr>
                <w:rFonts w:ascii="Arial" w:cs="Arial" w:eastAsia="Arial" w:hAnsi="Arial"/>
                <w:sz w:val="14"/>
                <w:szCs w:val="14"/>
                <w:b w:val="1"/>
                <w:bCs w:val="1"/>
                <w:color w:val="auto"/>
              </w:rPr>
              <w:t>Level 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Level 2</w:t>
            </w:r>
          </w:p>
        </w:tc>
        <w:tc>
          <w:tcPr>
            <w:tcW w:w="200" w:type="dxa"/>
            <w:vAlign w:val="bottom"/>
          </w:tcPr>
          <w:p>
            <w:pPr>
              <w:spacing w:after="0"/>
              <w:rPr>
                <w:sz w:val="22"/>
                <w:szCs w:val="22"/>
                <w:color w:val="auto"/>
              </w:rPr>
            </w:pPr>
          </w:p>
        </w:tc>
        <w:tc>
          <w:tcPr>
            <w:tcW w:w="820" w:type="dxa"/>
            <w:vAlign w:val="bottom"/>
          </w:tcPr>
          <w:p>
            <w:pPr>
              <w:ind w:left="100"/>
              <w:spacing w:after="0"/>
              <w:rPr>
                <w:sz w:val="20"/>
                <w:szCs w:val="20"/>
                <w:color w:val="auto"/>
              </w:rPr>
            </w:pPr>
            <w:r>
              <w:rPr>
                <w:rFonts w:ascii="Arial" w:cs="Arial" w:eastAsia="Arial" w:hAnsi="Arial"/>
                <w:sz w:val="14"/>
                <w:szCs w:val="14"/>
                <w:b w:val="1"/>
                <w:bCs w:val="1"/>
                <w:color w:val="auto"/>
              </w:rPr>
              <w:t>Level 3</w:t>
            </w:r>
          </w:p>
        </w:tc>
        <w:tc>
          <w:tcPr>
            <w:tcW w:w="0" w:type="dxa"/>
            <w:vAlign w:val="bottom"/>
          </w:tcPr>
          <w:p>
            <w:pPr>
              <w:spacing w:after="0"/>
              <w:rPr>
                <w:sz w:val="1"/>
                <w:szCs w:val="1"/>
                <w:color w:val="auto"/>
              </w:rPr>
            </w:pPr>
          </w:p>
        </w:tc>
      </w:tr>
      <w:tr>
        <w:trPr>
          <w:trHeight w:val="270"/>
        </w:trPr>
        <w:tc>
          <w:tcPr>
            <w:tcW w:w="458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Assets:</w:t>
            </w:r>
          </w:p>
        </w:tc>
        <w:tc>
          <w:tcPr>
            <w:tcW w:w="200" w:type="dxa"/>
            <w:vAlign w:val="bottom"/>
            <w:tcBorders>
              <w:top w:val="single" w:sz="8" w:color="auto"/>
            </w:tcBorders>
            <w:shd w:val="clear" w:color="auto" w:fill="CCEEFF"/>
          </w:tcPr>
          <w:p>
            <w:pPr>
              <w:spacing w:after="0"/>
              <w:rPr>
                <w:sz w:val="23"/>
                <w:szCs w:val="23"/>
                <w:color w:val="auto"/>
              </w:rPr>
            </w:pPr>
          </w:p>
        </w:tc>
        <w:tc>
          <w:tcPr>
            <w:tcW w:w="8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8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80" w:type="dxa"/>
            <w:vAlign w:val="bottom"/>
            <w:tcBorders>
              <w:top w:val="single" w:sz="8" w:color="auto"/>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c>
          <w:tcPr>
            <w:tcW w:w="22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Agency securities</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32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51,331</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3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55,482</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Agency securities transferred to consolidated VIEs</w:t>
            </w: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1,029</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1,266</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Non-agency securities</w:t>
            </w: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113</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U.S. Treasury securities</w:t>
            </w: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25</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2,427</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Interest rate swaps</w:t>
            </w: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31</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136</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Swaptions</w:t>
            </w: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75</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REIT equity securities</w:t>
            </w: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33</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68</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TBA securities</w:t>
            </w: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29</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197</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580" w:type="dxa"/>
            <w:vAlign w:val="bottom"/>
            <w:tcBorders>
              <w:bottom w:val="single" w:sz="8" w:color="CCEEFF"/>
            </w:tcBorders>
          </w:tcPr>
          <w:p>
            <w:pPr>
              <w:ind w:left="200"/>
              <w:spacing w:after="0"/>
              <w:rPr>
                <w:sz w:val="20"/>
                <w:szCs w:val="20"/>
                <w:color w:val="auto"/>
              </w:rPr>
            </w:pPr>
            <w:r>
              <w:rPr>
                <w:rFonts w:ascii="Arial" w:cs="Arial" w:eastAsia="Arial" w:hAnsi="Arial"/>
                <w:sz w:val="14"/>
                <w:szCs w:val="14"/>
                <w:color w:val="auto"/>
              </w:rPr>
              <w:t>U.S. Treasury futures</w:t>
            </w:r>
          </w:p>
        </w:tc>
        <w:tc>
          <w:tcPr>
            <w:tcW w:w="2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ind w:left="580"/>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580" w:type="dxa"/>
            <w:vAlign w:val="bottom"/>
            <w:shd w:val="clear" w:color="auto" w:fill="CCEEFF"/>
          </w:tcPr>
          <w:p>
            <w:pPr>
              <w:ind w:left="40"/>
              <w:spacing w:after="0"/>
              <w:rPr>
                <w:sz w:val="20"/>
                <w:szCs w:val="20"/>
                <w:color w:val="auto"/>
              </w:rPr>
            </w:pPr>
            <w:r>
              <w:rPr>
                <w:rFonts w:ascii="Arial" w:cs="Arial" w:eastAsia="Arial" w:hAnsi="Arial"/>
                <w:sz w:val="14"/>
                <w:szCs w:val="14"/>
                <w:color w:val="auto"/>
              </w:rPr>
              <w:t>Total</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62</w:t>
            </w:r>
          </w:p>
        </w:tc>
        <w:tc>
          <w:tcPr>
            <w:tcW w:w="3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52,550</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2,495</w:t>
            </w:r>
          </w:p>
        </w:tc>
        <w:tc>
          <w:tcPr>
            <w:tcW w:w="30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57,156</w:t>
            </w: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458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4"/>
                <w:szCs w:val="14"/>
                <w:color w:val="auto"/>
              </w:rPr>
              <w:t>Liabilities:</w:t>
            </w:r>
          </w:p>
        </w:tc>
        <w:tc>
          <w:tcPr>
            <w:tcW w:w="2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5"/>
        </w:trPr>
        <w:tc>
          <w:tcPr>
            <w:tcW w:w="4580" w:type="dxa"/>
            <w:vAlign w:val="bottom"/>
            <w:vMerge w:val="continue"/>
          </w:tcPr>
          <w:p>
            <w:pPr>
              <w:spacing w:after="0"/>
              <w:rPr>
                <w:sz w:val="21"/>
                <w:szCs w:val="21"/>
                <w:color w:val="auto"/>
              </w:rPr>
            </w:pPr>
          </w:p>
        </w:tc>
        <w:tc>
          <w:tcPr>
            <w:tcW w:w="2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Debt of consolidated VIEs</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3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595</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30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761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57"/>
        </w:trPr>
        <w:tc>
          <w:tcPr>
            <w:tcW w:w="4580" w:type="dxa"/>
            <w:vAlign w:val="bottom"/>
          </w:tcPr>
          <w:p>
            <w:pPr>
              <w:ind w:left="200"/>
              <w:spacing w:after="0" w:line="157" w:lineRule="exact"/>
              <w:rPr>
                <w:sz w:val="20"/>
                <w:szCs w:val="20"/>
                <w:color w:val="auto"/>
              </w:rPr>
            </w:pPr>
            <w:r>
              <w:rPr>
                <w:rFonts w:ascii="Arial" w:cs="Arial" w:eastAsia="Arial" w:hAnsi="Arial"/>
                <w:sz w:val="14"/>
                <w:szCs w:val="14"/>
                <w:color w:val="auto"/>
              </w:rPr>
              <w:t>Obligation to return U.S. Treasury securities borrowed under reverse</w:t>
            </w:r>
          </w:p>
        </w:tc>
        <w:tc>
          <w:tcPr>
            <w:tcW w:w="2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4580" w:type="dxa"/>
            <w:vAlign w:val="bottom"/>
          </w:tcPr>
          <w:p>
            <w:pPr>
              <w:ind w:left="200"/>
              <w:spacing w:after="0"/>
              <w:rPr>
                <w:sz w:val="20"/>
                <w:szCs w:val="20"/>
                <w:color w:val="auto"/>
              </w:rPr>
            </w:pPr>
            <w:r>
              <w:rPr>
                <w:rFonts w:ascii="Arial" w:cs="Arial" w:eastAsia="Arial" w:hAnsi="Arial"/>
                <w:sz w:val="14"/>
                <w:szCs w:val="14"/>
                <w:color w:val="auto"/>
              </w:rPr>
              <w:t>repurchase agreements</w:t>
            </w:r>
          </w:p>
        </w:tc>
        <w:tc>
          <w:tcPr>
            <w:tcW w:w="200" w:type="dxa"/>
            <w:vAlign w:val="bottom"/>
          </w:tcPr>
          <w:p>
            <w:pPr>
              <w:spacing w:after="0"/>
              <w:rPr>
                <w:sz w:val="16"/>
                <w:szCs w:val="16"/>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1,696</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5,363</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Interest rate swaps</w:t>
            </w: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920</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880</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TBA securities</w:t>
            </w: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15</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0"/>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U.S. Treasury futures</w:t>
            </w:r>
          </w:p>
        </w:tc>
        <w:tc>
          <w:tcPr>
            <w:tcW w:w="20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580" w:type="dxa"/>
            <w:vAlign w:val="bottom"/>
          </w:tcPr>
          <w:p>
            <w:pPr>
              <w:ind w:left="40"/>
              <w:spacing w:after="0"/>
              <w:rPr>
                <w:sz w:val="20"/>
                <w:szCs w:val="20"/>
                <w:color w:val="auto"/>
              </w:rPr>
            </w:pPr>
            <w:r>
              <w:rPr>
                <w:rFonts w:ascii="Arial" w:cs="Arial" w:eastAsia="Arial" w:hAnsi="Arial"/>
                <w:sz w:val="14"/>
                <w:szCs w:val="14"/>
                <w:color w:val="auto"/>
              </w:rPr>
              <w:t>Total</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1,696</w:t>
            </w:r>
          </w:p>
        </w:tc>
        <w:tc>
          <w:tcPr>
            <w:tcW w:w="32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1,530</w:t>
            </w:r>
          </w:p>
        </w:tc>
        <w:tc>
          <w:tcPr>
            <w:tcW w:w="120" w:type="dxa"/>
            <w:vAlign w:val="bottom"/>
          </w:tcPr>
          <w:p>
            <w:pPr>
              <w:spacing w:after="0"/>
              <w:rPr>
                <w:sz w:val="21"/>
                <w:szCs w:val="21"/>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5,368</w:t>
            </w:r>
          </w:p>
        </w:tc>
        <w:tc>
          <w:tcPr>
            <w:tcW w:w="3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1,646</w:t>
            </w:r>
          </w:p>
        </w:tc>
        <w:tc>
          <w:tcPr>
            <w:tcW w:w="100" w:type="dxa"/>
            <w:vAlign w:val="bottom"/>
          </w:tcPr>
          <w:p>
            <w:pPr>
              <w:spacing w:after="0"/>
              <w:rPr>
                <w:sz w:val="21"/>
                <w:szCs w:val="21"/>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45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We elected the option to account for debt of consolidated VIEs at fair value with changes in fair value reflected in earnings during the period in which they occur, because we believe this election more appropriately reflects our financial position as both the consolidated agency securities and consolidated debt are presented in a consistent manner, at fair value, on our consolidated balance sheets. We estimate the fair value of the consolidated debt based on the fair value of the MBS transferred to consolidated VIEs, less the fair value of our retained interests, which are based on valuations obtained from third-party pricing services and non-binding dealer quotes derived from common market pricing methods using "Level 2" inputs.</w:t>
      </w:r>
    </w:p>
    <w:p>
      <w:pPr>
        <w:spacing w:after="0" w:line="104"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Excluded from the table above are financial instruments, including cash and cash equivalents, restricted cash and cash equivalents, receivables, payables and borrowings under repurchase agreements and FHLB advances, which are presented in our consolidated financial statements at cost. The cost basis of these instruments is determined to approximate fair value due to their short duration or, in the case of longer-term repo and FHLB advances, due to floating rates of interest based on an index plus or minus a fixed spread which is consistent with fixed spreads demanded in the market. We estimate the fair value of these instruments using "Level 2" inputs.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Management Agreement and Related Party Transactions</w:t>
      </w:r>
    </w:p>
    <w:p>
      <w:pPr>
        <w:spacing w:after="0" w:line="189"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We are externally managed and advised by our Manager pursuant to the terms of a management agreement. The management agreement has been renewed through May 20, 2016 and provides for automatic one-year extension options thereafter. The management agreement may only be terminated by us or our Manager without cause, as defined in the management agreement, after the completion of the current renewal term, or the expiration of each subsequent automatic annual renewal term, provided that either party provide 180-days prior written notice of non-renewal of the management agreement. If we were to not renew the management agreement without cause, we must pay a termination fee on the last day of the applicable term, equal to three times the average annual management fee earned by our Manager during the prior 24-month period immediately preceding the most recently completed month prior to the effective date of termination. We may only not renew the management agreement with or without cause with the consent of the majority of our independent directors. We pay our Manager a management fee payable monthly in arrears in amount equal to one-twelfth of 1.25% of our month-end stockholders' equity, adjusted to exclude the effect of any unrealized gains or losses included in either retained earnings or OCI, each as computed in accordance with GAAP.</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100</w:t>
      </w:r>
    </w:p>
    <w:p>
      <w:pPr>
        <w:sectPr>
          <w:pgSz w:w="11900" w:h="16838" w:orient="portrait"/>
          <w:cols w:equalWidth="0" w:num="1">
            <w:col w:w="11420"/>
          </w:cols>
          <w:pgMar w:left="240" w:top="746" w:right="239" w:bottom="1440" w:gutter="0" w:footer="0" w:header="0"/>
        </w:sectPr>
      </w:pPr>
    </w:p>
    <w:bookmarkStart w:id="101" w:name="page102"/>
    <w:bookmarkEnd w:id="101"/>
    <w:p>
      <w:pPr>
        <w:jc w:val="both"/>
        <w:ind w:firstLine="432"/>
        <w:spacing w:after="0" w:line="277" w:lineRule="auto"/>
        <w:rPr>
          <w:sz w:val="20"/>
          <w:szCs w:val="20"/>
          <w:color w:val="auto"/>
        </w:rPr>
      </w:pPr>
      <w:r>
        <w:rPr>
          <w:rFonts w:ascii="Arial" w:cs="Arial" w:eastAsia="Arial" w:hAnsi="Arial"/>
          <w:sz w:val="18"/>
          <w:szCs w:val="18"/>
          <w:color w:val="auto"/>
        </w:rPr>
        <w:t>There is no incentive compensation payable to our Manager pursuant to the management agreement. For fiscal years 2015, 2014 and 2013, we recorded an expense for management fees of $116 million, $119 million and $136 million, respectively.</w:t>
      </w:r>
    </w:p>
    <w:p>
      <w:pPr>
        <w:spacing w:after="0" w:line="130"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We are obligated to reimburse our Manager for its expenses incurred directly related to our operations, excluding employment-related expenses of our Manager's officers and employees and any American Capital employees who provide services to us pursuant to the management agreement. Our Manager has entered into an administrative services agreement with American Capital, pursuant to which American Capital will provide personnel, services and resources necessary for our Manager to perform its obligations under the management agreement. For fiscal years 2015, 2014 and 2013, we recorded expense reimbursements to our Manager of $8 million, $8 million and $10 million, respectively, primarily consisting of costs related to information technology systems. As of December 31, 2015 and 2014, $9 million and $10 million was payable to our Manager, respectively.</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Income Taxes</w:t>
      </w:r>
    </w:p>
    <w:p>
      <w:pPr>
        <w:spacing w:after="0" w:line="189"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 summarizes dividends for federal income tax purposes declared for fiscal tax years 2015, 2014 and 2013 and their related tax characterization (in millions, except per share amounts):</w:t>
      </w:r>
    </w:p>
    <w:p>
      <w:pPr>
        <w:spacing w:after="0" w:line="293"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5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560" w:type="dxa"/>
            <w:vAlign w:val="bottom"/>
            <w:gridSpan w:val="3"/>
          </w:tcPr>
          <w:p>
            <w:pPr>
              <w:jc w:val="right"/>
              <w:spacing w:after="0"/>
              <w:rPr>
                <w:sz w:val="20"/>
                <w:szCs w:val="20"/>
                <w:color w:val="auto"/>
              </w:rPr>
            </w:pPr>
            <w:r>
              <w:rPr>
                <w:rFonts w:ascii="Arial" w:cs="Arial" w:eastAsia="Arial" w:hAnsi="Arial"/>
                <w:sz w:val="16"/>
                <w:szCs w:val="16"/>
                <w:b w:val="1"/>
                <w:bCs w:val="1"/>
                <w:color w:val="auto"/>
                <w:w w:val="96"/>
              </w:rPr>
              <w:t>Tax Characterization</w:t>
            </w:r>
          </w:p>
        </w:tc>
        <w:tc>
          <w:tcPr>
            <w:tcW w:w="960" w:type="dxa"/>
            <w:vAlign w:val="bottom"/>
          </w:tcPr>
          <w:p>
            <w:pPr>
              <w:spacing w:after="0"/>
              <w:rPr>
                <w:sz w:val="18"/>
                <w:szCs w:val="18"/>
                <w:color w:val="auto"/>
              </w:rPr>
            </w:pPr>
          </w:p>
        </w:tc>
      </w:tr>
      <w:tr>
        <w:trPr>
          <w:trHeight w:val="33"/>
        </w:trPr>
        <w:tc>
          <w:tcPr>
            <w:tcW w:w="5260" w:type="dxa"/>
            <w:vAlign w:val="bottom"/>
          </w:tcPr>
          <w:p>
            <w:pPr>
              <w:spacing w:after="0"/>
              <w:rPr>
                <w:sz w:val="2"/>
                <w:szCs w:val="2"/>
                <w:color w:val="auto"/>
              </w:rPr>
            </w:pPr>
          </w:p>
        </w:tc>
        <w:tc>
          <w:tcPr>
            <w:tcW w:w="380" w:type="dxa"/>
            <w:vAlign w:val="bottom"/>
          </w:tcPr>
          <w:p>
            <w:pPr>
              <w:spacing w:after="0"/>
              <w:rPr>
                <w:sz w:val="2"/>
                <w:szCs w:val="2"/>
                <w:color w:val="auto"/>
              </w:rPr>
            </w:pPr>
          </w:p>
        </w:tc>
        <w:tc>
          <w:tcPr>
            <w:tcW w:w="9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09"/>
        </w:trPr>
        <w:tc>
          <w:tcPr>
            <w:tcW w:w="5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60" w:type="dxa"/>
            <w:vAlign w:val="bottom"/>
          </w:tcPr>
          <w:p>
            <w:pPr>
              <w:ind w:left="40"/>
              <w:spacing w:after="0"/>
              <w:rPr>
                <w:sz w:val="20"/>
                <w:szCs w:val="20"/>
                <w:color w:val="auto"/>
              </w:rPr>
            </w:pPr>
            <w:r>
              <w:rPr>
                <w:rFonts w:ascii="Arial" w:cs="Arial" w:eastAsia="Arial" w:hAnsi="Arial"/>
                <w:sz w:val="16"/>
                <w:szCs w:val="16"/>
                <w:b w:val="1"/>
                <w:bCs w:val="1"/>
                <w:color w:val="auto"/>
              </w:rPr>
              <w:t>Dividends</w:t>
            </w:r>
          </w:p>
        </w:tc>
        <w:tc>
          <w:tcPr>
            <w:tcW w:w="2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b w:val="1"/>
                <w:bCs w:val="1"/>
                <w:color w:val="auto"/>
              </w:rPr>
              <w:t>Ordinary</w:t>
            </w:r>
          </w:p>
        </w:tc>
        <w:tc>
          <w:tcPr>
            <w:tcW w:w="3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60" w:type="dxa"/>
            <w:vAlign w:val="bottom"/>
          </w:tcPr>
          <w:p>
            <w:pPr>
              <w:jc w:val="center"/>
              <w:ind w:right="79"/>
              <w:spacing w:after="0"/>
              <w:rPr>
                <w:sz w:val="20"/>
                <w:szCs w:val="20"/>
                <w:color w:val="auto"/>
              </w:rPr>
            </w:pPr>
            <w:r>
              <w:rPr>
                <w:rFonts w:ascii="Arial" w:cs="Arial" w:eastAsia="Arial" w:hAnsi="Arial"/>
                <w:sz w:val="16"/>
                <w:szCs w:val="16"/>
                <w:b w:val="1"/>
                <w:bCs w:val="1"/>
                <w:color w:val="auto"/>
                <w:w w:val="95"/>
              </w:rPr>
              <w:t>Long-Term</w:t>
            </w:r>
          </w:p>
        </w:tc>
      </w:tr>
      <w:tr>
        <w:trPr>
          <w:trHeight w:val="203"/>
        </w:trPr>
        <w:tc>
          <w:tcPr>
            <w:tcW w:w="5260" w:type="dxa"/>
            <w:vAlign w:val="bottom"/>
          </w:tcPr>
          <w:p>
            <w:pPr>
              <w:spacing w:after="0"/>
              <w:rPr>
                <w:sz w:val="17"/>
                <w:szCs w:val="17"/>
                <w:color w:val="auto"/>
              </w:rPr>
            </w:pPr>
          </w:p>
        </w:tc>
        <w:tc>
          <w:tcPr>
            <w:tcW w:w="1340" w:type="dxa"/>
            <w:vAlign w:val="bottom"/>
            <w:gridSpan w:val="2"/>
          </w:tcPr>
          <w:p>
            <w:pPr>
              <w:ind w:left="320"/>
              <w:spacing w:after="0"/>
              <w:rPr>
                <w:sz w:val="20"/>
                <w:szCs w:val="20"/>
                <w:color w:val="auto"/>
              </w:rPr>
            </w:pPr>
            <w:r>
              <w:rPr>
                <w:rFonts w:ascii="Arial" w:cs="Arial" w:eastAsia="Arial" w:hAnsi="Arial"/>
                <w:sz w:val="16"/>
                <w:szCs w:val="16"/>
                <w:b w:val="1"/>
                <w:bCs w:val="1"/>
                <w:color w:val="auto"/>
              </w:rPr>
              <w:t>Declared Per</w:t>
            </w:r>
          </w:p>
        </w:tc>
        <w:tc>
          <w:tcPr>
            <w:tcW w:w="260" w:type="dxa"/>
            <w:vAlign w:val="bottom"/>
          </w:tcPr>
          <w:p>
            <w:pPr>
              <w:spacing w:after="0"/>
              <w:rPr>
                <w:sz w:val="17"/>
                <w:szCs w:val="17"/>
                <w:color w:val="auto"/>
              </w:rPr>
            </w:pPr>
          </w:p>
        </w:tc>
        <w:tc>
          <w:tcPr>
            <w:tcW w:w="1080" w:type="dxa"/>
            <w:vAlign w:val="bottom"/>
          </w:tcPr>
          <w:p>
            <w:pPr>
              <w:jc w:val="right"/>
              <w:ind w:right="259"/>
              <w:spacing w:after="0"/>
              <w:rPr>
                <w:sz w:val="20"/>
                <w:szCs w:val="20"/>
                <w:color w:val="auto"/>
              </w:rPr>
            </w:pPr>
            <w:r>
              <w:rPr>
                <w:rFonts w:ascii="Arial" w:cs="Arial" w:eastAsia="Arial" w:hAnsi="Arial"/>
                <w:sz w:val="16"/>
                <w:szCs w:val="16"/>
                <w:b w:val="1"/>
                <w:bCs w:val="1"/>
                <w:color w:val="auto"/>
                <w:w w:val="94"/>
              </w:rPr>
              <w:t>Dividends</w:t>
            </w:r>
          </w:p>
        </w:tc>
        <w:tc>
          <w:tcPr>
            <w:tcW w:w="12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6"/>
                <w:szCs w:val="16"/>
                <w:b w:val="1"/>
                <w:bCs w:val="1"/>
                <w:color w:val="auto"/>
                <w:w w:val="90"/>
              </w:rPr>
              <w:t>Income Per</w:t>
            </w:r>
          </w:p>
        </w:tc>
        <w:tc>
          <w:tcPr>
            <w:tcW w:w="340" w:type="dxa"/>
            <w:vAlign w:val="bottom"/>
          </w:tcPr>
          <w:p>
            <w:pPr>
              <w:spacing w:after="0"/>
              <w:rPr>
                <w:sz w:val="17"/>
                <w:szCs w:val="17"/>
                <w:color w:val="auto"/>
              </w:rPr>
            </w:pPr>
          </w:p>
        </w:tc>
        <w:tc>
          <w:tcPr>
            <w:tcW w:w="960" w:type="dxa"/>
            <w:vAlign w:val="bottom"/>
          </w:tcPr>
          <w:p>
            <w:pPr>
              <w:jc w:val="right"/>
              <w:ind w:right="159"/>
              <w:spacing w:after="0"/>
              <w:rPr>
                <w:sz w:val="20"/>
                <w:szCs w:val="20"/>
                <w:color w:val="auto"/>
              </w:rPr>
            </w:pPr>
            <w:r>
              <w:rPr>
                <w:rFonts w:ascii="Arial" w:cs="Arial" w:eastAsia="Arial" w:hAnsi="Arial"/>
                <w:sz w:val="16"/>
                <w:szCs w:val="16"/>
                <w:b w:val="1"/>
                <w:bCs w:val="1"/>
                <w:color w:val="auto"/>
              </w:rPr>
              <w:t>Qualified</w:t>
            </w:r>
          </w:p>
        </w:tc>
        <w:tc>
          <w:tcPr>
            <w:tcW w:w="1220" w:type="dxa"/>
            <w:vAlign w:val="bottom"/>
            <w:gridSpan w:val="2"/>
          </w:tcPr>
          <w:p>
            <w:pPr>
              <w:jc w:val="center"/>
              <w:ind w:left="19"/>
              <w:spacing w:after="0"/>
              <w:rPr>
                <w:sz w:val="20"/>
                <w:szCs w:val="20"/>
                <w:color w:val="auto"/>
              </w:rPr>
            </w:pPr>
            <w:r>
              <w:rPr>
                <w:rFonts w:ascii="Arial" w:cs="Arial" w:eastAsia="Arial" w:hAnsi="Arial"/>
                <w:sz w:val="16"/>
                <w:szCs w:val="16"/>
                <w:b w:val="1"/>
                <w:bCs w:val="1"/>
                <w:color w:val="auto"/>
                <w:w w:val="93"/>
              </w:rPr>
              <w:t>Capital Gains</w:t>
            </w:r>
          </w:p>
        </w:tc>
      </w:tr>
      <w:tr>
        <w:trPr>
          <w:trHeight w:val="210"/>
        </w:trPr>
        <w:tc>
          <w:tcPr>
            <w:tcW w:w="5260" w:type="dxa"/>
            <w:vAlign w:val="bottom"/>
          </w:tcPr>
          <w:p>
            <w:pPr>
              <w:ind w:left="40"/>
              <w:spacing w:after="0"/>
              <w:rPr>
                <w:sz w:val="20"/>
                <w:szCs w:val="20"/>
                <w:color w:val="auto"/>
              </w:rPr>
            </w:pPr>
            <w:r>
              <w:rPr>
                <w:rFonts w:ascii="Arial" w:cs="Arial" w:eastAsia="Arial" w:hAnsi="Arial"/>
                <w:sz w:val="16"/>
                <w:szCs w:val="16"/>
                <w:b w:val="1"/>
                <w:bCs w:val="1"/>
                <w:color w:val="auto"/>
              </w:rPr>
              <w:t>Fiscal Tax Year</w:t>
            </w:r>
          </w:p>
        </w:tc>
        <w:tc>
          <w:tcPr>
            <w:tcW w:w="380" w:type="dxa"/>
            <w:vAlign w:val="bottom"/>
          </w:tcPr>
          <w:p>
            <w:pPr>
              <w:spacing w:after="0"/>
              <w:rPr>
                <w:sz w:val="18"/>
                <w:szCs w:val="18"/>
                <w:color w:val="auto"/>
              </w:rPr>
            </w:pPr>
          </w:p>
        </w:tc>
        <w:tc>
          <w:tcPr>
            <w:tcW w:w="960" w:type="dxa"/>
            <w:vAlign w:val="bottom"/>
          </w:tcPr>
          <w:p>
            <w:pPr>
              <w:ind w:left="200"/>
              <w:spacing w:after="0"/>
              <w:rPr>
                <w:sz w:val="20"/>
                <w:szCs w:val="20"/>
                <w:color w:val="auto"/>
              </w:rPr>
            </w:pPr>
            <w:r>
              <w:rPr>
                <w:rFonts w:ascii="Arial" w:cs="Arial" w:eastAsia="Arial" w:hAnsi="Arial"/>
                <w:sz w:val="16"/>
                <w:szCs w:val="16"/>
                <w:b w:val="1"/>
                <w:bCs w:val="1"/>
                <w:color w:val="auto"/>
              </w:rPr>
              <w:t>Share</w:t>
            </w:r>
          </w:p>
        </w:tc>
        <w:tc>
          <w:tcPr>
            <w:tcW w:w="260" w:type="dxa"/>
            <w:vAlign w:val="bottom"/>
          </w:tcPr>
          <w:p>
            <w:pPr>
              <w:spacing w:after="0"/>
              <w:rPr>
                <w:sz w:val="18"/>
                <w:szCs w:val="18"/>
                <w:color w:val="auto"/>
              </w:rPr>
            </w:pPr>
          </w:p>
        </w:tc>
        <w:tc>
          <w:tcPr>
            <w:tcW w:w="1080" w:type="dxa"/>
            <w:vAlign w:val="bottom"/>
          </w:tcPr>
          <w:p>
            <w:pPr>
              <w:jc w:val="right"/>
              <w:ind w:right="299"/>
              <w:spacing w:after="0"/>
              <w:rPr>
                <w:sz w:val="20"/>
                <w:szCs w:val="20"/>
                <w:color w:val="auto"/>
              </w:rPr>
            </w:pPr>
            <w:r>
              <w:rPr>
                <w:rFonts w:ascii="Arial" w:cs="Arial" w:eastAsia="Arial" w:hAnsi="Arial"/>
                <w:sz w:val="16"/>
                <w:szCs w:val="16"/>
                <w:b w:val="1"/>
                <w:bCs w:val="1"/>
                <w:color w:val="auto"/>
              </w:rPr>
              <w:t>Declared</w:t>
            </w:r>
          </w:p>
        </w:tc>
        <w:tc>
          <w:tcPr>
            <w:tcW w:w="120" w:type="dxa"/>
            <w:vAlign w:val="bottom"/>
          </w:tcPr>
          <w:p>
            <w:pPr>
              <w:spacing w:after="0"/>
              <w:rPr>
                <w:sz w:val="18"/>
                <w:szCs w:val="18"/>
                <w:color w:val="auto"/>
              </w:rPr>
            </w:pPr>
          </w:p>
        </w:tc>
        <w:tc>
          <w:tcPr>
            <w:tcW w:w="840" w:type="dxa"/>
            <w:vAlign w:val="bottom"/>
          </w:tcPr>
          <w:p>
            <w:pPr>
              <w:jc w:val="right"/>
              <w:ind w:right="159"/>
              <w:spacing w:after="0"/>
              <w:rPr>
                <w:sz w:val="20"/>
                <w:szCs w:val="20"/>
                <w:color w:val="auto"/>
              </w:rPr>
            </w:pPr>
            <w:r>
              <w:rPr>
                <w:rFonts w:ascii="Arial" w:cs="Arial" w:eastAsia="Arial" w:hAnsi="Arial"/>
                <w:sz w:val="16"/>
                <w:szCs w:val="16"/>
                <w:b w:val="1"/>
                <w:bCs w:val="1"/>
                <w:color w:val="auto"/>
              </w:rPr>
              <w:t>Share</w:t>
            </w:r>
          </w:p>
        </w:tc>
        <w:tc>
          <w:tcPr>
            <w:tcW w:w="340" w:type="dxa"/>
            <w:vAlign w:val="bottom"/>
          </w:tcPr>
          <w:p>
            <w:pPr>
              <w:spacing w:after="0"/>
              <w:rPr>
                <w:sz w:val="18"/>
                <w:szCs w:val="18"/>
                <w:color w:val="auto"/>
              </w:rPr>
            </w:pPr>
          </w:p>
        </w:tc>
        <w:tc>
          <w:tcPr>
            <w:tcW w:w="960" w:type="dxa"/>
            <w:vAlign w:val="bottom"/>
          </w:tcPr>
          <w:p>
            <w:pPr>
              <w:jc w:val="right"/>
              <w:ind w:right="139"/>
              <w:spacing w:after="0"/>
              <w:rPr>
                <w:sz w:val="20"/>
                <w:szCs w:val="20"/>
                <w:color w:val="auto"/>
              </w:rPr>
            </w:pPr>
            <w:r>
              <w:rPr>
                <w:rFonts w:ascii="Arial" w:cs="Arial" w:eastAsia="Arial" w:hAnsi="Arial"/>
                <w:sz w:val="16"/>
                <w:szCs w:val="16"/>
                <w:b w:val="1"/>
                <w:bCs w:val="1"/>
                <w:color w:val="auto"/>
                <w:w w:val="94"/>
              </w:rPr>
              <w:t>Dividends</w:t>
            </w:r>
          </w:p>
        </w:tc>
        <w:tc>
          <w:tcPr>
            <w:tcW w:w="260" w:type="dxa"/>
            <w:vAlign w:val="bottom"/>
          </w:tcPr>
          <w:p>
            <w:pPr>
              <w:spacing w:after="0"/>
              <w:rPr>
                <w:sz w:val="18"/>
                <w:szCs w:val="18"/>
                <w:color w:val="auto"/>
              </w:rPr>
            </w:pPr>
          </w:p>
        </w:tc>
        <w:tc>
          <w:tcPr>
            <w:tcW w:w="960" w:type="dxa"/>
            <w:vAlign w:val="bottom"/>
          </w:tcPr>
          <w:p>
            <w:pPr>
              <w:jc w:val="center"/>
              <w:ind w:right="79"/>
              <w:spacing w:after="0"/>
              <w:rPr>
                <w:sz w:val="20"/>
                <w:szCs w:val="20"/>
                <w:color w:val="auto"/>
              </w:rPr>
            </w:pPr>
            <w:r>
              <w:rPr>
                <w:rFonts w:ascii="Arial" w:cs="Arial" w:eastAsia="Arial" w:hAnsi="Arial"/>
                <w:sz w:val="16"/>
                <w:szCs w:val="16"/>
                <w:b w:val="1"/>
                <w:bCs w:val="1"/>
                <w:color w:val="auto"/>
                <w:w w:val="90"/>
              </w:rPr>
              <w:t>Per Share</w:t>
            </w:r>
          </w:p>
        </w:tc>
      </w:tr>
      <w:tr>
        <w:trPr>
          <w:trHeight w:val="33"/>
        </w:trPr>
        <w:tc>
          <w:tcPr>
            <w:tcW w:w="526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44"/>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i w:val="1"/>
                <w:iCs w:val="1"/>
                <w:color w:val="auto"/>
              </w:rPr>
              <w:t>8.000 % Series A Cumulative Redeemable Preferred Stock</w:t>
            </w:r>
          </w:p>
        </w:tc>
        <w:tc>
          <w:tcPr>
            <w:tcW w:w="3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r>
      <w:tr>
        <w:trPr>
          <w:trHeight w:val="237"/>
        </w:trPr>
        <w:tc>
          <w:tcPr>
            <w:tcW w:w="5260" w:type="dxa"/>
            <w:vAlign w:val="bottom"/>
          </w:tcPr>
          <w:p>
            <w:pPr>
              <w:ind w:left="200"/>
              <w:spacing w:after="0"/>
              <w:rPr>
                <w:sz w:val="20"/>
                <w:szCs w:val="20"/>
                <w:color w:val="auto"/>
              </w:rPr>
            </w:pPr>
            <w:r>
              <w:rPr>
                <w:rFonts w:ascii="Arial" w:cs="Arial" w:eastAsia="Arial" w:hAnsi="Arial"/>
                <w:sz w:val="16"/>
                <w:szCs w:val="16"/>
                <w:color w:val="auto"/>
              </w:rPr>
              <w:t>Fiscal year 2015</w:t>
            </w:r>
          </w:p>
        </w:tc>
        <w:tc>
          <w:tcPr>
            <w:tcW w:w="38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ind w:left="180"/>
              <w:spacing w:after="0"/>
              <w:rPr>
                <w:sz w:val="20"/>
                <w:szCs w:val="20"/>
                <w:color w:val="auto"/>
              </w:rPr>
            </w:pPr>
            <w:r>
              <w:rPr>
                <w:rFonts w:ascii="Arial" w:cs="Arial" w:eastAsia="Arial" w:hAnsi="Arial"/>
                <w:sz w:val="16"/>
                <w:szCs w:val="16"/>
                <w:color w:val="auto"/>
              </w:rPr>
              <w:t>2.000000</w:t>
            </w: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139"/>
              <w:spacing w:after="0"/>
              <w:rPr>
                <w:sz w:val="20"/>
                <w:szCs w:val="20"/>
                <w:color w:val="auto"/>
              </w:rPr>
            </w:pPr>
            <w:r>
              <w:rPr>
                <w:rFonts w:ascii="Arial" w:cs="Arial" w:eastAsia="Arial" w:hAnsi="Arial"/>
                <w:sz w:val="16"/>
                <w:szCs w:val="16"/>
                <w:color w:val="auto"/>
              </w:rPr>
              <w:t>14</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2.000000</w:t>
            </w:r>
          </w:p>
        </w:tc>
        <w:tc>
          <w:tcPr>
            <w:tcW w:w="34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ind w:left="680"/>
              <w:spacing w:after="0"/>
              <w:rPr>
                <w:sz w:val="20"/>
                <w:szCs w:val="20"/>
                <w:color w:val="auto"/>
              </w:rPr>
            </w:pPr>
            <w:r>
              <w:rPr>
                <w:rFonts w:ascii="Arial" w:cs="Arial" w:eastAsia="Arial" w:hAnsi="Arial"/>
                <w:sz w:val="16"/>
                <w:szCs w:val="16"/>
                <w:color w:val="auto"/>
              </w:rPr>
              <w:t>—</w:t>
            </w:r>
          </w:p>
        </w:tc>
      </w:tr>
      <w:tr>
        <w:trPr>
          <w:trHeight w:val="33"/>
        </w:trPr>
        <w:tc>
          <w:tcPr>
            <w:tcW w:w="5260" w:type="dxa"/>
            <w:vAlign w:val="bottom"/>
          </w:tcPr>
          <w:p>
            <w:pPr>
              <w:spacing w:after="0"/>
              <w:rPr>
                <w:sz w:val="2"/>
                <w:szCs w:val="2"/>
                <w:color w:val="auto"/>
              </w:rPr>
            </w:pPr>
          </w:p>
        </w:tc>
        <w:tc>
          <w:tcPr>
            <w:tcW w:w="380" w:type="dxa"/>
            <w:vAlign w:val="bottom"/>
          </w:tcPr>
          <w:p>
            <w:pPr>
              <w:spacing w:after="0"/>
              <w:rPr>
                <w:sz w:val="2"/>
                <w:szCs w:val="2"/>
                <w:color w:val="auto"/>
              </w:rPr>
            </w:pPr>
          </w:p>
        </w:tc>
        <w:tc>
          <w:tcPr>
            <w:tcW w:w="9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960" w:type="dxa"/>
            <w:vAlign w:val="bottom"/>
          </w:tcPr>
          <w:p>
            <w:pPr>
              <w:spacing w:after="0"/>
              <w:rPr>
                <w:sz w:val="2"/>
                <w:szCs w:val="2"/>
                <w:color w:val="auto"/>
              </w:rPr>
            </w:pPr>
          </w:p>
        </w:tc>
        <w:tc>
          <w:tcPr>
            <w:tcW w:w="26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52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6"/>
                <w:szCs w:val="16"/>
                <w:color w:val="auto"/>
              </w:rPr>
              <w:t>Fiscal year 2014</w:t>
            </w:r>
          </w:p>
        </w:tc>
        <w:tc>
          <w:tcPr>
            <w:tcW w:w="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2.000000</w:t>
            </w:r>
          </w:p>
        </w:tc>
        <w:tc>
          <w:tcPr>
            <w:tcW w:w="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14</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2.000000</w:t>
            </w:r>
          </w:p>
        </w:tc>
        <w:tc>
          <w:tcPr>
            <w:tcW w:w="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tcBorders>
              <w:bottom w:val="single" w:sz="8" w:color="CCEEFF"/>
            </w:tcBorders>
            <w:shd w:val="clear" w:color="auto" w:fill="CCEEFF"/>
          </w:tcPr>
          <w:p>
            <w:pPr>
              <w:ind w:left="680"/>
              <w:spacing w:after="0"/>
              <w:rPr>
                <w:sz w:val="20"/>
                <w:szCs w:val="20"/>
                <w:color w:val="auto"/>
              </w:rPr>
            </w:pPr>
            <w:r>
              <w:rPr>
                <w:rFonts w:ascii="Arial" w:cs="Arial" w:eastAsia="Arial" w:hAnsi="Arial"/>
                <w:sz w:val="16"/>
                <w:szCs w:val="16"/>
                <w:color w:val="auto"/>
              </w:rPr>
              <w:t>—</w:t>
            </w:r>
          </w:p>
        </w:tc>
      </w:tr>
      <w:tr>
        <w:trPr>
          <w:trHeight w:val="237"/>
        </w:trPr>
        <w:tc>
          <w:tcPr>
            <w:tcW w:w="5260" w:type="dxa"/>
            <w:vAlign w:val="bottom"/>
          </w:tcPr>
          <w:p>
            <w:pPr>
              <w:ind w:left="200"/>
              <w:spacing w:after="0"/>
              <w:rPr>
                <w:sz w:val="20"/>
                <w:szCs w:val="20"/>
                <w:color w:val="auto"/>
              </w:rPr>
            </w:pPr>
            <w:r>
              <w:rPr>
                <w:rFonts w:ascii="Arial" w:cs="Arial" w:eastAsia="Arial" w:hAnsi="Arial"/>
                <w:sz w:val="16"/>
                <w:szCs w:val="16"/>
                <w:color w:val="auto"/>
              </w:rPr>
              <w:t>Fiscal year 2013</w:t>
            </w:r>
          </w:p>
        </w:tc>
        <w:tc>
          <w:tcPr>
            <w:tcW w:w="38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ind w:left="180"/>
              <w:spacing w:after="0"/>
              <w:rPr>
                <w:sz w:val="20"/>
                <w:szCs w:val="20"/>
                <w:color w:val="auto"/>
              </w:rPr>
            </w:pPr>
            <w:r>
              <w:rPr>
                <w:rFonts w:ascii="Arial" w:cs="Arial" w:eastAsia="Arial" w:hAnsi="Arial"/>
                <w:sz w:val="16"/>
                <w:szCs w:val="16"/>
                <w:color w:val="auto"/>
              </w:rPr>
              <w:t>2.000000</w:t>
            </w: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139"/>
              <w:spacing w:after="0"/>
              <w:rPr>
                <w:sz w:val="20"/>
                <w:szCs w:val="20"/>
                <w:color w:val="auto"/>
              </w:rPr>
            </w:pPr>
            <w:r>
              <w:rPr>
                <w:rFonts w:ascii="Arial" w:cs="Arial" w:eastAsia="Arial" w:hAnsi="Arial"/>
                <w:sz w:val="16"/>
                <w:szCs w:val="16"/>
                <w:color w:val="auto"/>
              </w:rPr>
              <w:t>14</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2.000000</w:t>
            </w:r>
          </w:p>
        </w:tc>
        <w:tc>
          <w:tcPr>
            <w:tcW w:w="34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0.015980</w:t>
            </w: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ind w:left="680"/>
              <w:spacing w:after="0"/>
              <w:rPr>
                <w:sz w:val="20"/>
                <w:szCs w:val="20"/>
                <w:color w:val="auto"/>
              </w:rPr>
            </w:pPr>
            <w:r>
              <w:rPr>
                <w:rFonts w:ascii="Arial" w:cs="Arial" w:eastAsia="Arial" w:hAnsi="Arial"/>
                <w:sz w:val="16"/>
                <w:szCs w:val="16"/>
                <w:color w:val="auto"/>
              </w:rPr>
              <w:t>—</w:t>
            </w:r>
          </w:p>
        </w:tc>
      </w:tr>
      <w:tr>
        <w:trPr>
          <w:trHeight w:val="33"/>
        </w:trPr>
        <w:tc>
          <w:tcPr>
            <w:tcW w:w="5260" w:type="dxa"/>
            <w:vAlign w:val="bottom"/>
          </w:tcPr>
          <w:p>
            <w:pPr>
              <w:spacing w:after="0"/>
              <w:rPr>
                <w:sz w:val="2"/>
                <w:szCs w:val="2"/>
                <w:color w:val="auto"/>
              </w:rPr>
            </w:pPr>
          </w:p>
        </w:tc>
        <w:tc>
          <w:tcPr>
            <w:tcW w:w="380" w:type="dxa"/>
            <w:vAlign w:val="bottom"/>
          </w:tcPr>
          <w:p>
            <w:pPr>
              <w:spacing w:after="0"/>
              <w:rPr>
                <w:sz w:val="2"/>
                <w:szCs w:val="2"/>
                <w:color w:val="auto"/>
              </w:rPr>
            </w:pPr>
          </w:p>
        </w:tc>
        <w:tc>
          <w:tcPr>
            <w:tcW w:w="9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960" w:type="dxa"/>
            <w:vAlign w:val="bottom"/>
          </w:tcPr>
          <w:p>
            <w:pPr>
              <w:spacing w:after="0"/>
              <w:rPr>
                <w:sz w:val="2"/>
                <w:szCs w:val="2"/>
                <w:color w:val="auto"/>
              </w:rPr>
            </w:pPr>
          </w:p>
        </w:tc>
        <w:tc>
          <w:tcPr>
            <w:tcW w:w="26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20"/>
        </w:trPr>
        <w:tc>
          <w:tcPr>
            <w:tcW w:w="5260" w:type="dxa"/>
            <w:vAlign w:val="bottom"/>
            <w:shd w:val="clear" w:color="auto" w:fill="CCEEFF"/>
          </w:tcPr>
          <w:p>
            <w:pPr>
              <w:ind w:left="40"/>
              <w:spacing w:after="0"/>
              <w:rPr>
                <w:sz w:val="20"/>
                <w:szCs w:val="20"/>
                <w:color w:val="auto"/>
              </w:rPr>
            </w:pPr>
            <w:r>
              <w:rPr>
                <w:rFonts w:ascii="Arial" w:cs="Arial" w:eastAsia="Arial" w:hAnsi="Arial"/>
                <w:sz w:val="16"/>
                <w:szCs w:val="16"/>
                <w:b w:val="1"/>
                <w:bCs w:val="1"/>
                <w:i w:val="1"/>
                <w:iCs w:val="1"/>
                <w:color w:val="auto"/>
                <w:w w:val="93"/>
              </w:rPr>
              <w:t>7.750% Series B Cumulative Redeemable Preferred Stock (Per Depositary</w:t>
            </w:r>
          </w:p>
        </w:tc>
        <w:tc>
          <w:tcPr>
            <w:tcW w:w="3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r>
      <w:tr>
        <w:trPr>
          <w:trHeight w:val="219"/>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i w:val="1"/>
                <w:iCs w:val="1"/>
                <w:color w:val="auto"/>
              </w:rPr>
              <w:t>Share)</w:t>
            </w:r>
          </w:p>
        </w:tc>
        <w:tc>
          <w:tcPr>
            <w:tcW w:w="380" w:type="dxa"/>
            <w:vAlign w:val="bottom"/>
            <w:tcBorders>
              <w:bottom w:val="single" w:sz="8" w:color="CCEEFF"/>
            </w:tcBorders>
            <w:shd w:val="clear" w:color="auto" w:fill="CCEEFF"/>
          </w:tcPr>
          <w:p>
            <w:pPr>
              <w:spacing w:after="0"/>
              <w:rPr>
                <w:sz w:val="19"/>
                <w:szCs w:val="19"/>
                <w:color w:val="auto"/>
              </w:rPr>
            </w:pPr>
          </w:p>
        </w:tc>
        <w:tc>
          <w:tcPr>
            <w:tcW w:w="96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CCEEFF"/>
            </w:tcBorders>
            <w:shd w:val="clear" w:color="auto" w:fill="CCEEFF"/>
          </w:tcPr>
          <w:p>
            <w:pPr>
              <w:spacing w:after="0"/>
              <w:rPr>
                <w:sz w:val="19"/>
                <w:szCs w:val="19"/>
                <w:color w:val="auto"/>
              </w:rPr>
            </w:pPr>
          </w:p>
        </w:tc>
        <w:tc>
          <w:tcPr>
            <w:tcW w:w="108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840" w:type="dxa"/>
            <w:vAlign w:val="bottom"/>
            <w:tcBorders>
              <w:bottom w:val="single" w:sz="8" w:color="CCEEFF"/>
            </w:tcBorders>
            <w:shd w:val="clear" w:color="auto" w:fill="CCEEFF"/>
          </w:tcPr>
          <w:p>
            <w:pPr>
              <w:spacing w:after="0"/>
              <w:rPr>
                <w:sz w:val="19"/>
                <w:szCs w:val="19"/>
                <w:color w:val="auto"/>
              </w:rPr>
            </w:pPr>
          </w:p>
        </w:tc>
        <w:tc>
          <w:tcPr>
            <w:tcW w:w="340" w:type="dxa"/>
            <w:vAlign w:val="bottom"/>
            <w:tcBorders>
              <w:bottom w:val="single" w:sz="8" w:color="CCEEFF"/>
            </w:tcBorders>
            <w:shd w:val="clear" w:color="auto" w:fill="CCEEFF"/>
          </w:tcPr>
          <w:p>
            <w:pPr>
              <w:spacing w:after="0"/>
              <w:rPr>
                <w:sz w:val="19"/>
                <w:szCs w:val="19"/>
                <w:color w:val="auto"/>
              </w:rPr>
            </w:pPr>
          </w:p>
        </w:tc>
        <w:tc>
          <w:tcPr>
            <w:tcW w:w="96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CCEEFF"/>
            </w:tcBorders>
            <w:shd w:val="clear" w:color="auto" w:fill="CCEEFF"/>
          </w:tcPr>
          <w:p>
            <w:pPr>
              <w:spacing w:after="0"/>
              <w:rPr>
                <w:sz w:val="19"/>
                <w:szCs w:val="19"/>
                <w:color w:val="auto"/>
              </w:rPr>
            </w:pPr>
          </w:p>
        </w:tc>
        <w:tc>
          <w:tcPr>
            <w:tcW w:w="960" w:type="dxa"/>
            <w:vAlign w:val="bottom"/>
            <w:tcBorders>
              <w:bottom w:val="single" w:sz="8" w:color="CCEEFF"/>
            </w:tcBorders>
            <w:shd w:val="clear" w:color="auto" w:fill="CCEEFF"/>
          </w:tcPr>
          <w:p>
            <w:pPr>
              <w:spacing w:after="0"/>
              <w:rPr>
                <w:sz w:val="19"/>
                <w:szCs w:val="19"/>
                <w:color w:val="auto"/>
              </w:rPr>
            </w:pPr>
          </w:p>
        </w:tc>
      </w:tr>
      <w:tr>
        <w:trPr>
          <w:trHeight w:val="237"/>
        </w:trPr>
        <w:tc>
          <w:tcPr>
            <w:tcW w:w="5260" w:type="dxa"/>
            <w:vAlign w:val="bottom"/>
          </w:tcPr>
          <w:p>
            <w:pPr>
              <w:ind w:left="200"/>
              <w:spacing w:after="0"/>
              <w:rPr>
                <w:sz w:val="20"/>
                <w:szCs w:val="20"/>
                <w:color w:val="auto"/>
              </w:rPr>
            </w:pPr>
            <w:r>
              <w:rPr>
                <w:rFonts w:ascii="Arial" w:cs="Arial" w:eastAsia="Arial" w:hAnsi="Arial"/>
                <w:sz w:val="16"/>
                <w:szCs w:val="16"/>
                <w:color w:val="auto"/>
              </w:rPr>
              <w:t>Fiscal year 2015</w:t>
            </w:r>
          </w:p>
        </w:tc>
        <w:tc>
          <w:tcPr>
            <w:tcW w:w="38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ind w:left="180"/>
              <w:spacing w:after="0"/>
              <w:rPr>
                <w:sz w:val="20"/>
                <w:szCs w:val="20"/>
                <w:color w:val="auto"/>
              </w:rPr>
            </w:pPr>
            <w:r>
              <w:rPr>
                <w:rFonts w:ascii="Arial" w:cs="Arial" w:eastAsia="Arial" w:hAnsi="Arial"/>
                <w:sz w:val="16"/>
                <w:szCs w:val="16"/>
                <w:color w:val="auto"/>
              </w:rPr>
              <w:t>1.937500</w:t>
            </w: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139"/>
              <w:spacing w:after="0"/>
              <w:rPr>
                <w:sz w:val="20"/>
                <w:szCs w:val="20"/>
                <w:color w:val="auto"/>
              </w:rPr>
            </w:pPr>
            <w:r>
              <w:rPr>
                <w:rFonts w:ascii="Arial" w:cs="Arial" w:eastAsia="Arial" w:hAnsi="Arial"/>
                <w:sz w:val="16"/>
                <w:szCs w:val="16"/>
                <w:color w:val="auto"/>
              </w:rPr>
              <w:t>14</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1.937500</w:t>
            </w:r>
          </w:p>
        </w:tc>
        <w:tc>
          <w:tcPr>
            <w:tcW w:w="34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ind w:left="680"/>
              <w:spacing w:after="0"/>
              <w:rPr>
                <w:sz w:val="20"/>
                <w:szCs w:val="20"/>
                <w:color w:val="auto"/>
              </w:rPr>
            </w:pPr>
            <w:r>
              <w:rPr>
                <w:rFonts w:ascii="Arial" w:cs="Arial" w:eastAsia="Arial" w:hAnsi="Arial"/>
                <w:sz w:val="16"/>
                <w:szCs w:val="16"/>
                <w:color w:val="auto"/>
              </w:rPr>
              <w:t>—</w:t>
            </w:r>
          </w:p>
        </w:tc>
      </w:tr>
      <w:tr>
        <w:trPr>
          <w:trHeight w:val="33"/>
        </w:trPr>
        <w:tc>
          <w:tcPr>
            <w:tcW w:w="5260" w:type="dxa"/>
            <w:vAlign w:val="bottom"/>
          </w:tcPr>
          <w:p>
            <w:pPr>
              <w:spacing w:after="0"/>
              <w:rPr>
                <w:sz w:val="2"/>
                <w:szCs w:val="2"/>
                <w:color w:val="auto"/>
              </w:rPr>
            </w:pPr>
          </w:p>
        </w:tc>
        <w:tc>
          <w:tcPr>
            <w:tcW w:w="380" w:type="dxa"/>
            <w:vAlign w:val="bottom"/>
          </w:tcPr>
          <w:p>
            <w:pPr>
              <w:spacing w:after="0"/>
              <w:rPr>
                <w:sz w:val="2"/>
                <w:szCs w:val="2"/>
                <w:color w:val="auto"/>
              </w:rPr>
            </w:pPr>
          </w:p>
        </w:tc>
        <w:tc>
          <w:tcPr>
            <w:tcW w:w="9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960" w:type="dxa"/>
            <w:vAlign w:val="bottom"/>
          </w:tcPr>
          <w:p>
            <w:pPr>
              <w:spacing w:after="0"/>
              <w:rPr>
                <w:sz w:val="2"/>
                <w:szCs w:val="2"/>
                <w:color w:val="auto"/>
              </w:rPr>
            </w:pPr>
          </w:p>
        </w:tc>
        <w:tc>
          <w:tcPr>
            <w:tcW w:w="26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52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6"/>
                <w:szCs w:val="16"/>
                <w:color w:val="auto"/>
              </w:rPr>
              <w:t>Fiscal year 2014</w:t>
            </w:r>
          </w:p>
        </w:tc>
        <w:tc>
          <w:tcPr>
            <w:tcW w:w="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0.844965</w:t>
            </w:r>
          </w:p>
        </w:tc>
        <w:tc>
          <w:tcPr>
            <w:tcW w:w="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6</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0.844965</w:t>
            </w:r>
          </w:p>
        </w:tc>
        <w:tc>
          <w:tcPr>
            <w:tcW w:w="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tcBorders>
              <w:bottom w:val="single" w:sz="8" w:color="CCEEFF"/>
            </w:tcBorders>
            <w:shd w:val="clear" w:color="auto" w:fill="CCEEFF"/>
          </w:tcPr>
          <w:p>
            <w:pPr>
              <w:ind w:left="680"/>
              <w:spacing w:after="0"/>
              <w:rPr>
                <w:sz w:val="20"/>
                <w:szCs w:val="20"/>
                <w:color w:val="auto"/>
              </w:rPr>
            </w:pPr>
            <w:r>
              <w:rPr>
                <w:rFonts w:ascii="Arial" w:cs="Arial" w:eastAsia="Arial" w:hAnsi="Arial"/>
                <w:sz w:val="16"/>
                <w:szCs w:val="16"/>
                <w:color w:val="auto"/>
              </w:rPr>
              <w:t>—</w:t>
            </w:r>
          </w:p>
        </w:tc>
      </w:tr>
      <w:tr>
        <w:trPr>
          <w:trHeight w:val="237"/>
        </w:trPr>
        <w:tc>
          <w:tcPr>
            <w:tcW w:w="5260" w:type="dxa"/>
            <w:vAlign w:val="bottom"/>
          </w:tcPr>
          <w:p>
            <w:pPr>
              <w:ind w:left="40"/>
              <w:spacing w:after="0"/>
              <w:rPr>
                <w:sz w:val="20"/>
                <w:szCs w:val="20"/>
                <w:color w:val="auto"/>
              </w:rPr>
            </w:pPr>
            <w:r>
              <w:rPr>
                <w:rFonts w:ascii="Arial" w:cs="Arial" w:eastAsia="Arial" w:hAnsi="Arial"/>
                <w:sz w:val="16"/>
                <w:szCs w:val="16"/>
                <w:b w:val="1"/>
                <w:bCs w:val="1"/>
                <w:i w:val="1"/>
                <w:iCs w:val="1"/>
                <w:color w:val="auto"/>
              </w:rPr>
              <w:t>Common Stock</w:t>
            </w:r>
          </w:p>
        </w:tc>
        <w:tc>
          <w:tcPr>
            <w:tcW w:w="3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60" w:type="dxa"/>
            <w:vAlign w:val="bottom"/>
          </w:tcPr>
          <w:p>
            <w:pPr>
              <w:spacing w:after="0"/>
              <w:rPr>
                <w:sz w:val="20"/>
                <w:szCs w:val="20"/>
                <w:color w:val="auto"/>
              </w:rPr>
            </w:pPr>
          </w:p>
        </w:tc>
      </w:tr>
      <w:tr>
        <w:trPr>
          <w:trHeight w:val="33"/>
        </w:trPr>
        <w:tc>
          <w:tcPr>
            <w:tcW w:w="5260" w:type="dxa"/>
            <w:vAlign w:val="bottom"/>
          </w:tcPr>
          <w:p>
            <w:pPr>
              <w:spacing w:after="0"/>
              <w:rPr>
                <w:sz w:val="2"/>
                <w:szCs w:val="2"/>
                <w:color w:val="auto"/>
              </w:rPr>
            </w:pPr>
          </w:p>
        </w:tc>
        <w:tc>
          <w:tcPr>
            <w:tcW w:w="380" w:type="dxa"/>
            <w:vAlign w:val="bottom"/>
          </w:tcPr>
          <w:p>
            <w:pPr>
              <w:spacing w:after="0"/>
              <w:rPr>
                <w:sz w:val="2"/>
                <w:szCs w:val="2"/>
                <w:color w:val="auto"/>
              </w:rPr>
            </w:pPr>
          </w:p>
        </w:tc>
        <w:tc>
          <w:tcPr>
            <w:tcW w:w="9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960" w:type="dxa"/>
            <w:vAlign w:val="bottom"/>
          </w:tcPr>
          <w:p>
            <w:pPr>
              <w:spacing w:after="0"/>
              <w:rPr>
                <w:sz w:val="2"/>
                <w:szCs w:val="2"/>
                <w:color w:val="auto"/>
              </w:rPr>
            </w:pPr>
          </w:p>
        </w:tc>
        <w:tc>
          <w:tcPr>
            <w:tcW w:w="26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52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6"/>
                <w:szCs w:val="16"/>
                <w:color w:val="auto"/>
              </w:rPr>
              <w:t>Fiscal year 2015</w:t>
            </w:r>
          </w:p>
        </w:tc>
        <w:tc>
          <w:tcPr>
            <w:tcW w:w="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2.480000</w:t>
            </w:r>
          </w:p>
        </w:tc>
        <w:tc>
          <w:tcPr>
            <w:tcW w:w="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863</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2.480000</w:t>
            </w:r>
          </w:p>
        </w:tc>
        <w:tc>
          <w:tcPr>
            <w:tcW w:w="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tcBorders>
              <w:bottom w:val="single" w:sz="8" w:color="CCEEFF"/>
            </w:tcBorders>
            <w:shd w:val="clear" w:color="auto" w:fill="CCEEFF"/>
          </w:tcPr>
          <w:p>
            <w:pPr>
              <w:ind w:left="680"/>
              <w:spacing w:after="0"/>
              <w:rPr>
                <w:sz w:val="20"/>
                <w:szCs w:val="20"/>
                <w:color w:val="auto"/>
              </w:rPr>
            </w:pPr>
            <w:r>
              <w:rPr>
                <w:rFonts w:ascii="Arial" w:cs="Arial" w:eastAsia="Arial" w:hAnsi="Arial"/>
                <w:sz w:val="16"/>
                <w:szCs w:val="16"/>
                <w:color w:val="auto"/>
              </w:rPr>
              <w:t>—</w:t>
            </w:r>
          </w:p>
        </w:tc>
      </w:tr>
      <w:tr>
        <w:trPr>
          <w:trHeight w:val="237"/>
        </w:trPr>
        <w:tc>
          <w:tcPr>
            <w:tcW w:w="5260" w:type="dxa"/>
            <w:vAlign w:val="bottom"/>
          </w:tcPr>
          <w:p>
            <w:pPr>
              <w:ind w:left="200"/>
              <w:spacing w:after="0"/>
              <w:rPr>
                <w:sz w:val="20"/>
                <w:szCs w:val="20"/>
                <w:color w:val="auto"/>
              </w:rPr>
            </w:pPr>
            <w:r>
              <w:rPr>
                <w:rFonts w:ascii="Arial" w:cs="Arial" w:eastAsia="Arial" w:hAnsi="Arial"/>
                <w:sz w:val="16"/>
                <w:szCs w:val="16"/>
                <w:color w:val="auto"/>
              </w:rPr>
              <w:t>Fiscal year 2014</w:t>
            </w:r>
          </w:p>
        </w:tc>
        <w:tc>
          <w:tcPr>
            <w:tcW w:w="38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ind w:left="180"/>
              <w:spacing w:after="0"/>
              <w:rPr>
                <w:sz w:val="20"/>
                <w:szCs w:val="20"/>
                <w:color w:val="auto"/>
              </w:rPr>
            </w:pPr>
            <w:r>
              <w:rPr>
                <w:rFonts w:ascii="Arial" w:cs="Arial" w:eastAsia="Arial" w:hAnsi="Arial"/>
                <w:sz w:val="16"/>
                <w:szCs w:val="16"/>
                <w:color w:val="auto"/>
              </w:rPr>
              <w:t>2.610000</w:t>
            </w: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139"/>
              <w:spacing w:after="0"/>
              <w:rPr>
                <w:sz w:val="20"/>
                <w:szCs w:val="20"/>
                <w:color w:val="auto"/>
              </w:rPr>
            </w:pPr>
            <w:r>
              <w:rPr>
                <w:rFonts w:ascii="Arial" w:cs="Arial" w:eastAsia="Arial" w:hAnsi="Arial"/>
                <w:sz w:val="16"/>
                <w:szCs w:val="16"/>
                <w:color w:val="auto"/>
              </w:rPr>
              <w:t>921</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2.610000</w:t>
            </w:r>
          </w:p>
        </w:tc>
        <w:tc>
          <w:tcPr>
            <w:tcW w:w="34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ind w:left="680"/>
              <w:spacing w:after="0"/>
              <w:rPr>
                <w:sz w:val="20"/>
                <w:szCs w:val="20"/>
                <w:color w:val="auto"/>
              </w:rPr>
            </w:pPr>
            <w:r>
              <w:rPr>
                <w:rFonts w:ascii="Arial" w:cs="Arial" w:eastAsia="Arial" w:hAnsi="Arial"/>
                <w:sz w:val="16"/>
                <w:szCs w:val="16"/>
                <w:color w:val="auto"/>
              </w:rPr>
              <w:t>—</w:t>
            </w:r>
          </w:p>
        </w:tc>
      </w:tr>
      <w:tr>
        <w:trPr>
          <w:trHeight w:val="33"/>
        </w:trPr>
        <w:tc>
          <w:tcPr>
            <w:tcW w:w="5260" w:type="dxa"/>
            <w:vAlign w:val="bottom"/>
          </w:tcPr>
          <w:p>
            <w:pPr>
              <w:spacing w:after="0"/>
              <w:rPr>
                <w:sz w:val="2"/>
                <w:szCs w:val="2"/>
                <w:color w:val="auto"/>
              </w:rPr>
            </w:pPr>
          </w:p>
        </w:tc>
        <w:tc>
          <w:tcPr>
            <w:tcW w:w="380" w:type="dxa"/>
            <w:vAlign w:val="bottom"/>
          </w:tcPr>
          <w:p>
            <w:pPr>
              <w:spacing w:after="0"/>
              <w:rPr>
                <w:sz w:val="2"/>
                <w:szCs w:val="2"/>
                <w:color w:val="auto"/>
              </w:rPr>
            </w:pPr>
          </w:p>
        </w:tc>
        <w:tc>
          <w:tcPr>
            <w:tcW w:w="9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960" w:type="dxa"/>
            <w:vAlign w:val="bottom"/>
          </w:tcPr>
          <w:p>
            <w:pPr>
              <w:spacing w:after="0"/>
              <w:rPr>
                <w:sz w:val="2"/>
                <w:szCs w:val="2"/>
                <w:color w:val="auto"/>
              </w:rPr>
            </w:pPr>
          </w:p>
        </w:tc>
        <w:tc>
          <w:tcPr>
            <w:tcW w:w="26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37"/>
        </w:trPr>
        <w:tc>
          <w:tcPr>
            <w:tcW w:w="5260" w:type="dxa"/>
            <w:vAlign w:val="bottom"/>
            <w:shd w:val="clear" w:color="auto" w:fill="CCEEFF"/>
          </w:tcPr>
          <w:p>
            <w:pPr>
              <w:ind w:left="200"/>
              <w:spacing w:after="0"/>
              <w:rPr>
                <w:sz w:val="20"/>
                <w:szCs w:val="20"/>
                <w:color w:val="auto"/>
              </w:rPr>
            </w:pPr>
            <w:r>
              <w:rPr>
                <w:rFonts w:ascii="Arial" w:cs="Arial" w:eastAsia="Arial" w:hAnsi="Arial"/>
                <w:sz w:val="16"/>
                <w:szCs w:val="16"/>
                <w:color w:val="auto"/>
              </w:rPr>
              <w:t>Fiscal year 2013</w:t>
            </w:r>
          </w:p>
        </w:tc>
        <w:tc>
          <w:tcPr>
            <w:tcW w:w="3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ind w:left="180"/>
              <w:spacing w:after="0"/>
              <w:rPr>
                <w:sz w:val="20"/>
                <w:szCs w:val="20"/>
                <w:color w:val="auto"/>
              </w:rPr>
            </w:pPr>
            <w:r>
              <w:rPr>
                <w:rFonts w:ascii="Arial" w:cs="Arial" w:eastAsia="Arial" w:hAnsi="Arial"/>
                <w:sz w:val="16"/>
                <w:szCs w:val="16"/>
                <w:color w:val="auto"/>
              </w:rPr>
              <w:t>3.750000</w:t>
            </w:r>
          </w:p>
        </w:tc>
        <w:tc>
          <w:tcPr>
            <w:tcW w:w="2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8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1,453</w:t>
            </w: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3.750000</w:t>
            </w:r>
          </w:p>
        </w:tc>
        <w:tc>
          <w:tcPr>
            <w:tcW w:w="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0.029963</w:t>
            </w:r>
          </w:p>
        </w:tc>
        <w:tc>
          <w:tcPr>
            <w:tcW w:w="2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ind w:left="680"/>
              <w:spacing w:after="0"/>
              <w:rPr>
                <w:sz w:val="20"/>
                <w:szCs w:val="20"/>
                <w:color w:val="auto"/>
              </w:rPr>
            </w:pPr>
            <w:r>
              <w:rPr>
                <w:rFonts w:ascii="Arial" w:cs="Arial" w:eastAsia="Arial" w:hAnsi="Arial"/>
                <w:sz w:val="16"/>
                <w:szCs w:val="16"/>
                <w:color w:val="auto"/>
              </w:rPr>
              <w:t>—</w:t>
            </w:r>
          </w:p>
        </w:tc>
      </w:tr>
      <w:tr>
        <w:trPr>
          <w:trHeight w:val="33"/>
        </w:trPr>
        <w:tc>
          <w:tcPr>
            <w:tcW w:w="5260" w:type="dxa"/>
            <w:vAlign w:val="bottom"/>
            <w:shd w:val="clear" w:color="auto" w:fill="CCEEFF"/>
          </w:tcPr>
          <w:p>
            <w:pPr>
              <w:spacing w:after="0"/>
              <w:rPr>
                <w:sz w:val="2"/>
                <w:szCs w:val="2"/>
                <w:color w:val="auto"/>
              </w:rPr>
            </w:pPr>
          </w:p>
        </w:tc>
        <w:tc>
          <w:tcPr>
            <w:tcW w:w="38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84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r>
    </w:tbl>
    <w:p>
      <w:pPr>
        <w:spacing w:after="0" w:line="310"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As of December 31, 2015, we had distributed all of our estimated taxable income for fiscal year 2015. Accordingly, we do not expect to incur an income tax liability on our 2015 taxable income. For fiscal years 2014 and 2013, we distributed all of our taxable income within the limits prescribed by the Internal Revenue Code. Accordingly, we did not incur an income tax liability on our taxable income for such periods.</w:t>
      </w:r>
    </w:p>
    <w:p>
      <w:pPr>
        <w:spacing w:after="0" w:line="127"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For fiscal year 2013, we did not distribute the required minimum amount of taxable income pursuant to federal excise tax requirements, as described in Note 2, and consequently we accrued an excise tax of $3 million, which is included in our net income tax provision on our accompanying consolidated statements of operations and comprehensive income. Additionally, for fiscal year 2013, we recorded an income tax provision of $10 million, attributable to our TRS, which is included in our net income tax provision on our accompanying consolidated statements of comprehensive income. The statutory combined federal and state corporate tax rate for our TRS was 39.5% for fiscal year 2013. For fiscal years 2015 and 2014, we did not record an income tax provision attributable to our TRS.</w:t>
      </w:r>
    </w:p>
    <w:p>
      <w:pPr>
        <w:spacing w:after="0" w:line="139"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Based on our analysis of any potential uncertain income tax positions, we concluded that we do not have any uncertain tax positions that meet the recognition or measurement criteria of ASC 740 as of December 31, 2015, 2014 and 2013. Our tax returns for tax years 2012 and forward are open to examination by the IRS. In the event that we incur income tax related interest and penalties, our policy is to classify them as a component of provision for income taxes.</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101</w:t>
      </w:r>
    </w:p>
    <w:p>
      <w:pPr>
        <w:sectPr>
          <w:pgSz w:w="11900" w:h="16838" w:orient="portrait"/>
          <w:cols w:equalWidth="0" w:num="1">
            <w:col w:w="11420"/>
          </w:cols>
          <w:pgMar w:left="240" w:top="746" w:right="239" w:bottom="1440" w:gutter="0" w:footer="0" w:header="0"/>
        </w:sectPr>
      </w:pPr>
    </w:p>
    <w:bookmarkStart w:id="102" w:name="page103"/>
    <w:bookmarkEnd w:id="102"/>
    <w:p>
      <w:pPr>
        <w:spacing w:after="0"/>
        <w:rPr>
          <w:sz w:val="20"/>
          <w:szCs w:val="20"/>
          <w:color w:val="auto"/>
        </w:rPr>
      </w:pPr>
      <w:r>
        <w:rPr>
          <w:rFonts w:ascii="Arial" w:cs="Arial" w:eastAsia="Arial" w:hAnsi="Arial"/>
          <w:sz w:val="18"/>
          <w:szCs w:val="18"/>
          <w:b w:val="1"/>
          <w:bCs w:val="1"/>
          <w:color w:val="auto"/>
        </w:rPr>
        <w:t>Note 10. Stockholders' Equity</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Preferred Stock</w:t>
      </w:r>
    </w:p>
    <w:p>
      <w:pPr>
        <w:spacing w:after="0" w:line="171"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Pursuant to our amended and restated certificate of incorporation, we are authorized to designate and issue up to 10.0 million shares of preferred stock in one or more classes or series. Our Board of Directors has designated 6.9 million shares as 8.000% Series A Cumulative Redeemable Preferred Stock ("Series A Preferred Stock") and 8,050 shares as 7.750% Series B Cumulative Redeemable Preferred Stock ("Series B Preferred Stock"). As of December 31, 2015, we had 3.1 million shares of authorized but unissued shares of preferred stock. Our Board of Directors may designate additional series of authorized preferred stock ranking junior to or in parity with the Series A or Series B Preferred Stock or designate additional shares of the Series A or Series B Preferred Stock and authorize the issuance of such shares.</w:t>
      </w:r>
    </w:p>
    <w:p>
      <w:pPr>
        <w:spacing w:after="0" w:line="139"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In April 2012, we completed a public offering in which 6.9 million shares of our Series A Preferred Stock were sold to the underwriters at a price of $24.2125 per share for proceeds, net of offering expenses, of $167 million. In May 2014, we completed a public offering in which 7.0 million depositary shares were sold to the underwriters at a price of $24.2125 per depositary share for proceeds, net of offering expenses, of $169 million. Each depositary share represents a 1/1,000th interest in a share of our Series B Preferred Stock.</w:t>
      </w:r>
    </w:p>
    <w:p>
      <w:pPr>
        <w:spacing w:after="0" w:line="133" w:lineRule="exact"/>
        <w:rPr>
          <w:sz w:val="20"/>
          <w:szCs w:val="20"/>
          <w:color w:val="auto"/>
        </w:rPr>
      </w:pPr>
    </w:p>
    <w:p>
      <w:pPr>
        <w:jc w:val="both"/>
        <w:ind w:firstLine="405"/>
        <w:spacing w:after="0" w:line="253" w:lineRule="auto"/>
        <w:rPr>
          <w:sz w:val="20"/>
          <w:szCs w:val="20"/>
          <w:color w:val="auto"/>
        </w:rPr>
      </w:pPr>
      <w:r>
        <w:rPr>
          <w:rFonts w:ascii="Arial" w:cs="Arial" w:eastAsia="Arial" w:hAnsi="Arial"/>
          <w:sz w:val="18"/>
          <w:szCs w:val="18"/>
          <w:color w:val="auto"/>
        </w:rPr>
        <w:t>Our Series A and Series B Preferred Stock have no stated maturity, are not subject to any sinking fund or mandatory redemption and rank on parity with each other. Under certain circumstances upon a change of control, our Series A and Series B Preferred Stock are convertible to shares of our common stock. Holders of our Series A Preferred Stock and depository shares underlying our Series B Preferred Stock have no voting rights, except under limited conditions, and are entitled to receive cumulative cash dividends at a rate of 8.000% and 7.750% per annum, respectively, of their $25.00 per share and $25.00 per depositary share liquidation preference, respectively, before holders of our common stock are entitled to receive any dividends. Shares of our Series A Preferred Stock and depository shares underlying our Series B Preferred Stock are each redeemable at $25.00 per share, plus accumulated and unpaid dividends (whether or not declared) exclusively at our option commencing on April 5, 2017 and May 8, 2019, respectively, or earlier under certain circumstances intended to preserve our qualification as a REIT for federal income tax purposes. Dividends are payable quarterly in arrears on the 15th day of each January, April, July and October. As of December 31, 2015, we had declared all required quarterly dividends on our Series A and Series B Preferred Stock.</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Common Stock Repurchase Program</w:t>
      </w:r>
    </w:p>
    <w:p>
      <w:pPr>
        <w:spacing w:after="0" w:line="171" w:lineRule="exact"/>
        <w:rPr>
          <w:sz w:val="20"/>
          <w:szCs w:val="20"/>
          <w:color w:val="auto"/>
        </w:rPr>
      </w:pPr>
    </w:p>
    <w:p>
      <w:pPr>
        <w:jc w:val="both"/>
        <w:ind w:firstLine="405"/>
        <w:spacing w:after="0" w:line="289" w:lineRule="auto"/>
        <w:rPr>
          <w:sz w:val="20"/>
          <w:szCs w:val="20"/>
          <w:color w:val="auto"/>
        </w:rPr>
      </w:pPr>
      <w:r>
        <w:rPr>
          <w:rFonts w:ascii="Arial" w:cs="Arial" w:eastAsia="Arial" w:hAnsi="Arial"/>
          <w:sz w:val="16"/>
          <w:szCs w:val="16"/>
          <w:color w:val="auto"/>
        </w:rPr>
        <w:t>Our Board of Directors adopted a program that authorizes repurchases of our common stock up to $2 billion. In October 2015, our Board of Directors extended its authorization through December 31, 2016. Shares of our common stock may be purchased in the open market, including through block purchases, or through privately negotiated transactions, or pursuant to any trading plan that may be adopted in accordance with Rule 10b5-1 of the Securities Exchange Act of 1934, as amended. The timing, manner, price and amount of any repurchases will be determined at our discretion and the program may be suspended, terminated or modified at any time for any reason. Among other factors, we intend to only consider repurchasing shares of our common stock when the purchase price is less than our estimate of our current net asset value per common share. Generally, when we repurchase our common stock at a discount to our net asset value, the net asset value of our remaining shares of common stock outstanding increases. In addition, we do not intend to repurchase any shares from directors, officers or other affiliates. The program does not obligate us to acquire any specific number of shares, and all repurchases will be made in accordance with Rule 10b-18, which sets certain restrictions on the method, timing, price and volume of stock repurchases.</w:t>
      </w:r>
    </w:p>
    <w:p>
      <w:pPr>
        <w:spacing w:after="0" w:line="113" w:lineRule="exact"/>
        <w:rPr>
          <w:sz w:val="20"/>
          <w:szCs w:val="20"/>
          <w:color w:val="auto"/>
        </w:rPr>
      </w:pPr>
    </w:p>
    <w:p>
      <w:pPr>
        <w:jc w:val="both"/>
        <w:ind w:firstLine="405"/>
        <w:spacing w:after="0" w:line="286" w:lineRule="auto"/>
        <w:rPr>
          <w:sz w:val="20"/>
          <w:szCs w:val="20"/>
          <w:color w:val="auto"/>
        </w:rPr>
      </w:pPr>
      <w:r>
        <w:rPr>
          <w:rFonts w:ascii="Arial" w:cs="Arial" w:eastAsia="Arial" w:hAnsi="Arial"/>
          <w:sz w:val="17"/>
          <w:szCs w:val="17"/>
          <w:color w:val="auto"/>
        </w:rPr>
        <w:t>During fiscal years 2015, 2014 and 2013, we repurchased approximately 15.3 million, 3.4 million and 40.2 million shares, of our common stock, respectively, at an average repurchase price of $18.58, $22.10 and $21.25 per share, respectively, including expenses, totaling $285 million, $74 million and $856 million, respectively. As of December 31, 2015, the total remaining amount authorized for repurchases of our common stock was $707 million.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Follow-On Equity Offerings</w:t>
      </w:r>
    </w:p>
    <w:p>
      <w:pPr>
        <w:spacing w:after="0" w:line="225" w:lineRule="exact"/>
        <w:rPr>
          <w:sz w:val="20"/>
          <w:szCs w:val="20"/>
          <w:color w:val="auto"/>
        </w:rPr>
      </w:pPr>
    </w:p>
    <w:p>
      <w:pPr>
        <w:ind w:right="180" w:firstLine="405"/>
        <w:spacing w:after="0" w:line="342" w:lineRule="auto"/>
        <w:rPr>
          <w:sz w:val="20"/>
          <w:szCs w:val="20"/>
          <w:color w:val="auto"/>
        </w:rPr>
      </w:pPr>
      <w:r>
        <w:rPr>
          <w:rFonts w:ascii="Arial" w:cs="Arial" w:eastAsia="Arial" w:hAnsi="Arial"/>
          <w:sz w:val="16"/>
          <w:szCs w:val="16"/>
          <w:color w:val="auto"/>
        </w:rPr>
        <w:t>During fiscal year 2013, we completed a follow-on public offering of 57.5 million at an average price of $31.34 per share, for total proceeds of $1,803 million, net of offering costs. During fiscal years 2015 and 2014, we did not complete any follow-on public offerings of shares of our common stock.</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At-the-Market Offering Program</w:t>
      </w:r>
    </w:p>
    <w:p>
      <w:pPr>
        <w:spacing w:after="0" w:line="17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We have entered into sales agreements with sales agents to publicly offer and sell shares of our common stock in privately negotiated and/or at-the-market transactions from time to time. During fiscal years 2015, 2014 and 2013, there were no shares issued under this program. As of December 31, 2015, 16.7 million shares remain available for issuance under this program.</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102</w:t>
      </w:r>
    </w:p>
    <w:p>
      <w:pPr>
        <w:sectPr>
          <w:pgSz w:w="11900" w:h="16838" w:orient="portrait"/>
          <w:cols w:equalWidth="0" w:num="1">
            <w:col w:w="11420"/>
          </w:cols>
          <w:pgMar w:left="240" w:top="580" w:right="239" w:bottom="1440" w:gutter="0" w:footer="0" w:header="0"/>
        </w:sectPr>
      </w:pPr>
    </w:p>
    <w:bookmarkStart w:id="103" w:name="page104"/>
    <w:bookmarkEnd w:id="103"/>
    <w:p>
      <w:pPr>
        <w:spacing w:after="0"/>
        <w:rPr>
          <w:sz w:val="20"/>
          <w:szCs w:val="20"/>
          <w:color w:val="auto"/>
        </w:rPr>
      </w:pPr>
      <w:r>
        <w:rPr>
          <w:rFonts w:ascii="Arial" w:cs="Arial" w:eastAsia="Arial" w:hAnsi="Arial"/>
          <w:sz w:val="18"/>
          <w:szCs w:val="18"/>
          <w:b w:val="1"/>
          <w:bCs w:val="1"/>
          <w:i w:val="1"/>
          <w:iCs w:val="1"/>
          <w:color w:val="auto"/>
        </w:rPr>
        <w:t>Dividend Reinvestment and Direct Stock Purchase Plan</w:t>
      </w:r>
    </w:p>
    <w:p>
      <w:pPr>
        <w:spacing w:after="0" w:line="90"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We sponsor a dividend reinvestment and direct stock purchase plan through which stockholders may purchase additional shares of our common stock by reinvesting some or all of the cash dividends received on shares of our common stock. Stockholders may also make optional cash purchases of shares of our common stock subject to certain limitations detailed in the plan prospectus. During fiscal years 2015, 2014 and 2013, there were no shares issued under the plan. As of December 31, 2015, 21.7 million shares remain available for issuance under the plan.</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Accumulated Other Comprehensive Income (Loss)</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summarizes changes to accumulated OCI for fiscal years 2015, 2014 and 2013 (in millions):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5"/>
              </w:rPr>
              <w:t>Net Unrealized Gain</w:t>
            </w:r>
          </w:p>
        </w:tc>
        <w:tc>
          <w:tcPr>
            <w:tcW w:w="140" w:type="dxa"/>
            <w:vAlign w:val="bottom"/>
          </w:tcPr>
          <w:p>
            <w:pPr>
              <w:spacing w:after="0"/>
              <w:rPr>
                <w:sz w:val="14"/>
                <w:szCs w:val="14"/>
                <w:color w:val="auto"/>
              </w:rPr>
            </w:pPr>
          </w:p>
        </w:tc>
        <w:tc>
          <w:tcPr>
            <w:tcW w:w="12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Net Unrealized</w:t>
            </w:r>
          </w:p>
        </w:tc>
        <w:tc>
          <w:tcPr>
            <w:tcW w:w="1240" w:type="dxa"/>
            <w:vAlign w:val="bottom"/>
            <w:gridSpan w:val="2"/>
          </w:tcPr>
          <w:p>
            <w:pPr>
              <w:ind w:left="40"/>
              <w:spacing w:after="0"/>
              <w:rPr>
                <w:sz w:val="20"/>
                <w:szCs w:val="20"/>
                <w:color w:val="auto"/>
              </w:rPr>
            </w:pPr>
            <w:r>
              <w:rPr>
                <w:rFonts w:ascii="Arial" w:cs="Arial" w:eastAsia="Arial" w:hAnsi="Arial"/>
                <w:sz w:val="14"/>
                <w:szCs w:val="14"/>
                <w:b w:val="1"/>
                <w:bCs w:val="1"/>
                <w:color w:val="auto"/>
                <w:w w:val="94"/>
              </w:rPr>
              <w:t>Total Accumulated</w:t>
            </w:r>
          </w:p>
        </w:tc>
        <w:tc>
          <w:tcPr>
            <w:tcW w:w="0" w:type="dxa"/>
            <w:vAlign w:val="bottom"/>
          </w:tcPr>
          <w:p>
            <w:pPr>
              <w:spacing w:after="0"/>
              <w:rPr>
                <w:sz w:val="1"/>
                <w:szCs w:val="1"/>
                <w:color w:val="auto"/>
              </w:rPr>
            </w:pPr>
          </w:p>
        </w:tc>
      </w:tr>
      <w:tr>
        <w:trPr>
          <w:trHeight w:val="149"/>
        </w:trPr>
        <w:tc>
          <w:tcPr>
            <w:tcW w:w="70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Accumulated Other Comprehensive Income (Loss)</w:t>
            </w:r>
          </w:p>
        </w:tc>
        <w:tc>
          <w:tcPr>
            <w:tcW w:w="120" w:type="dxa"/>
            <w:vAlign w:val="bottom"/>
            <w:vMerge w:val="restart"/>
          </w:tcPr>
          <w:p>
            <w:pPr>
              <w:spacing w:after="0"/>
              <w:rPr>
                <w:sz w:val="12"/>
                <w:szCs w:val="12"/>
                <w:color w:val="auto"/>
              </w:rPr>
            </w:pPr>
          </w:p>
        </w:tc>
        <w:tc>
          <w:tcPr>
            <w:tcW w:w="120" w:type="dxa"/>
            <w:vAlign w:val="bottom"/>
          </w:tcPr>
          <w:p>
            <w:pPr>
              <w:spacing w:after="0"/>
              <w:rPr>
                <w:sz w:val="12"/>
                <w:szCs w:val="12"/>
                <w:color w:val="auto"/>
              </w:rPr>
            </w:pPr>
          </w:p>
        </w:tc>
        <w:tc>
          <w:tcPr>
            <w:tcW w:w="15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(Loss) on Available-</w:t>
            </w:r>
          </w:p>
        </w:tc>
        <w:tc>
          <w:tcPr>
            <w:tcW w:w="140" w:type="dxa"/>
            <w:vAlign w:val="bottom"/>
          </w:tcPr>
          <w:p>
            <w:pPr>
              <w:spacing w:after="0"/>
              <w:rPr>
                <w:sz w:val="12"/>
                <w:szCs w:val="12"/>
                <w:color w:val="auto"/>
              </w:rPr>
            </w:pPr>
          </w:p>
        </w:tc>
        <w:tc>
          <w:tcPr>
            <w:tcW w:w="12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Gain (Loss) on</w:t>
            </w:r>
          </w:p>
        </w:tc>
        <w:tc>
          <w:tcPr>
            <w:tcW w:w="240" w:type="dxa"/>
            <w:vAlign w:val="bottom"/>
          </w:tcPr>
          <w:p>
            <w:pPr>
              <w:spacing w:after="0"/>
              <w:rPr>
                <w:sz w:val="12"/>
                <w:szCs w:val="12"/>
                <w:color w:val="auto"/>
              </w:rPr>
            </w:pPr>
          </w:p>
        </w:tc>
        <w:tc>
          <w:tcPr>
            <w:tcW w:w="1000" w:type="dxa"/>
            <w:vAlign w:val="bottom"/>
          </w:tcPr>
          <w:p>
            <w:pPr>
              <w:jc w:val="right"/>
              <w:ind w:right="400"/>
              <w:spacing w:after="0" w:line="149" w:lineRule="exact"/>
              <w:rPr>
                <w:sz w:val="20"/>
                <w:szCs w:val="20"/>
                <w:color w:val="auto"/>
              </w:rPr>
            </w:pPr>
            <w:r>
              <w:rPr>
                <w:rFonts w:ascii="Arial" w:cs="Arial" w:eastAsia="Arial" w:hAnsi="Arial"/>
                <w:sz w:val="14"/>
                <w:szCs w:val="14"/>
                <w:b w:val="1"/>
                <w:bCs w:val="1"/>
                <w:color w:val="auto"/>
              </w:rPr>
              <w:t>OCI</w:t>
            </w:r>
          </w:p>
        </w:tc>
        <w:tc>
          <w:tcPr>
            <w:tcW w:w="0" w:type="dxa"/>
            <w:vAlign w:val="bottom"/>
          </w:tcPr>
          <w:p>
            <w:pPr>
              <w:spacing w:after="0"/>
              <w:rPr>
                <w:sz w:val="1"/>
                <w:szCs w:val="1"/>
                <w:color w:val="auto"/>
              </w:rPr>
            </w:pPr>
          </w:p>
        </w:tc>
      </w:tr>
      <w:tr>
        <w:trPr>
          <w:trHeight w:val="192"/>
        </w:trPr>
        <w:tc>
          <w:tcPr>
            <w:tcW w:w="70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tcPr>
          <w:p>
            <w:pPr>
              <w:jc w:val="center"/>
              <w:ind w:right="21"/>
              <w:spacing w:after="0"/>
              <w:rPr>
                <w:sz w:val="20"/>
                <w:szCs w:val="20"/>
                <w:color w:val="auto"/>
              </w:rPr>
            </w:pPr>
            <w:r>
              <w:rPr>
                <w:rFonts w:ascii="Arial" w:cs="Arial" w:eastAsia="Arial" w:hAnsi="Arial"/>
                <w:sz w:val="14"/>
                <w:szCs w:val="14"/>
                <w:b w:val="1"/>
                <w:bCs w:val="1"/>
                <w:color w:val="auto"/>
                <w:w w:val="96"/>
              </w:rPr>
              <w:t>for-Sale MBS</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41"/>
              <w:spacing w:after="0"/>
              <w:rPr>
                <w:sz w:val="20"/>
                <w:szCs w:val="20"/>
                <w:color w:val="auto"/>
              </w:rPr>
            </w:pPr>
            <w:r>
              <w:rPr>
                <w:rFonts w:ascii="Arial" w:cs="Arial" w:eastAsia="Arial" w:hAnsi="Arial"/>
                <w:sz w:val="14"/>
                <w:szCs w:val="14"/>
                <w:b w:val="1"/>
                <w:bCs w:val="1"/>
                <w:color w:val="auto"/>
                <w:w w:val="85"/>
              </w:rPr>
              <w:t>Swaps</w:t>
            </w: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300"/>
              <w:spacing w:after="0"/>
              <w:rPr>
                <w:sz w:val="20"/>
                <w:szCs w:val="20"/>
                <w:color w:val="auto"/>
              </w:rPr>
            </w:pPr>
            <w:r>
              <w:rPr>
                <w:rFonts w:ascii="Arial" w:cs="Arial" w:eastAsia="Arial" w:hAnsi="Arial"/>
                <w:sz w:val="14"/>
                <w:szCs w:val="14"/>
                <w:b w:val="1"/>
                <w:bCs w:val="1"/>
                <w:color w:val="auto"/>
              </w:rPr>
              <w:t>Balance</w:t>
            </w:r>
          </w:p>
        </w:tc>
        <w:tc>
          <w:tcPr>
            <w:tcW w:w="0" w:type="dxa"/>
            <w:vAlign w:val="bottom"/>
          </w:tcPr>
          <w:p>
            <w:pPr>
              <w:spacing w:after="0"/>
              <w:rPr>
                <w:sz w:val="1"/>
                <w:szCs w:val="1"/>
                <w:color w:val="auto"/>
              </w:rPr>
            </w:pPr>
          </w:p>
        </w:tc>
      </w:tr>
      <w:tr>
        <w:trPr>
          <w:trHeight w:val="250"/>
        </w:trPr>
        <w:tc>
          <w:tcPr>
            <w:tcW w:w="72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b w:val="1"/>
                <w:bCs w:val="1"/>
                <w:color w:val="auto"/>
              </w:rPr>
              <w:t>Fiscal Year 2015</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200" w:type="dxa"/>
            <w:vAlign w:val="bottom"/>
            <w:gridSpan w:val="2"/>
          </w:tcPr>
          <w:p>
            <w:pPr>
              <w:ind w:left="40"/>
              <w:spacing w:after="0"/>
              <w:rPr>
                <w:sz w:val="20"/>
                <w:szCs w:val="20"/>
                <w:color w:val="auto"/>
              </w:rPr>
            </w:pPr>
            <w:r>
              <w:rPr>
                <w:rFonts w:ascii="Arial" w:cs="Arial" w:eastAsia="Arial" w:hAnsi="Arial"/>
                <w:sz w:val="16"/>
                <w:szCs w:val="16"/>
                <w:color w:val="auto"/>
              </w:rPr>
              <w:t>Balance as of December 31, 2014</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41"/>
              <w:spacing w:after="0"/>
              <w:rPr>
                <w:sz w:val="20"/>
                <w:szCs w:val="20"/>
                <w:color w:val="auto"/>
              </w:rPr>
            </w:pPr>
            <w:r>
              <w:rPr>
                <w:rFonts w:ascii="Arial" w:cs="Arial" w:eastAsia="Arial" w:hAnsi="Arial"/>
                <w:sz w:val="16"/>
                <w:szCs w:val="16"/>
                <w:color w:val="auto"/>
              </w:rPr>
              <w:t>570</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100" w:type="dxa"/>
            <w:vAlign w:val="bottom"/>
          </w:tcPr>
          <w:p>
            <w:pPr>
              <w:jc w:val="right"/>
              <w:spacing w:after="0"/>
              <w:rPr>
                <w:sz w:val="20"/>
                <w:szCs w:val="20"/>
                <w:color w:val="auto"/>
              </w:rPr>
            </w:pPr>
            <w:r>
              <w:rPr>
                <w:rFonts w:ascii="Arial" w:cs="Arial" w:eastAsia="Arial" w:hAnsi="Arial"/>
                <w:sz w:val="16"/>
                <w:szCs w:val="16"/>
                <w:color w:val="auto"/>
              </w:rPr>
              <w:t>(140)</w:t>
            </w:r>
          </w:p>
        </w:tc>
        <w:tc>
          <w:tcPr>
            <w:tcW w:w="120" w:type="dxa"/>
            <w:vAlign w:val="bottom"/>
          </w:tcPr>
          <w:p>
            <w:pPr>
              <w:spacing w:after="0"/>
              <w:rPr>
                <w:sz w:val="20"/>
                <w:szCs w:val="20"/>
                <w:color w:val="auto"/>
              </w:rPr>
            </w:pPr>
          </w:p>
        </w:tc>
        <w:tc>
          <w:tcPr>
            <w:tcW w:w="240" w:type="dxa"/>
            <w:vAlign w:val="bottom"/>
          </w:tcPr>
          <w:p>
            <w:pPr>
              <w:ind w:left="20"/>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430</w:t>
            </w:r>
          </w:p>
        </w:tc>
        <w:tc>
          <w:tcPr>
            <w:tcW w:w="0" w:type="dxa"/>
            <w:vAlign w:val="bottom"/>
          </w:tcPr>
          <w:p>
            <w:pPr>
              <w:spacing w:after="0"/>
              <w:rPr>
                <w:sz w:val="1"/>
                <w:szCs w:val="1"/>
                <w:color w:val="auto"/>
              </w:rPr>
            </w:pPr>
          </w:p>
        </w:tc>
      </w:tr>
      <w:tr>
        <w:trPr>
          <w:trHeight w:val="33"/>
        </w:trPr>
        <w:tc>
          <w:tcPr>
            <w:tcW w:w="7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OCI before reclassifications</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(620)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(620)</w:t>
            </w:r>
          </w:p>
        </w:tc>
        <w:tc>
          <w:tcPr>
            <w:tcW w:w="0" w:type="dxa"/>
            <w:vAlign w:val="bottom"/>
          </w:tcPr>
          <w:p>
            <w:pPr>
              <w:spacing w:after="0"/>
              <w:rPr>
                <w:sz w:val="1"/>
                <w:szCs w:val="1"/>
                <w:color w:val="auto"/>
              </w:rPr>
            </w:pPr>
          </w:p>
        </w:tc>
      </w:tr>
      <w:tr>
        <w:trPr>
          <w:trHeight w:val="237"/>
        </w:trPr>
        <w:tc>
          <w:tcPr>
            <w:tcW w:w="7200" w:type="dxa"/>
            <w:vAlign w:val="bottom"/>
            <w:gridSpan w:val="2"/>
          </w:tcPr>
          <w:p>
            <w:pPr>
              <w:ind w:left="200"/>
              <w:spacing w:after="0"/>
              <w:rPr>
                <w:sz w:val="20"/>
                <w:szCs w:val="20"/>
                <w:color w:val="auto"/>
              </w:rPr>
            </w:pPr>
            <w:r>
              <w:rPr>
                <w:rFonts w:ascii="Arial" w:cs="Arial" w:eastAsia="Arial" w:hAnsi="Arial"/>
                <w:sz w:val="16"/>
                <w:szCs w:val="16"/>
                <w:color w:val="auto"/>
              </w:rPr>
              <w:t>Amounts reclassified from accumulated OCI</w:t>
            </w:r>
          </w:p>
        </w:tc>
        <w:tc>
          <w:tcPr>
            <w:tcW w:w="120" w:type="dxa"/>
            <w:vAlign w:val="bottom"/>
          </w:tcPr>
          <w:p>
            <w:pPr>
              <w:spacing w:after="0"/>
              <w:rPr>
                <w:sz w:val="20"/>
                <w:szCs w:val="20"/>
                <w:color w:val="auto"/>
              </w:rPr>
            </w:pPr>
          </w:p>
        </w:tc>
        <w:tc>
          <w:tcPr>
            <w:tcW w:w="1380" w:type="dxa"/>
            <w:vAlign w:val="bottom"/>
          </w:tcPr>
          <w:p>
            <w:pPr>
              <w:jc w:val="right"/>
              <w:ind w:right="41"/>
              <w:spacing w:after="0"/>
              <w:rPr>
                <w:sz w:val="20"/>
                <w:szCs w:val="20"/>
                <w:color w:val="auto"/>
              </w:rPr>
            </w:pPr>
            <w:r>
              <w:rPr>
                <w:rFonts w:ascii="Arial" w:cs="Arial" w:eastAsia="Arial" w:hAnsi="Arial"/>
                <w:sz w:val="16"/>
                <w:szCs w:val="16"/>
                <w:color w:val="auto"/>
              </w:rPr>
              <w:t>23</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21"/>
              <w:spacing w:after="0"/>
              <w:rPr>
                <w:sz w:val="20"/>
                <w:szCs w:val="20"/>
                <w:color w:val="auto"/>
              </w:rPr>
            </w:pPr>
            <w:r>
              <w:rPr>
                <w:rFonts w:ascii="Arial" w:cs="Arial" w:eastAsia="Arial" w:hAnsi="Arial"/>
                <w:sz w:val="16"/>
                <w:szCs w:val="16"/>
                <w:color w:val="auto"/>
              </w:rPr>
              <w:t>101</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124</w:t>
            </w:r>
          </w:p>
        </w:tc>
        <w:tc>
          <w:tcPr>
            <w:tcW w:w="0" w:type="dxa"/>
            <w:vAlign w:val="bottom"/>
          </w:tcPr>
          <w:p>
            <w:pPr>
              <w:spacing w:after="0"/>
              <w:rPr>
                <w:sz w:val="1"/>
                <w:szCs w:val="1"/>
                <w:color w:val="auto"/>
              </w:rPr>
            </w:pPr>
          </w:p>
        </w:tc>
      </w:tr>
      <w:tr>
        <w:trPr>
          <w:trHeight w:val="33"/>
        </w:trPr>
        <w:tc>
          <w:tcPr>
            <w:tcW w:w="70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2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Balance as of December 31, 2015</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(27)</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(39)</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(66)</w:t>
            </w:r>
          </w:p>
        </w:tc>
        <w:tc>
          <w:tcPr>
            <w:tcW w:w="0" w:type="dxa"/>
            <w:vAlign w:val="bottom"/>
          </w:tcPr>
          <w:p>
            <w:pPr>
              <w:spacing w:after="0"/>
              <w:rPr>
                <w:sz w:val="1"/>
                <w:szCs w:val="1"/>
                <w:color w:val="auto"/>
              </w:rPr>
            </w:pPr>
          </w:p>
        </w:tc>
      </w:tr>
      <w:tr>
        <w:trPr>
          <w:trHeight w:val="20"/>
        </w:trPr>
        <w:tc>
          <w:tcPr>
            <w:tcW w:w="70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4"/>
        </w:trPr>
        <w:tc>
          <w:tcPr>
            <w:tcW w:w="7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72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b w:val="1"/>
                <w:bCs w:val="1"/>
                <w:color w:val="auto"/>
              </w:rPr>
              <w:t>Fiscal Year 2014</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200" w:type="dxa"/>
            <w:vAlign w:val="bottom"/>
            <w:gridSpan w:val="2"/>
          </w:tcPr>
          <w:p>
            <w:pPr>
              <w:ind w:left="40"/>
              <w:spacing w:after="0"/>
              <w:rPr>
                <w:sz w:val="20"/>
                <w:szCs w:val="20"/>
                <w:color w:val="auto"/>
              </w:rPr>
            </w:pPr>
            <w:r>
              <w:rPr>
                <w:rFonts w:ascii="Arial" w:cs="Arial" w:eastAsia="Arial" w:hAnsi="Arial"/>
                <w:sz w:val="16"/>
                <w:szCs w:val="16"/>
                <w:color w:val="auto"/>
              </w:rPr>
              <w:t>Balance as of December 31, 2013</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380" w:type="dxa"/>
            <w:vAlign w:val="bottom"/>
          </w:tcPr>
          <w:p>
            <w:pPr>
              <w:jc w:val="right"/>
              <w:spacing w:after="0"/>
              <w:rPr>
                <w:sz w:val="20"/>
                <w:szCs w:val="20"/>
                <w:color w:val="auto"/>
              </w:rPr>
            </w:pPr>
            <w:r>
              <w:rPr>
                <w:rFonts w:ascii="Arial" w:cs="Arial" w:eastAsia="Arial" w:hAnsi="Arial"/>
                <w:sz w:val="16"/>
                <w:szCs w:val="16"/>
                <w:color w:val="auto"/>
              </w:rPr>
              <w:t>(1,087)</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100" w:type="dxa"/>
            <w:vAlign w:val="bottom"/>
          </w:tcPr>
          <w:p>
            <w:pPr>
              <w:jc w:val="right"/>
              <w:spacing w:after="0"/>
              <w:rPr>
                <w:sz w:val="20"/>
                <w:szCs w:val="20"/>
                <w:color w:val="auto"/>
              </w:rPr>
            </w:pPr>
            <w:r>
              <w:rPr>
                <w:rFonts w:ascii="Arial" w:cs="Arial" w:eastAsia="Arial" w:hAnsi="Arial"/>
                <w:sz w:val="16"/>
                <w:szCs w:val="16"/>
                <w:color w:val="auto"/>
              </w:rPr>
              <w:t>(296)</w:t>
            </w:r>
          </w:p>
        </w:tc>
        <w:tc>
          <w:tcPr>
            <w:tcW w:w="120" w:type="dxa"/>
            <w:vAlign w:val="bottom"/>
          </w:tcPr>
          <w:p>
            <w:pPr>
              <w:spacing w:after="0"/>
              <w:rPr>
                <w:sz w:val="20"/>
                <w:szCs w:val="20"/>
                <w:color w:val="auto"/>
              </w:rPr>
            </w:pPr>
          </w:p>
        </w:tc>
        <w:tc>
          <w:tcPr>
            <w:tcW w:w="240" w:type="dxa"/>
            <w:vAlign w:val="bottom"/>
          </w:tcPr>
          <w:p>
            <w:pPr>
              <w:ind w:left="20"/>
              <w:spacing w:after="0"/>
              <w:rPr>
                <w:sz w:val="20"/>
                <w:szCs w:val="20"/>
                <w:color w:val="auto"/>
              </w:rPr>
            </w:pPr>
            <w:r>
              <w:rPr>
                <w:rFonts w:ascii="Arial" w:cs="Arial" w:eastAsia="Arial" w:hAnsi="Arial"/>
                <w:sz w:val="16"/>
                <w:szCs w:val="16"/>
                <w:color w:val="auto"/>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(1,383)</w:t>
            </w:r>
          </w:p>
        </w:tc>
        <w:tc>
          <w:tcPr>
            <w:tcW w:w="0" w:type="dxa"/>
            <w:vAlign w:val="bottom"/>
          </w:tcPr>
          <w:p>
            <w:pPr>
              <w:spacing w:after="0"/>
              <w:rPr>
                <w:sz w:val="1"/>
                <w:szCs w:val="1"/>
                <w:color w:val="auto"/>
              </w:rPr>
            </w:pPr>
          </w:p>
        </w:tc>
      </w:tr>
      <w:tr>
        <w:trPr>
          <w:trHeight w:val="33"/>
        </w:trPr>
        <w:tc>
          <w:tcPr>
            <w:tcW w:w="7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OCI before reclassifications</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1,708</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1,708</w:t>
            </w:r>
          </w:p>
        </w:tc>
        <w:tc>
          <w:tcPr>
            <w:tcW w:w="0" w:type="dxa"/>
            <w:vAlign w:val="bottom"/>
          </w:tcPr>
          <w:p>
            <w:pPr>
              <w:spacing w:after="0"/>
              <w:rPr>
                <w:sz w:val="1"/>
                <w:szCs w:val="1"/>
                <w:color w:val="auto"/>
              </w:rPr>
            </w:pPr>
          </w:p>
        </w:tc>
      </w:tr>
      <w:tr>
        <w:trPr>
          <w:trHeight w:val="237"/>
        </w:trPr>
        <w:tc>
          <w:tcPr>
            <w:tcW w:w="7200" w:type="dxa"/>
            <w:vAlign w:val="bottom"/>
            <w:gridSpan w:val="2"/>
          </w:tcPr>
          <w:p>
            <w:pPr>
              <w:ind w:left="200"/>
              <w:spacing w:after="0"/>
              <w:rPr>
                <w:sz w:val="20"/>
                <w:szCs w:val="20"/>
                <w:color w:val="auto"/>
              </w:rPr>
            </w:pPr>
            <w:r>
              <w:rPr>
                <w:rFonts w:ascii="Arial" w:cs="Arial" w:eastAsia="Arial" w:hAnsi="Arial"/>
                <w:sz w:val="16"/>
                <w:szCs w:val="16"/>
                <w:color w:val="auto"/>
              </w:rPr>
              <w:t>Amounts reclassified from accumulated OCI</w:t>
            </w:r>
          </w:p>
        </w:tc>
        <w:tc>
          <w:tcPr>
            <w:tcW w:w="12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Arial" w:cs="Arial" w:eastAsia="Arial" w:hAnsi="Arial"/>
                <w:sz w:val="16"/>
                <w:szCs w:val="16"/>
                <w:color w:val="auto"/>
              </w:rPr>
              <w:t>(51)</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21"/>
              <w:spacing w:after="0"/>
              <w:rPr>
                <w:sz w:val="20"/>
                <w:szCs w:val="20"/>
                <w:color w:val="auto"/>
              </w:rPr>
            </w:pPr>
            <w:r>
              <w:rPr>
                <w:rFonts w:ascii="Arial" w:cs="Arial" w:eastAsia="Arial" w:hAnsi="Arial"/>
                <w:sz w:val="16"/>
                <w:szCs w:val="16"/>
                <w:color w:val="auto"/>
              </w:rPr>
              <w:t>156</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105</w:t>
            </w:r>
          </w:p>
        </w:tc>
        <w:tc>
          <w:tcPr>
            <w:tcW w:w="0" w:type="dxa"/>
            <w:vAlign w:val="bottom"/>
          </w:tcPr>
          <w:p>
            <w:pPr>
              <w:spacing w:after="0"/>
              <w:rPr>
                <w:sz w:val="1"/>
                <w:szCs w:val="1"/>
                <w:color w:val="auto"/>
              </w:rPr>
            </w:pPr>
          </w:p>
        </w:tc>
      </w:tr>
      <w:tr>
        <w:trPr>
          <w:trHeight w:val="33"/>
        </w:trPr>
        <w:tc>
          <w:tcPr>
            <w:tcW w:w="70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2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Balance as of December 31, 2014</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80" w:type="dxa"/>
            <w:vAlign w:val="bottom"/>
            <w:tcBorders>
              <w:bottom w:val="single" w:sz="8" w:color="auto"/>
            </w:tcBorders>
            <w:shd w:val="clear" w:color="auto" w:fill="CCEEFF"/>
          </w:tcPr>
          <w:p>
            <w:pPr>
              <w:jc w:val="right"/>
              <w:ind w:right="41"/>
              <w:spacing w:after="0"/>
              <w:rPr>
                <w:sz w:val="20"/>
                <w:szCs w:val="20"/>
                <w:color w:val="auto"/>
              </w:rPr>
            </w:pPr>
            <w:r>
              <w:rPr>
                <w:rFonts w:ascii="Arial" w:cs="Arial" w:eastAsia="Arial" w:hAnsi="Arial"/>
                <w:sz w:val="16"/>
                <w:szCs w:val="16"/>
                <w:color w:val="auto"/>
              </w:rPr>
              <w:t>570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430</w:t>
            </w:r>
          </w:p>
        </w:tc>
        <w:tc>
          <w:tcPr>
            <w:tcW w:w="0" w:type="dxa"/>
            <w:vAlign w:val="bottom"/>
          </w:tcPr>
          <w:p>
            <w:pPr>
              <w:spacing w:after="0"/>
              <w:rPr>
                <w:sz w:val="1"/>
                <w:szCs w:val="1"/>
                <w:color w:val="auto"/>
              </w:rPr>
            </w:pPr>
          </w:p>
        </w:tc>
      </w:tr>
      <w:tr>
        <w:trPr>
          <w:trHeight w:val="20"/>
        </w:trPr>
        <w:tc>
          <w:tcPr>
            <w:tcW w:w="70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1"/>
        </w:trPr>
        <w:tc>
          <w:tcPr>
            <w:tcW w:w="7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72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b w:val="1"/>
                <w:bCs w:val="1"/>
                <w:color w:val="auto"/>
              </w:rPr>
              <w:t>Fiscal Year 2013</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200" w:type="dxa"/>
            <w:vAlign w:val="bottom"/>
            <w:gridSpan w:val="2"/>
          </w:tcPr>
          <w:p>
            <w:pPr>
              <w:ind w:left="40"/>
              <w:spacing w:after="0"/>
              <w:rPr>
                <w:sz w:val="20"/>
                <w:szCs w:val="20"/>
                <w:color w:val="auto"/>
              </w:rPr>
            </w:pPr>
            <w:r>
              <w:rPr>
                <w:rFonts w:ascii="Arial" w:cs="Arial" w:eastAsia="Arial" w:hAnsi="Arial"/>
                <w:sz w:val="16"/>
                <w:szCs w:val="16"/>
                <w:color w:val="auto"/>
              </w:rPr>
              <w:t>Balance as of December 31, 2012</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41"/>
              <w:spacing w:after="0"/>
              <w:rPr>
                <w:sz w:val="20"/>
                <w:szCs w:val="20"/>
                <w:color w:val="auto"/>
              </w:rPr>
            </w:pPr>
            <w:r>
              <w:rPr>
                <w:rFonts w:ascii="Arial" w:cs="Arial" w:eastAsia="Arial" w:hAnsi="Arial"/>
                <w:sz w:val="16"/>
                <w:szCs w:val="16"/>
                <w:color w:val="auto"/>
              </w:rPr>
              <w:t>2,040</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100" w:type="dxa"/>
            <w:vAlign w:val="bottom"/>
          </w:tcPr>
          <w:p>
            <w:pPr>
              <w:jc w:val="right"/>
              <w:spacing w:after="0"/>
              <w:rPr>
                <w:sz w:val="20"/>
                <w:szCs w:val="20"/>
                <w:color w:val="auto"/>
              </w:rPr>
            </w:pPr>
            <w:r>
              <w:rPr>
                <w:rFonts w:ascii="Arial" w:cs="Arial" w:eastAsia="Arial" w:hAnsi="Arial"/>
                <w:sz w:val="16"/>
                <w:szCs w:val="16"/>
                <w:color w:val="auto"/>
              </w:rPr>
              <w:t>(485)</w:t>
            </w:r>
          </w:p>
        </w:tc>
        <w:tc>
          <w:tcPr>
            <w:tcW w:w="120" w:type="dxa"/>
            <w:vAlign w:val="bottom"/>
          </w:tcPr>
          <w:p>
            <w:pPr>
              <w:spacing w:after="0"/>
              <w:rPr>
                <w:sz w:val="20"/>
                <w:szCs w:val="20"/>
                <w:color w:val="auto"/>
              </w:rPr>
            </w:pPr>
          </w:p>
        </w:tc>
        <w:tc>
          <w:tcPr>
            <w:tcW w:w="240" w:type="dxa"/>
            <w:vAlign w:val="bottom"/>
          </w:tcPr>
          <w:p>
            <w:pPr>
              <w:ind w:left="20"/>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1,555</w:t>
            </w:r>
          </w:p>
        </w:tc>
        <w:tc>
          <w:tcPr>
            <w:tcW w:w="0" w:type="dxa"/>
            <w:vAlign w:val="bottom"/>
          </w:tcPr>
          <w:p>
            <w:pPr>
              <w:spacing w:after="0"/>
              <w:rPr>
                <w:sz w:val="1"/>
                <w:szCs w:val="1"/>
                <w:color w:val="auto"/>
              </w:rPr>
            </w:pPr>
          </w:p>
        </w:tc>
      </w:tr>
      <w:tr>
        <w:trPr>
          <w:trHeight w:val="33"/>
        </w:trPr>
        <w:tc>
          <w:tcPr>
            <w:tcW w:w="7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OCI before reclassifications</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(4,535)</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(4,535)</w:t>
            </w:r>
          </w:p>
        </w:tc>
        <w:tc>
          <w:tcPr>
            <w:tcW w:w="0" w:type="dxa"/>
            <w:vAlign w:val="bottom"/>
          </w:tcPr>
          <w:p>
            <w:pPr>
              <w:spacing w:after="0"/>
              <w:rPr>
                <w:sz w:val="1"/>
                <w:szCs w:val="1"/>
                <w:color w:val="auto"/>
              </w:rPr>
            </w:pPr>
          </w:p>
        </w:tc>
      </w:tr>
      <w:tr>
        <w:trPr>
          <w:trHeight w:val="237"/>
        </w:trPr>
        <w:tc>
          <w:tcPr>
            <w:tcW w:w="7200" w:type="dxa"/>
            <w:vAlign w:val="bottom"/>
            <w:gridSpan w:val="2"/>
          </w:tcPr>
          <w:p>
            <w:pPr>
              <w:ind w:left="200"/>
              <w:spacing w:after="0"/>
              <w:rPr>
                <w:sz w:val="20"/>
                <w:szCs w:val="20"/>
                <w:color w:val="auto"/>
              </w:rPr>
            </w:pPr>
            <w:r>
              <w:rPr>
                <w:rFonts w:ascii="Arial" w:cs="Arial" w:eastAsia="Arial" w:hAnsi="Arial"/>
                <w:sz w:val="16"/>
                <w:szCs w:val="16"/>
                <w:color w:val="auto"/>
              </w:rPr>
              <w:t>Amounts reclassified from accumulated OCI</w:t>
            </w:r>
          </w:p>
        </w:tc>
        <w:tc>
          <w:tcPr>
            <w:tcW w:w="120" w:type="dxa"/>
            <w:vAlign w:val="bottom"/>
          </w:tcPr>
          <w:p>
            <w:pPr>
              <w:spacing w:after="0"/>
              <w:rPr>
                <w:sz w:val="20"/>
                <w:szCs w:val="20"/>
                <w:color w:val="auto"/>
              </w:rPr>
            </w:pPr>
          </w:p>
        </w:tc>
        <w:tc>
          <w:tcPr>
            <w:tcW w:w="1380" w:type="dxa"/>
            <w:vAlign w:val="bottom"/>
          </w:tcPr>
          <w:p>
            <w:pPr>
              <w:jc w:val="right"/>
              <w:ind w:right="41"/>
              <w:spacing w:after="0"/>
              <w:rPr>
                <w:sz w:val="20"/>
                <w:szCs w:val="20"/>
                <w:color w:val="auto"/>
              </w:rPr>
            </w:pPr>
            <w:r>
              <w:rPr>
                <w:rFonts w:ascii="Arial" w:cs="Arial" w:eastAsia="Arial" w:hAnsi="Arial"/>
                <w:sz w:val="16"/>
                <w:szCs w:val="16"/>
                <w:color w:val="auto"/>
              </w:rPr>
              <w:t>1,408</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21"/>
              <w:spacing w:after="0"/>
              <w:rPr>
                <w:sz w:val="20"/>
                <w:szCs w:val="20"/>
                <w:color w:val="auto"/>
              </w:rPr>
            </w:pPr>
            <w:r>
              <w:rPr>
                <w:rFonts w:ascii="Arial" w:cs="Arial" w:eastAsia="Arial" w:hAnsi="Arial"/>
                <w:sz w:val="16"/>
                <w:szCs w:val="16"/>
                <w:color w:val="auto"/>
              </w:rPr>
              <w:t>189</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1,597</w:t>
            </w:r>
          </w:p>
        </w:tc>
        <w:tc>
          <w:tcPr>
            <w:tcW w:w="0" w:type="dxa"/>
            <w:vAlign w:val="bottom"/>
          </w:tcPr>
          <w:p>
            <w:pPr>
              <w:spacing w:after="0"/>
              <w:rPr>
                <w:sz w:val="1"/>
                <w:szCs w:val="1"/>
                <w:color w:val="auto"/>
              </w:rPr>
            </w:pPr>
          </w:p>
        </w:tc>
      </w:tr>
      <w:tr>
        <w:trPr>
          <w:trHeight w:val="33"/>
        </w:trPr>
        <w:tc>
          <w:tcPr>
            <w:tcW w:w="70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2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Balance as of December 31, 2013</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(1,087)</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(296)</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(1,383)</w:t>
            </w:r>
          </w:p>
        </w:tc>
        <w:tc>
          <w:tcPr>
            <w:tcW w:w="0" w:type="dxa"/>
            <w:vAlign w:val="bottom"/>
          </w:tcPr>
          <w:p>
            <w:pPr>
              <w:spacing w:after="0"/>
              <w:rPr>
                <w:sz w:val="1"/>
                <w:szCs w:val="1"/>
                <w:color w:val="auto"/>
              </w:rPr>
            </w:pPr>
          </w:p>
        </w:tc>
      </w:tr>
      <w:tr>
        <w:trPr>
          <w:trHeight w:val="20"/>
        </w:trPr>
        <w:tc>
          <w:tcPr>
            <w:tcW w:w="70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summarizes reclassifications out of accumulated OCI for fiscal years 2015, 2014 and 2013 (in millions):</w:t>
      </w:r>
    </w:p>
    <w:p>
      <w:pPr>
        <w:spacing w:after="0" w:line="26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20" w:type="dxa"/>
            <w:vAlign w:val="bottom"/>
            <w:gridSpan w:val="3"/>
          </w:tcPr>
          <w:p>
            <w:pPr>
              <w:ind w:left="100"/>
              <w:spacing w:after="0"/>
              <w:rPr>
                <w:sz w:val="20"/>
                <w:szCs w:val="20"/>
                <w:color w:val="auto"/>
              </w:rPr>
            </w:pPr>
            <w:r>
              <w:rPr>
                <w:rFonts w:ascii="Arial" w:cs="Arial" w:eastAsia="Arial" w:hAnsi="Arial"/>
                <w:sz w:val="14"/>
                <w:szCs w:val="14"/>
                <w:b w:val="1"/>
                <w:bCs w:val="1"/>
                <w:color w:val="auto"/>
              </w:rPr>
              <w:t>Fiscal Year</w:t>
            </w:r>
          </w:p>
        </w:tc>
        <w:tc>
          <w:tcPr>
            <w:tcW w:w="2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420" w:type="dxa"/>
            <w:vAlign w:val="bottom"/>
          </w:tcPr>
          <w:p>
            <w:pPr>
              <w:jc w:val="center"/>
              <w:spacing w:after="0"/>
              <w:rPr>
                <w:sz w:val="20"/>
                <w:szCs w:val="20"/>
                <w:color w:val="auto"/>
              </w:rPr>
            </w:pPr>
            <w:r>
              <w:rPr>
                <w:rFonts w:ascii="Arial" w:cs="Arial" w:eastAsia="Arial" w:hAnsi="Arial"/>
                <w:sz w:val="14"/>
                <w:szCs w:val="14"/>
                <w:b w:val="1"/>
                <w:bCs w:val="1"/>
                <w:color w:val="auto"/>
                <w:w w:val="93"/>
              </w:rPr>
              <w:t>Line Item in the Consolidated</w:t>
            </w:r>
          </w:p>
        </w:tc>
        <w:tc>
          <w:tcPr>
            <w:tcW w:w="0" w:type="dxa"/>
            <w:vAlign w:val="bottom"/>
          </w:tcPr>
          <w:p>
            <w:pPr>
              <w:spacing w:after="0"/>
              <w:rPr>
                <w:sz w:val="1"/>
                <w:szCs w:val="1"/>
                <w:color w:val="auto"/>
              </w:rPr>
            </w:pPr>
          </w:p>
        </w:tc>
      </w:tr>
      <w:tr>
        <w:trPr>
          <w:trHeight w:val="54"/>
        </w:trPr>
        <w:tc>
          <w:tcPr>
            <w:tcW w:w="4800" w:type="dxa"/>
            <w:vAlign w:val="bottom"/>
          </w:tcPr>
          <w:p>
            <w:pPr>
              <w:spacing w:after="0"/>
              <w:rPr>
                <w:sz w:val="4"/>
                <w:szCs w:val="4"/>
                <w:color w:val="auto"/>
              </w:rPr>
            </w:pPr>
          </w:p>
        </w:tc>
        <w:tc>
          <w:tcPr>
            <w:tcW w:w="120" w:type="dxa"/>
            <w:vAlign w:val="bottom"/>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342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w w:val="91"/>
              </w:rPr>
              <w:t>Statements of Comprehensive Income</w:t>
            </w:r>
          </w:p>
        </w:tc>
        <w:tc>
          <w:tcPr>
            <w:tcW w:w="0" w:type="dxa"/>
            <w:vAlign w:val="bottom"/>
          </w:tcPr>
          <w:p>
            <w:pPr>
              <w:spacing w:after="0"/>
              <w:rPr>
                <w:sz w:val="1"/>
                <w:szCs w:val="1"/>
                <w:color w:val="auto"/>
              </w:rPr>
            </w:pPr>
          </w:p>
        </w:tc>
      </w:tr>
      <w:tr>
        <w:trPr>
          <w:trHeight w:val="65"/>
        </w:trPr>
        <w:tc>
          <w:tcPr>
            <w:tcW w:w="48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Amounts Reclassified from Accumulated OCI</w:t>
            </w:r>
          </w:p>
        </w:tc>
        <w:tc>
          <w:tcPr>
            <w:tcW w:w="120" w:type="dxa"/>
            <w:vAlign w:val="bottom"/>
            <w:vMerge w:val="restart"/>
          </w:tcPr>
          <w:p>
            <w:pPr>
              <w:spacing w:after="0"/>
              <w:rPr>
                <w:sz w:val="5"/>
                <w:szCs w:val="5"/>
                <w:color w:val="auto"/>
              </w:rPr>
            </w:pPr>
          </w:p>
        </w:tc>
        <w:tc>
          <w:tcPr>
            <w:tcW w:w="220" w:type="dxa"/>
            <w:vAlign w:val="bottom"/>
          </w:tcPr>
          <w:p>
            <w:pPr>
              <w:spacing w:after="0"/>
              <w:rPr>
                <w:sz w:val="5"/>
                <w:szCs w:val="5"/>
                <w:color w:val="auto"/>
              </w:rPr>
            </w:pPr>
          </w:p>
        </w:tc>
        <w:tc>
          <w:tcPr>
            <w:tcW w:w="720" w:type="dxa"/>
            <w:vAlign w:val="bottom"/>
            <w:vMerge w:val="restart"/>
          </w:tcPr>
          <w:p>
            <w:pPr>
              <w:jc w:val="right"/>
              <w:ind w:right="241"/>
              <w:spacing w:after="0"/>
              <w:rPr>
                <w:sz w:val="20"/>
                <w:szCs w:val="20"/>
                <w:color w:val="auto"/>
              </w:rPr>
            </w:pPr>
            <w:r>
              <w:rPr>
                <w:rFonts w:ascii="Arial" w:cs="Arial" w:eastAsia="Arial" w:hAnsi="Arial"/>
                <w:sz w:val="14"/>
                <w:szCs w:val="14"/>
                <w:b w:val="1"/>
                <w:bCs w:val="1"/>
                <w:color w:val="auto"/>
              </w:rPr>
              <w:t>2015</w:t>
            </w:r>
          </w:p>
        </w:tc>
        <w:tc>
          <w:tcPr>
            <w:tcW w:w="120" w:type="dxa"/>
            <w:vAlign w:val="bottom"/>
          </w:tcPr>
          <w:p>
            <w:pPr>
              <w:spacing w:after="0"/>
              <w:rPr>
                <w:sz w:val="5"/>
                <w:szCs w:val="5"/>
                <w:color w:val="auto"/>
              </w:rPr>
            </w:pPr>
          </w:p>
        </w:tc>
        <w:tc>
          <w:tcPr>
            <w:tcW w:w="200" w:type="dxa"/>
            <w:vAlign w:val="bottom"/>
          </w:tcPr>
          <w:p>
            <w:pPr>
              <w:spacing w:after="0"/>
              <w:rPr>
                <w:sz w:val="5"/>
                <w:szCs w:val="5"/>
                <w:color w:val="auto"/>
              </w:rPr>
            </w:pPr>
          </w:p>
        </w:tc>
        <w:tc>
          <w:tcPr>
            <w:tcW w:w="720" w:type="dxa"/>
            <w:vAlign w:val="bottom"/>
            <w:vMerge w:val="restart"/>
          </w:tcPr>
          <w:p>
            <w:pPr>
              <w:jc w:val="right"/>
              <w:ind w:right="241"/>
              <w:spacing w:after="0"/>
              <w:rPr>
                <w:sz w:val="20"/>
                <w:szCs w:val="20"/>
                <w:color w:val="auto"/>
              </w:rPr>
            </w:pPr>
            <w:r>
              <w:rPr>
                <w:rFonts w:ascii="Arial" w:cs="Arial" w:eastAsia="Arial" w:hAnsi="Arial"/>
                <w:sz w:val="14"/>
                <w:szCs w:val="14"/>
                <w:b w:val="1"/>
                <w:bCs w:val="1"/>
                <w:color w:val="auto"/>
              </w:rPr>
              <w:t>2014</w:t>
            </w: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700" w:type="dxa"/>
            <w:vAlign w:val="bottom"/>
            <w:vMerge w:val="restart"/>
          </w:tcPr>
          <w:p>
            <w:pPr>
              <w:jc w:val="right"/>
              <w:ind w:right="221"/>
              <w:spacing w:after="0"/>
              <w:rPr>
                <w:sz w:val="20"/>
                <w:szCs w:val="20"/>
                <w:color w:val="auto"/>
              </w:rPr>
            </w:pPr>
            <w:r>
              <w:rPr>
                <w:rFonts w:ascii="Arial" w:cs="Arial" w:eastAsia="Arial" w:hAnsi="Arial"/>
                <w:sz w:val="14"/>
                <w:szCs w:val="14"/>
                <w:b w:val="1"/>
                <w:bCs w:val="1"/>
                <w:color w:val="auto"/>
              </w:rPr>
              <w:t>2013</w:t>
            </w:r>
          </w:p>
        </w:tc>
        <w:tc>
          <w:tcPr>
            <w:tcW w:w="100" w:type="dxa"/>
            <w:vAlign w:val="bottom"/>
          </w:tcPr>
          <w:p>
            <w:pPr>
              <w:spacing w:after="0"/>
              <w:rPr>
                <w:sz w:val="5"/>
                <w:szCs w:val="5"/>
                <w:color w:val="auto"/>
              </w:rPr>
            </w:pPr>
          </w:p>
        </w:tc>
        <w:tc>
          <w:tcPr>
            <w:tcW w:w="34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48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3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Where Net Income is Presented</w:t>
            </w:r>
          </w:p>
        </w:tc>
        <w:tc>
          <w:tcPr>
            <w:tcW w:w="0" w:type="dxa"/>
            <w:vAlign w:val="bottom"/>
          </w:tcPr>
          <w:p>
            <w:pPr>
              <w:spacing w:after="0"/>
              <w:rPr>
                <w:sz w:val="1"/>
                <w:szCs w:val="1"/>
                <w:color w:val="auto"/>
              </w:rPr>
            </w:pPr>
          </w:p>
        </w:tc>
      </w:tr>
      <w:tr>
        <w:trPr>
          <w:trHeight w:val="219"/>
        </w:trPr>
        <w:tc>
          <w:tcPr>
            <w:tcW w:w="492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w w:val="99"/>
              </w:rPr>
              <w:t>(Gain) loss amounts reclassified from accumulated OCI for available-</w:t>
            </w:r>
          </w:p>
        </w:tc>
        <w:tc>
          <w:tcPr>
            <w:tcW w:w="22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4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49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for-sale MBS upon realization</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23</w:t>
            </w:r>
          </w:p>
        </w:tc>
        <w:tc>
          <w:tcPr>
            <w:tcW w:w="12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w w:val="89"/>
              </w:rPr>
              <w:t>$</w:t>
            </w: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(51)</w:t>
            </w: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1,408</w:t>
            </w:r>
          </w:p>
        </w:tc>
        <w:tc>
          <w:tcPr>
            <w:tcW w:w="100" w:type="dxa"/>
            <w:vAlign w:val="bottom"/>
            <w:tcBorders>
              <w:bottom w:val="single" w:sz="8" w:color="CCEEFF"/>
            </w:tcBorders>
            <w:shd w:val="clear" w:color="auto" w:fill="CCEEFF"/>
          </w:tcPr>
          <w:p>
            <w:pPr>
              <w:spacing w:after="0"/>
              <w:rPr>
                <w:sz w:val="19"/>
                <w:szCs w:val="19"/>
                <w:color w:val="auto"/>
              </w:rPr>
            </w:pPr>
          </w:p>
        </w:tc>
        <w:tc>
          <w:tcPr>
            <w:tcW w:w="3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Gain (loss) on sale of agency securities, net</w:t>
            </w:r>
          </w:p>
        </w:tc>
        <w:tc>
          <w:tcPr>
            <w:tcW w:w="0" w:type="dxa"/>
            <w:vAlign w:val="bottom"/>
          </w:tcPr>
          <w:p>
            <w:pPr>
              <w:spacing w:after="0"/>
              <w:rPr>
                <w:sz w:val="1"/>
                <w:szCs w:val="1"/>
                <w:color w:val="auto"/>
              </w:rPr>
            </w:pPr>
          </w:p>
        </w:tc>
      </w:tr>
      <w:tr>
        <w:trPr>
          <w:trHeight w:val="220"/>
        </w:trPr>
        <w:tc>
          <w:tcPr>
            <w:tcW w:w="4920" w:type="dxa"/>
            <w:vAlign w:val="bottom"/>
            <w:gridSpan w:val="2"/>
          </w:tcPr>
          <w:p>
            <w:pPr>
              <w:ind w:left="40"/>
              <w:spacing w:after="0"/>
              <w:rPr>
                <w:sz w:val="20"/>
                <w:szCs w:val="20"/>
                <w:color w:val="auto"/>
              </w:rPr>
            </w:pPr>
            <w:r>
              <w:rPr>
                <w:rFonts w:ascii="Arial" w:cs="Arial" w:eastAsia="Arial" w:hAnsi="Arial"/>
                <w:sz w:val="16"/>
                <w:szCs w:val="16"/>
                <w:color w:val="auto"/>
                <w:w w:val="98"/>
              </w:rPr>
              <w:t>Periodic interest costs of interest rate swaps previously designated as</w:t>
            </w:r>
          </w:p>
        </w:tc>
        <w:tc>
          <w:tcPr>
            <w:tcW w:w="2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4920" w:type="dxa"/>
            <w:vAlign w:val="bottom"/>
            <w:gridSpan w:val="2"/>
          </w:tcPr>
          <w:p>
            <w:pPr>
              <w:ind w:left="40"/>
              <w:spacing w:after="0"/>
              <w:rPr>
                <w:sz w:val="20"/>
                <w:szCs w:val="20"/>
                <w:color w:val="auto"/>
              </w:rPr>
            </w:pPr>
            <w:r>
              <w:rPr>
                <w:rFonts w:ascii="Arial" w:cs="Arial" w:eastAsia="Arial" w:hAnsi="Arial"/>
                <w:sz w:val="16"/>
                <w:szCs w:val="16"/>
                <w:color w:val="auto"/>
              </w:rPr>
              <w:t>hedges under GAAP, net</w:t>
            </w:r>
          </w:p>
        </w:tc>
        <w:tc>
          <w:tcPr>
            <w:tcW w:w="220" w:type="dxa"/>
            <w:vAlign w:val="bottom"/>
          </w:tcPr>
          <w:p>
            <w:pPr>
              <w:spacing w:after="0"/>
              <w:rPr>
                <w:sz w:val="17"/>
                <w:szCs w:val="17"/>
                <w:color w:val="auto"/>
              </w:rPr>
            </w:pPr>
          </w:p>
        </w:tc>
        <w:tc>
          <w:tcPr>
            <w:tcW w:w="720" w:type="dxa"/>
            <w:vAlign w:val="bottom"/>
          </w:tcPr>
          <w:p>
            <w:pPr>
              <w:jc w:val="right"/>
              <w:ind w:right="41"/>
              <w:spacing w:after="0"/>
              <w:rPr>
                <w:sz w:val="20"/>
                <w:szCs w:val="20"/>
                <w:color w:val="auto"/>
              </w:rPr>
            </w:pPr>
            <w:r>
              <w:rPr>
                <w:rFonts w:ascii="Arial" w:cs="Arial" w:eastAsia="Arial" w:hAnsi="Arial"/>
                <w:sz w:val="16"/>
                <w:szCs w:val="16"/>
                <w:color w:val="auto"/>
              </w:rPr>
              <w:t>101</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jc w:val="right"/>
              <w:ind w:right="41"/>
              <w:spacing w:after="0"/>
              <w:rPr>
                <w:sz w:val="20"/>
                <w:szCs w:val="20"/>
                <w:color w:val="auto"/>
              </w:rPr>
            </w:pPr>
            <w:r>
              <w:rPr>
                <w:rFonts w:ascii="Arial" w:cs="Arial" w:eastAsia="Arial" w:hAnsi="Arial"/>
                <w:sz w:val="16"/>
                <w:szCs w:val="16"/>
                <w:color w:val="auto"/>
              </w:rPr>
              <w:t>156</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jc w:val="right"/>
              <w:ind w:right="41"/>
              <w:spacing w:after="0"/>
              <w:rPr>
                <w:sz w:val="20"/>
                <w:szCs w:val="20"/>
                <w:color w:val="auto"/>
              </w:rPr>
            </w:pPr>
            <w:r>
              <w:rPr>
                <w:rFonts w:ascii="Arial" w:cs="Arial" w:eastAsia="Arial" w:hAnsi="Arial"/>
                <w:sz w:val="16"/>
                <w:szCs w:val="16"/>
                <w:color w:val="auto"/>
              </w:rPr>
              <w:t>189</w:t>
            </w:r>
          </w:p>
        </w:tc>
        <w:tc>
          <w:tcPr>
            <w:tcW w:w="100" w:type="dxa"/>
            <w:vAlign w:val="bottom"/>
          </w:tcPr>
          <w:p>
            <w:pPr>
              <w:spacing w:after="0"/>
              <w:rPr>
                <w:sz w:val="17"/>
                <w:szCs w:val="17"/>
                <w:color w:val="auto"/>
              </w:rPr>
            </w:pPr>
          </w:p>
        </w:tc>
        <w:tc>
          <w:tcPr>
            <w:tcW w:w="3420" w:type="dxa"/>
            <w:vAlign w:val="bottom"/>
          </w:tcPr>
          <w:p>
            <w:pPr>
              <w:ind w:left="40"/>
              <w:spacing w:after="0"/>
              <w:rPr>
                <w:sz w:val="20"/>
                <w:szCs w:val="20"/>
                <w:color w:val="auto"/>
              </w:rPr>
            </w:pPr>
            <w:r>
              <w:rPr>
                <w:rFonts w:ascii="Arial" w:cs="Arial" w:eastAsia="Arial" w:hAnsi="Arial"/>
                <w:sz w:val="16"/>
                <w:szCs w:val="16"/>
                <w:color w:val="auto"/>
              </w:rPr>
              <w:t>Interest expense</w:t>
            </w:r>
          </w:p>
        </w:tc>
        <w:tc>
          <w:tcPr>
            <w:tcW w:w="0" w:type="dxa"/>
            <w:vAlign w:val="bottom"/>
          </w:tcPr>
          <w:p>
            <w:pPr>
              <w:spacing w:after="0"/>
              <w:rPr>
                <w:sz w:val="1"/>
                <w:szCs w:val="1"/>
                <w:color w:val="auto"/>
              </w:rPr>
            </w:pPr>
          </w:p>
        </w:tc>
      </w:tr>
      <w:tr>
        <w:trPr>
          <w:trHeight w:val="33"/>
        </w:trPr>
        <w:tc>
          <w:tcPr>
            <w:tcW w:w="48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2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920" w:type="dxa"/>
            <w:vAlign w:val="bottom"/>
            <w:tcBorders>
              <w:bottom w:val="single" w:sz="8" w:color="CCEEFF"/>
            </w:tcBorders>
            <w:gridSpan w:val="2"/>
            <w:shd w:val="clear" w:color="auto" w:fill="CCEEFF"/>
          </w:tcPr>
          <w:p>
            <w:pPr>
              <w:ind w:left="240"/>
              <w:spacing w:after="0"/>
              <w:rPr>
                <w:sz w:val="20"/>
                <w:szCs w:val="20"/>
                <w:color w:val="auto"/>
              </w:rPr>
            </w:pPr>
            <w:r>
              <w:rPr>
                <w:rFonts w:ascii="Arial" w:cs="Arial" w:eastAsia="Arial" w:hAnsi="Arial"/>
                <w:sz w:val="16"/>
                <w:szCs w:val="16"/>
                <w:color w:val="auto"/>
              </w:rPr>
              <w:t>Total reclassifications</w:t>
            </w:r>
          </w:p>
        </w:tc>
        <w:tc>
          <w:tcPr>
            <w:tcW w:w="2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auto"/>
            </w:tcBorders>
            <w:shd w:val="clear" w:color="auto" w:fill="CCEEFF"/>
          </w:tcPr>
          <w:p>
            <w:pPr>
              <w:jc w:val="right"/>
              <w:ind w:right="41"/>
              <w:spacing w:after="0"/>
              <w:rPr>
                <w:sz w:val="20"/>
                <w:szCs w:val="20"/>
                <w:color w:val="auto"/>
              </w:rPr>
            </w:pPr>
            <w:r>
              <w:rPr>
                <w:rFonts w:ascii="Arial" w:cs="Arial" w:eastAsia="Arial" w:hAnsi="Arial"/>
                <w:sz w:val="16"/>
                <w:szCs w:val="16"/>
                <w:color w:val="auto"/>
              </w:rPr>
              <w:t>124</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2"/>
              <w:spacing w:after="0"/>
              <w:rPr>
                <w:sz w:val="20"/>
                <w:szCs w:val="20"/>
                <w:color w:val="auto"/>
              </w:rPr>
            </w:pPr>
            <w:r>
              <w:rPr>
                <w:rFonts w:ascii="Arial" w:cs="Arial" w:eastAsia="Arial" w:hAnsi="Arial"/>
                <w:sz w:val="16"/>
                <w:szCs w:val="16"/>
                <w:color w:val="auto"/>
                <w:w w:val="89"/>
              </w:rPr>
              <w:t>$</w:t>
            </w:r>
          </w:p>
        </w:tc>
        <w:tc>
          <w:tcPr>
            <w:tcW w:w="720" w:type="dxa"/>
            <w:vAlign w:val="bottom"/>
            <w:tcBorders>
              <w:bottom w:val="single" w:sz="8" w:color="auto"/>
            </w:tcBorders>
            <w:shd w:val="clear" w:color="auto" w:fill="CCEEFF"/>
          </w:tcPr>
          <w:p>
            <w:pPr>
              <w:jc w:val="right"/>
              <w:ind w:right="41"/>
              <w:spacing w:after="0"/>
              <w:rPr>
                <w:sz w:val="20"/>
                <w:szCs w:val="20"/>
                <w:color w:val="auto"/>
              </w:rPr>
            </w:pPr>
            <w:r>
              <w:rPr>
                <w:rFonts w:ascii="Arial" w:cs="Arial" w:eastAsia="Arial" w:hAnsi="Arial"/>
                <w:sz w:val="16"/>
                <w:szCs w:val="16"/>
                <w:color w:val="auto"/>
              </w:rPr>
              <w:t>105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bottom w:val="single" w:sz="8" w:color="auto"/>
            </w:tcBorders>
            <w:shd w:val="clear" w:color="auto" w:fill="CCEEFF"/>
          </w:tcPr>
          <w:p>
            <w:pPr>
              <w:jc w:val="right"/>
              <w:ind w:right="41"/>
              <w:spacing w:after="0"/>
              <w:rPr>
                <w:sz w:val="20"/>
                <w:szCs w:val="20"/>
                <w:color w:val="auto"/>
              </w:rPr>
            </w:pPr>
            <w:r>
              <w:rPr>
                <w:rFonts w:ascii="Arial" w:cs="Arial" w:eastAsia="Arial" w:hAnsi="Arial"/>
                <w:sz w:val="16"/>
                <w:szCs w:val="16"/>
                <w:color w:val="auto"/>
              </w:rPr>
              <w:t>1,597</w:t>
            </w:r>
          </w:p>
        </w:tc>
        <w:tc>
          <w:tcPr>
            <w:tcW w:w="100" w:type="dxa"/>
            <w:vAlign w:val="bottom"/>
            <w:tcBorders>
              <w:bottom w:val="single" w:sz="8" w:color="CCEEFF"/>
            </w:tcBorders>
            <w:shd w:val="clear" w:color="auto" w:fill="CCEEFF"/>
          </w:tcPr>
          <w:p>
            <w:pPr>
              <w:spacing w:after="0"/>
              <w:rPr>
                <w:sz w:val="21"/>
                <w:szCs w:val="21"/>
                <w:color w:val="auto"/>
              </w:rPr>
            </w:pPr>
          </w:p>
        </w:tc>
        <w:tc>
          <w:tcPr>
            <w:tcW w:w="34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48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Long-Term Incentive Plan</w:t>
      </w:r>
    </w:p>
    <w:p>
      <w:pPr>
        <w:spacing w:after="0" w:line="185" w:lineRule="exact"/>
        <w:rPr>
          <w:sz w:val="20"/>
          <w:szCs w:val="20"/>
          <w:color w:val="auto"/>
        </w:rPr>
      </w:pPr>
    </w:p>
    <w:p>
      <w:pPr>
        <w:jc w:val="both"/>
        <w:ind w:firstLine="405"/>
        <w:spacing w:after="0" w:line="291" w:lineRule="auto"/>
        <w:rPr>
          <w:sz w:val="20"/>
          <w:szCs w:val="20"/>
          <w:color w:val="auto"/>
        </w:rPr>
      </w:pPr>
      <w:r>
        <w:rPr>
          <w:rFonts w:ascii="Arial" w:cs="Arial" w:eastAsia="Arial" w:hAnsi="Arial"/>
          <w:sz w:val="16"/>
          <w:szCs w:val="16"/>
          <w:color w:val="auto"/>
        </w:rPr>
        <w:t>We sponsor an equity incentive plan to provide for the issuance of equity-based awards, including stock options, restricted stock, restricted stock units and unrestricted stock awards to our independent directors. During fiscal years 2015 and 2014, we granted restricted stock unit ("RSU") awards under the plan totaling $625,000 and $375,000, respectively. The awards represent the right to receive an equivalent number of shares of common stock as measured by the closing price of our common stock on the grant date, plus any equivalent shares for dividends declared on our common stock, and vest over a 13 month period, subject to the terms and conditions of the plan. During fiscal year 2013, we granted restricted common stock awards under the plan totaling $468,000. The restricted stock awards had a grant date fair value equal to the closing price of our common stock on such date and vest annually over three years. The following table summarizes restricted stock and RSU transactions for fiscal years 2015, 2014 and 2013:</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103</w:t>
      </w:r>
    </w:p>
    <w:p>
      <w:pPr>
        <w:sectPr>
          <w:pgSz w:w="11900" w:h="16838" w:orient="portrait"/>
          <w:cols w:equalWidth="0" w:num="1">
            <w:col w:w="11420"/>
          </w:cols>
          <w:pgMar w:left="240" w:top="584" w:right="239" w:bottom="1440" w:gutter="0" w:footer="0" w:header="0"/>
        </w:sectPr>
      </w:pPr>
    </w:p>
    <w:bookmarkStart w:id="104" w:name="page105"/>
    <w:bookmarkEnd w:id="104"/>
    <w:tbl>
      <w:tblPr>
        <w:tblLayout w:type="fixed"/>
        <w:tblInd w:w="0" w:type="dxa"/>
        <w:tblCellMar>
          <w:top w:w="0" w:type="dxa"/>
          <w:left w:w="0" w:type="dxa"/>
          <w:bottom w:w="0" w:type="dxa"/>
          <w:right w:w="0" w:type="dxa"/>
        </w:tblCellMar>
      </w:tblPr>
      <w:tr>
        <w:trPr>
          <w:trHeight w:val="185"/>
        </w:trPr>
        <w:tc>
          <w:tcPr>
            <w:tcW w:w="55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50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Shares of Restricted</w:t>
            </w:r>
          </w:p>
        </w:tc>
        <w:tc>
          <w:tcPr>
            <w:tcW w:w="150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Restricted Stock</w:t>
            </w:r>
          </w:p>
        </w:tc>
        <w:tc>
          <w:tcPr>
            <w:tcW w:w="100" w:type="dxa"/>
            <w:vAlign w:val="bottom"/>
          </w:tcPr>
          <w:p>
            <w:pPr>
              <w:spacing w:after="0"/>
              <w:rPr>
                <w:sz w:val="16"/>
                <w:szCs w:val="16"/>
                <w:color w:val="auto"/>
              </w:rPr>
            </w:pPr>
          </w:p>
        </w:tc>
        <w:tc>
          <w:tcPr>
            <w:tcW w:w="13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1"/>
              </w:rPr>
              <w:t>Weighted Average</w:t>
            </w:r>
          </w:p>
        </w:tc>
        <w:tc>
          <w:tcPr>
            <w:tcW w:w="120" w:type="dxa"/>
            <w:vAlign w:val="bottom"/>
          </w:tcPr>
          <w:p>
            <w:pPr>
              <w:spacing w:after="0"/>
              <w:rPr>
                <w:sz w:val="16"/>
                <w:szCs w:val="16"/>
                <w:color w:val="auto"/>
              </w:rPr>
            </w:pPr>
          </w:p>
        </w:tc>
        <w:tc>
          <w:tcPr>
            <w:tcW w:w="1240" w:type="dxa"/>
            <w:vAlign w:val="bottom"/>
          </w:tcPr>
          <w:p>
            <w:pPr>
              <w:jc w:val="right"/>
              <w:ind w:right="42"/>
              <w:spacing w:after="0"/>
              <w:rPr>
                <w:sz w:val="20"/>
                <w:szCs w:val="20"/>
                <w:color w:val="auto"/>
              </w:rPr>
            </w:pPr>
            <w:r>
              <w:rPr>
                <w:rFonts w:ascii="Arial" w:cs="Arial" w:eastAsia="Arial" w:hAnsi="Arial"/>
                <w:sz w:val="14"/>
                <w:szCs w:val="14"/>
                <w:b w:val="1"/>
                <w:bCs w:val="1"/>
                <w:color w:val="auto"/>
                <w:w w:val="90"/>
              </w:rPr>
              <w:t>Weighted Average</w:t>
            </w:r>
          </w:p>
        </w:tc>
        <w:tc>
          <w:tcPr>
            <w:tcW w:w="0" w:type="dxa"/>
            <w:vAlign w:val="bottom"/>
          </w:tcPr>
          <w:p>
            <w:pPr>
              <w:spacing w:after="0"/>
              <w:rPr>
                <w:sz w:val="1"/>
                <w:szCs w:val="1"/>
                <w:color w:val="auto"/>
              </w:rPr>
            </w:pPr>
          </w:p>
        </w:tc>
      </w:tr>
      <w:tr>
        <w:trPr>
          <w:trHeight w:val="149"/>
        </w:trPr>
        <w:tc>
          <w:tcPr>
            <w:tcW w:w="5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500" w:type="dxa"/>
            <w:vAlign w:val="bottom"/>
            <w:gridSpan w:val="2"/>
            <w:vMerge w:val="continue"/>
          </w:tcPr>
          <w:p>
            <w:pPr>
              <w:spacing w:after="0"/>
              <w:rPr>
                <w:sz w:val="12"/>
                <w:szCs w:val="12"/>
                <w:color w:val="auto"/>
              </w:rPr>
            </w:pPr>
          </w:p>
        </w:tc>
        <w:tc>
          <w:tcPr>
            <w:tcW w:w="150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3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8"/>
              </w:rPr>
              <w:t>Grant Date Fair</w:t>
            </w:r>
          </w:p>
        </w:tc>
        <w:tc>
          <w:tcPr>
            <w:tcW w:w="13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w w:val="95"/>
              </w:rPr>
              <w:t>Vest Date Fair Value</w:t>
            </w:r>
          </w:p>
        </w:tc>
        <w:tc>
          <w:tcPr>
            <w:tcW w:w="0" w:type="dxa"/>
            <w:vAlign w:val="bottom"/>
          </w:tcPr>
          <w:p>
            <w:pPr>
              <w:spacing w:after="0"/>
              <w:rPr>
                <w:sz w:val="1"/>
                <w:szCs w:val="1"/>
                <w:color w:val="auto"/>
              </w:rPr>
            </w:pPr>
          </w:p>
        </w:tc>
      </w:tr>
      <w:tr>
        <w:trPr>
          <w:trHeight w:val="162"/>
        </w:trPr>
        <w:tc>
          <w:tcPr>
            <w:tcW w:w="5500" w:type="dxa"/>
            <w:vAlign w:val="bottom"/>
            <w:tcBorders>
              <w:bottom w:val="single" w:sz="8" w:color="auto"/>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1380" w:type="dxa"/>
            <w:vAlign w:val="bottom"/>
            <w:tcBorders>
              <w:bottom w:val="single" w:sz="8" w:color="auto"/>
            </w:tcBorders>
          </w:tcPr>
          <w:p>
            <w:pPr>
              <w:jc w:val="right"/>
              <w:ind w:right="440"/>
              <w:spacing w:after="0"/>
              <w:rPr>
                <w:sz w:val="20"/>
                <w:szCs w:val="20"/>
                <w:color w:val="auto"/>
              </w:rPr>
            </w:pPr>
            <w:r>
              <w:rPr>
                <w:rFonts w:ascii="Arial" w:cs="Arial" w:eastAsia="Arial" w:hAnsi="Arial"/>
                <w:sz w:val="14"/>
                <w:szCs w:val="14"/>
                <w:b w:val="1"/>
                <w:bCs w:val="1"/>
                <w:color w:val="auto"/>
              </w:rPr>
              <w:t>Stock</w:t>
            </w:r>
          </w:p>
        </w:tc>
        <w:tc>
          <w:tcPr>
            <w:tcW w:w="120" w:type="dxa"/>
            <w:vAlign w:val="bottom"/>
            <w:tcBorders>
              <w:bottom w:val="single" w:sz="8" w:color="CCEEFF"/>
            </w:tcBorders>
          </w:tcPr>
          <w:p>
            <w:pPr>
              <w:spacing w:after="0"/>
              <w:rPr>
                <w:sz w:val="14"/>
                <w:szCs w:val="14"/>
                <w:color w:val="auto"/>
              </w:rPr>
            </w:pPr>
          </w:p>
        </w:tc>
        <w:tc>
          <w:tcPr>
            <w:tcW w:w="1360" w:type="dxa"/>
            <w:vAlign w:val="bottom"/>
            <w:tcBorders>
              <w:bottom w:val="single" w:sz="8" w:color="auto"/>
            </w:tcBorders>
          </w:tcPr>
          <w:p>
            <w:pPr>
              <w:jc w:val="right"/>
              <w:ind w:right="440"/>
              <w:spacing w:after="0"/>
              <w:rPr>
                <w:sz w:val="20"/>
                <w:szCs w:val="20"/>
                <w:color w:val="auto"/>
              </w:rPr>
            </w:pPr>
            <w:r>
              <w:rPr>
                <w:rFonts w:ascii="Arial" w:cs="Arial" w:eastAsia="Arial" w:hAnsi="Arial"/>
                <w:sz w:val="14"/>
                <w:szCs w:val="14"/>
                <w:b w:val="1"/>
                <w:bCs w:val="1"/>
                <w:color w:val="auto"/>
              </w:rPr>
              <w:t>Units</w:t>
            </w:r>
          </w:p>
        </w:tc>
        <w:tc>
          <w:tcPr>
            <w:tcW w:w="14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40" w:type="dxa"/>
            <w:vAlign w:val="bottom"/>
            <w:tcBorders>
              <w:bottom w:val="single" w:sz="8" w:color="auto"/>
            </w:tcBorders>
          </w:tcPr>
          <w:p>
            <w:pPr>
              <w:jc w:val="center"/>
              <w:ind w:right="21"/>
              <w:spacing w:after="0"/>
              <w:rPr>
                <w:sz w:val="20"/>
                <w:szCs w:val="20"/>
                <w:color w:val="auto"/>
              </w:rPr>
            </w:pPr>
            <w:r>
              <w:rPr>
                <w:rFonts w:ascii="Arial" w:cs="Arial" w:eastAsia="Arial" w:hAnsi="Arial"/>
                <w:sz w:val="14"/>
                <w:szCs w:val="14"/>
                <w:b w:val="1"/>
                <w:bCs w:val="1"/>
                <w:color w:val="auto"/>
                <w:w w:val="91"/>
              </w:rPr>
              <w:t xml:space="preserve">Value </w:t>
            </w:r>
            <w:r>
              <w:rPr>
                <w:rFonts w:ascii="Arial" w:cs="Arial" w:eastAsia="Arial" w:hAnsi="Arial"/>
                <w:sz w:val="8"/>
                <w:szCs w:val="8"/>
                <w:b w:val="1"/>
                <w:bCs w:val="1"/>
                <w:color w:val="auto"/>
                <w:w w:val="91"/>
              </w:rPr>
              <w:t>1</w:t>
            </w:r>
          </w:p>
        </w:tc>
        <w:tc>
          <w:tcPr>
            <w:tcW w:w="10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40" w:type="dxa"/>
            <w:vAlign w:val="bottom"/>
            <w:tcBorders>
              <w:bottom w:val="single" w:sz="8" w:color="auto"/>
            </w:tcBorders>
          </w:tcPr>
          <w:p>
            <w:pPr>
              <w:jc w:val="right"/>
              <w:ind w:right="582"/>
              <w:spacing w:after="0"/>
              <w:rPr>
                <w:sz w:val="20"/>
                <w:szCs w:val="20"/>
                <w:color w:val="auto"/>
              </w:rPr>
            </w:pPr>
            <w:r>
              <w:rPr>
                <w:rFonts w:ascii="Arial" w:cs="Arial" w:eastAsia="Arial" w:hAnsi="Arial"/>
                <w:sz w:val="9"/>
                <w:szCs w:val="9"/>
                <w:b w:val="1"/>
                <w:bCs w:val="1"/>
                <w:color w:val="auto"/>
              </w:rPr>
              <w:t>2</w:t>
            </w:r>
          </w:p>
        </w:tc>
        <w:tc>
          <w:tcPr>
            <w:tcW w:w="0" w:type="dxa"/>
            <w:vAlign w:val="bottom"/>
          </w:tcPr>
          <w:p>
            <w:pPr>
              <w:spacing w:after="0"/>
              <w:rPr>
                <w:sz w:val="1"/>
                <w:szCs w:val="1"/>
                <w:color w:val="auto"/>
              </w:rPr>
            </w:pPr>
          </w:p>
        </w:tc>
      </w:tr>
      <w:tr>
        <w:trPr>
          <w:trHeight w:val="244"/>
        </w:trPr>
        <w:tc>
          <w:tcPr>
            <w:tcW w:w="56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b w:val="1"/>
                <w:bCs w:val="1"/>
                <w:color w:val="auto"/>
              </w:rPr>
              <w:t>Fiscal Year 2015</w:t>
            </w:r>
          </w:p>
        </w:tc>
        <w:tc>
          <w:tcPr>
            <w:tcW w:w="13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5620" w:type="dxa"/>
            <w:vAlign w:val="bottom"/>
            <w:gridSpan w:val="2"/>
          </w:tcPr>
          <w:p>
            <w:pPr>
              <w:ind w:left="40"/>
              <w:spacing w:after="0"/>
              <w:rPr>
                <w:sz w:val="20"/>
                <w:szCs w:val="20"/>
                <w:color w:val="auto"/>
              </w:rPr>
            </w:pPr>
            <w:r>
              <w:rPr>
                <w:rFonts w:ascii="Arial" w:cs="Arial" w:eastAsia="Arial" w:hAnsi="Arial"/>
                <w:sz w:val="16"/>
                <w:szCs w:val="16"/>
                <w:color w:val="auto"/>
              </w:rPr>
              <w:t>Unvested balance as of December 31, 2014</w:t>
            </w:r>
          </w:p>
        </w:tc>
        <w:tc>
          <w:tcPr>
            <w:tcW w:w="1380" w:type="dxa"/>
            <w:vAlign w:val="bottom"/>
          </w:tcPr>
          <w:p>
            <w:pPr>
              <w:jc w:val="right"/>
              <w:spacing w:after="0"/>
              <w:rPr>
                <w:sz w:val="20"/>
                <w:szCs w:val="20"/>
                <w:color w:val="auto"/>
              </w:rPr>
            </w:pPr>
            <w:r>
              <w:rPr>
                <w:rFonts w:ascii="Arial" w:cs="Arial" w:eastAsia="Arial" w:hAnsi="Arial"/>
                <w:sz w:val="16"/>
                <w:szCs w:val="16"/>
                <w:color w:val="auto"/>
              </w:rPr>
              <w:t>14,000</w:t>
            </w:r>
          </w:p>
        </w:tc>
        <w:tc>
          <w:tcPr>
            <w:tcW w:w="120" w:type="dxa"/>
            <w:vAlign w:val="bottom"/>
          </w:tcPr>
          <w:p>
            <w:pPr>
              <w:spacing w:after="0"/>
              <w:rPr>
                <w:sz w:val="20"/>
                <w:szCs w:val="20"/>
                <w:color w:val="auto"/>
              </w:rPr>
            </w:pPr>
          </w:p>
        </w:tc>
        <w:tc>
          <w:tcPr>
            <w:tcW w:w="1360" w:type="dxa"/>
            <w:vAlign w:val="bottom"/>
          </w:tcPr>
          <w:p>
            <w:pPr>
              <w:jc w:val="right"/>
              <w:ind w:right="40"/>
              <w:spacing w:after="0"/>
              <w:rPr>
                <w:sz w:val="20"/>
                <w:szCs w:val="20"/>
                <w:color w:val="auto"/>
              </w:rPr>
            </w:pPr>
            <w:r>
              <w:rPr>
                <w:rFonts w:ascii="Arial" w:cs="Arial" w:eastAsia="Arial" w:hAnsi="Arial"/>
                <w:sz w:val="16"/>
                <w:szCs w:val="16"/>
                <w:color w:val="auto"/>
              </w:rPr>
              <w:t>18,239</w:t>
            </w:r>
          </w:p>
        </w:tc>
        <w:tc>
          <w:tcPr>
            <w:tcW w:w="140" w:type="dxa"/>
            <w:vAlign w:val="bottom"/>
          </w:tcPr>
          <w:p>
            <w:pPr>
              <w:spacing w:after="0"/>
              <w:rPr>
                <w:sz w:val="20"/>
                <w:szCs w:val="20"/>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Pr>
          <w:p>
            <w:pPr>
              <w:jc w:val="right"/>
              <w:ind w:right="21"/>
              <w:spacing w:after="0"/>
              <w:rPr>
                <w:sz w:val="20"/>
                <w:szCs w:val="20"/>
                <w:color w:val="auto"/>
              </w:rPr>
            </w:pPr>
            <w:r>
              <w:rPr>
                <w:rFonts w:ascii="Arial" w:cs="Arial" w:eastAsia="Arial" w:hAnsi="Arial"/>
                <w:sz w:val="16"/>
                <w:szCs w:val="16"/>
                <w:color w:val="auto"/>
              </w:rPr>
              <w:t>25.11</w:t>
            </w:r>
          </w:p>
        </w:tc>
        <w:tc>
          <w:tcPr>
            <w:tcW w:w="100" w:type="dxa"/>
            <w:vAlign w:val="bottom"/>
          </w:tcPr>
          <w:p>
            <w:pPr>
              <w:spacing w:after="0"/>
              <w:rPr>
                <w:sz w:val="20"/>
                <w:szCs w:val="20"/>
                <w:color w:val="auto"/>
              </w:rPr>
            </w:pPr>
          </w:p>
        </w:tc>
        <w:tc>
          <w:tcPr>
            <w:tcW w:w="120" w:type="dxa"/>
            <w:vAlign w:val="bottom"/>
          </w:tcPr>
          <w:p>
            <w:pPr>
              <w:ind w:left="40"/>
              <w:spacing w:after="0"/>
              <w:rPr>
                <w:sz w:val="20"/>
                <w:szCs w:val="20"/>
                <w:color w:val="auto"/>
              </w:rPr>
            </w:pPr>
            <w:r>
              <w:rPr>
                <w:rFonts w:ascii="Arial" w:cs="Arial" w:eastAsia="Arial" w:hAnsi="Arial"/>
                <w:sz w:val="15"/>
                <w:szCs w:val="15"/>
                <w:color w:val="auto"/>
                <w:w w:val="71"/>
              </w:rPr>
              <w:t>$</w:t>
            </w:r>
          </w:p>
        </w:tc>
        <w:tc>
          <w:tcPr>
            <w:tcW w:w="124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5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Granted</w:t>
            </w:r>
          </w:p>
        </w:tc>
        <w:tc>
          <w:tcPr>
            <w:tcW w:w="15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3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28,880</w:t>
            </w:r>
          </w:p>
        </w:tc>
        <w:tc>
          <w:tcPr>
            <w:tcW w:w="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21.64</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5"/>
                <w:szCs w:val="15"/>
                <w:color w:val="auto"/>
                <w:w w:val="71"/>
              </w:rPr>
              <w:t>$</w:t>
            </w:r>
          </w:p>
        </w:tc>
        <w:tc>
          <w:tcPr>
            <w:tcW w:w="124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5620" w:type="dxa"/>
            <w:vAlign w:val="bottom"/>
            <w:gridSpan w:val="2"/>
          </w:tcPr>
          <w:p>
            <w:pPr>
              <w:ind w:left="200"/>
              <w:spacing w:after="0"/>
              <w:rPr>
                <w:sz w:val="20"/>
                <w:szCs w:val="20"/>
                <w:color w:val="auto"/>
              </w:rPr>
            </w:pPr>
            <w:r>
              <w:rPr>
                <w:rFonts w:ascii="Arial" w:cs="Arial" w:eastAsia="Arial" w:hAnsi="Arial"/>
                <w:sz w:val="16"/>
                <w:szCs w:val="16"/>
                <w:color w:val="auto"/>
              </w:rPr>
              <w:t>Accrued RSU dividend equivalents</w:t>
            </w:r>
          </w:p>
        </w:tc>
        <w:tc>
          <w:tcPr>
            <w:tcW w:w="150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360" w:type="dxa"/>
            <w:vAlign w:val="bottom"/>
          </w:tcPr>
          <w:p>
            <w:pPr>
              <w:jc w:val="right"/>
              <w:ind w:right="40"/>
              <w:spacing w:after="0"/>
              <w:rPr>
                <w:sz w:val="20"/>
                <w:szCs w:val="20"/>
                <w:color w:val="auto"/>
              </w:rPr>
            </w:pPr>
            <w:r>
              <w:rPr>
                <w:rFonts w:ascii="Arial" w:cs="Arial" w:eastAsia="Arial" w:hAnsi="Arial"/>
                <w:sz w:val="16"/>
                <w:szCs w:val="16"/>
                <w:color w:val="auto"/>
              </w:rPr>
              <w:t>3,319</w:t>
            </w:r>
          </w:p>
        </w:tc>
        <w:tc>
          <w:tcPr>
            <w:tcW w:w="140" w:type="dxa"/>
            <w:vAlign w:val="bottom"/>
          </w:tcPr>
          <w:p>
            <w:pPr>
              <w:spacing w:after="0"/>
              <w:rPr>
                <w:sz w:val="20"/>
                <w:szCs w:val="20"/>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ind w:left="40"/>
              <w:spacing w:after="0"/>
              <w:rPr>
                <w:sz w:val="20"/>
                <w:szCs w:val="20"/>
                <w:color w:val="auto"/>
              </w:rPr>
            </w:pPr>
            <w:r>
              <w:rPr>
                <w:rFonts w:ascii="Arial" w:cs="Arial" w:eastAsia="Arial" w:hAnsi="Arial"/>
                <w:sz w:val="15"/>
                <w:szCs w:val="15"/>
                <w:color w:val="auto"/>
                <w:w w:val="71"/>
              </w:rPr>
              <w:t>$</w:t>
            </w:r>
          </w:p>
        </w:tc>
        <w:tc>
          <w:tcPr>
            <w:tcW w:w="124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5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62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Vested</w:t>
            </w:r>
          </w:p>
        </w:tc>
        <w:tc>
          <w:tcPr>
            <w:tcW w:w="138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rPr>
              <w:t>9,000</w:t>
            </w:r>
          </w:p>
        </w:tc>
        <w:tc>
          <w:tcPr>
            <w:tcW w:w="12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19,007</w:t>
            </w:r>
          </w:p>
        </w:tc>
        <w:tc>
          <w:tcPr>
            <w:tcW w:w="1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23.17</w:t>
            </w: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5"/>
                <w:szCs w:val="15"/>
                <w:color w:val="auto"/>
                <w:w w:val="71"/>
              </w:rPr>
              <w:t>$</w:t>
            </w:r>
          </w:p>
        </w:tc>
        <w:tc>
          <w:tcPr>
            <w:tcW w:w="124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21.03</w:t>
            </w:r>
          </w:p>
        </w:tc>
        <w:tc>
          <w:tcPr>
            <w:tcW w:w="0" w:type="dxa"/>
            <w:vAlign w:val="bottom"/>
          </w:tcPr>
          <w:p>
            <w:pPr>
              <w:spacing w:after="0"/>
              <w:rPr>
                <w:sz w:val="1"/>
                <w:szCs w:val="1"/>
                <w:color w:val="auto"/>
              </w:rPr>
            </w:pPr>
          </w:p>
        </w:tc>
      </w:tr>
      <w:tr>
        <w:trPr>
          <w:trHeight w:val="284"/>
        </w:trPr>
        <w:tc>
          <w:tcPr>
            <w:tcW w:w="5620" w:type="dxa"/>
            <w:vAlign w:val="bottom"/>
            <w:tcBorders>
              <w:bottom w:val="single" w:sz="8" w:color="CCEEFF"/>
            </w:tcBorders>
            <w:gridSpan w:val="2"/>
          </w:tcPr>
          <w:p>
            <w:pPr>
              <w:ind w:left="40"/>
              <w:spacing w:after="0"/>
              <w:rPr>
                <w:sz w:val="20"/>
                <w:szCs w:val="20"/>
                <w:color w:val="auto"/>
              </w:rPr>
            </w:pPr>
            <w:r>
              <w:rPr>
                <w:rFonts w:ascii="Arial" w:cs="Arial" w:eastAsia="Arial" w:hAnsi="Arial"/>
                <w:sz w:val="16"/>
                <w:szCs w:val="16"/>
                <w:color w:val="auto"/>
              </w:rPr>
              <w:t>Unvested balance as of December 31, 2015</w:t>
            </w:r>
          </w:p>
        </w:tc>
        <w:tc>
          <w:tcPr>
            <w:tcW w:w="1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5,000</w:t>
            </w:r>
          </w:p>
        </w:tc>
        <w:tc>
          <w:tcPr>
            <w:tcW w:w="120" w:type="dxa"/>
            <w:vAlign w:val="bottom"/>
            <w:tcBorders>
              <w:bottom w:val="single" w:sz="8" w:color="CCEEFF"/>
            </w:tcBorders>
          </w:tcPr>
          <w:p>
            <w:pPr>
              <w:spacing w:after="0"/>
              <w:rPr>
                <w:sz w:val="24"/>
                <w:szCs w:val="24"/>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31,431</w:t>
            </w:r>
          </w:p>
        </w:tc>
        <w:tc>
          <w:tcPr>
            <w:tcW w:w="140" w:type="dxa"/>
            <w:vAlign w:val="bottom"/>
            <w:tcBorders>
              <w:bottom w:val="single" w:sz="8" w:color="CCEEFF"/>
            </w:tcBorders>
          </w:tcPr>
          <w:p>
            <w:pPr>
              <w:spacing w:after="0"/>
              <w:rPr>
                <w:sz w:val="24"/>
                <w:szCs w:val="24"/>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6"/>
                <w:szCs w:val="16"/>
                <w:color w:val="auto"/>
              </w:rPr>
              <w:t>21.44</w:t>
            </w:r>
          </w:p>
        </w:tc>
        <w:tc>
          <w:tcPr>
            <w:tcW w:w="100" w:type="dxa"/>
            <w:vAlign w:val="bottom"/>
            <w:tcBorders>
              <w:bottom w:val="single" w:sz="8" w:color="CCEEFF"/>
            </w:tcBorders>
          </w:tcPr>
          <w:p>
            <w:pPr>
              <w:spacing w:after="0"/>
              <w:rPr>
                <w:sz w:val="24"/>
                <w:szCs w:val="24"/>
                <w:color w:val="auto"/>
              </w:rPr>
            </w:pPr>
          </w:p>
        </w:tc>
        <w:tc>
          <w:tcPr>
            <w:tcW w:w="12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5"/>
                <w:szCs w:val="15"/>
                <w:color w:val="auto"/>
                <w:w w:val="71"/>
              </w:rPr>
              <w:t>$</w:t>
            </w:r>
          </w:p>
        </w:tc>
        <w:tc>
          <w:tcPr>
            <w:tcW w:w="1240" w:type="dxa"/>
            <w:vAlign w:val="bottom"/>
            <w:tcBorders>
              <w:top w:val="single" w:sz="8" w:color="auto"/>
              <w:bottom w:val="single" w:sz="8" w:color="auto"/>
            </w:tcBorders>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84"/>
        </w:trPr>
        <w:tc>
          <w:tcPr>
            <w:tcW w:w="55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3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5620" w:type="dxa"/>
            <w:vAlign w:val="bottom"/>
            <w:gridSpan w:val="2"/>
          </w:tcPr>
          <w:p>
            <w:pPr>
              <w:ind w:left="40"/>
              <w:spacing w:after="0"/>
              <w:rPr>
                <w:sz w:val="20"/>
                <w:szCs w:val="20"/>
                <w:color w:val="auto"/>
              </w:rPr>
            </w:pPr>
            <w:r>
              <w:rPr>
                <w:rFonts w:ascii="Arial" w:cs="Arial" w:eastAsia="Arial" w:hAnsi="Arial"/>
                <w:sz w:val="16"/>
                <w:szCs w:val="16"/>
                <w:b w:val="1"/>
                <w:bCs w:val="1"/>
                <w:color w:val="auto"/>
              </w:rPr>
              <w:t>Fiscal Year 2014</w:t>
            </w:r>
          </w:p>
        </w:tc>
        <w:tc>
          <w:tcPr>
            <w:tcW w:w="13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5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Unvested balance as of December 31, 2013</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27,000</w:t>
            </w:r>
          </w:p>
        </w:tc>
        <w:tc>
          <w:tcPr>
            <w:tcW w:w="12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30.37</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5"/>
                <w:szCs w:val="15"/>
                <w:color w:val="auto"/>
                <w:w w:val="71"/>
              </w:rPr>
              <w:t>$</w:t>
            </w:r>
          </w:p>
        </w:tc>
        <w:tc>
          <w:tcPr>
            <w:tcW w:w="124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5620" w:type="dxa"/>
            <w:vAlign w:val="bottom"/>
            <w:gridSpan w:val="2"/>
          </w:tcPr>
          <w:p>
            <w:pPr>
              <w:ind w:left="200"/>
              <w:spacing w:after="0"/>
              <w:rPr>
                <w:sz w:val="20"/>
                <w:szCs w:val="20"/>
                <w:color w:val="auto"/>
              </w:rPr>
            </w:pPr>
            <w:r>
              <w:rPr>
                <w:rFonts w:ascii="Arial" w:cs="Arial" w:eastAsia="Arial" w:hAnsi="Arial"/>
                <w:sz w:val="16"/>
                <w:szCs w:val="16"/>
                <w:color w:val="auto"/>
              </w:rPr>
              <w:t>Granted</w:t>
            </w:r>
          </w:p>
        </w:tc>
        <w:tc>
          <w:tcPr>
            <w:tcW w:w="150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360" w:type="dxa"/>
            <w:vAlign w:val="bottom"/>
          </w:tcPr>
          <w:p>
            <w:pPr>
              <w:jc w:val="right"/>
              <w:ind w:right="40"/>
              <w:spacing w:after="0"/>
              <w:rPr>
                <w:sz w:val="20"/>
                <w:szCs w:val="20"/>
                <w:color w:val="auto"/>
              </w:rPr>
            </w:pPr>
            <w:r>
              <w:rPr>
                <w:rFonts w:ascii="Arial" w:cs="Arial" w:eastAsia="Arial" w:hAnsi="Arial"/>
                <w:sz w:val="16"/>
                <w:szCs w:val="16"/>
                <w:color w:val="auto"/>
              </w:rPr>
              <w:t>16,770</w:t>
            </w:r>
          </w:p>
        </w:tc>
        <w:tc>
          <w:tcPr>
            <w:tcW w:w="140" w:type="dxa"/>
            <w:vAlign w:val="bottom"/>
          </w:tcPr>
          <w:p>
            <w:pPr>
              <w:spacing w:after="0"/>
              <w:rPr>
                <w:sz w:val="20"/>
                <w:szCs w:val="20"/>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Pr>
          <w:p>
            <w:pPr>
              <w:jc w:val="right"/>
              <w:ind w:right="21"/>
              <w:spacing w:after="0"/>
              <w:rPr>
                <w:sz w:val="20"/>
                <w:szCs w:val="20"/>
                <w:color w:val="auto"/>
              </w:rPr>
            </w:pPr>
            <w:r>
              <w:rPr>
                <w:rFonts w:ascii="Arial" w:cs="Arial" w:eastAsia="Arial" w:hAnsi="Arial"/>
                <w:sz w:val="16"/>
                <w:szCs w:val="16"/>
                <w:color w:val="auto"/>
              </w:rPr>
              <w:t>22.36</w:t>
            </w:r>
          </w:p>
        </w:tc>
        <w:tc>
          <w:tcPr>
            <w:tcW w:w="100" w:type="dxa"/>
            <w:vAlign w:val="bottom"/>
          </w:tcPr>
          <w:p>
            <w:pPr>
              <w:spacing w:after="0"/>
              <w:rPr>
                <w:sz w:val="20"/>
                <w:szCs w:val="20"/>
                <w:color w:val="auto"/>
              </w:rPr>
            </w:pPr>
          </w:p>
        </w:tc>
        <w:tc>
          <w:tcPr>
            <w:tcW w:w="120" w:type="dxa"/>
            <w:vAlign w:val="bottom"/>
          </w:tcPr>
          <w:p>
            <w:pPr>
              <w:ind w:left="40"/>
              <w:spacing w:after="0"/>
              <w:rPr>
                <w:sz w:val="20"/>
                <w:szCs w:val="20"/>
                <w:color w:val="auto"/>
              </w:rPr>
            </w:pPr>
            <w:r>
              <w:rPr>
                <w:rFonts w:ascii="Arial" w:cs="Arial" w:eastAsia="Arial" w:hAnsi="Arial"/>
                <w:sz w:val="15"/>
                <w:szCs w:val="15"/>
                <w:color w:val="auto"/>
                <w:w w:val="71"/>
              </w:rPr>
              <w:t>$</w:t>
            </w:r>
          </w:p>
        </w:tc>
        <w:tc>
          <w:tcPr>
            <w:tcW w:w="124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5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Accrued RSU dividend equivalents</w:t>
            </w:r>
          </w:p>
        </w:tc>
        <w:tc>
          <w:tcPr>
            <w:tcW w:w="15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3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1,469</w:t>
            </w:r>
          </w:p>
        </w:tc>
        <w:tc>
          <w:tcPr>
            <w:tcW w:w="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5"/>
                <w:szCs w:val="15"/>
                <w:color w:val="auto"/>
                <w:w w:val="71"/>
              </w:rPr>
              <w:t>$</w:t>
            </w:r>
          </w:p>
        </w:tc>
        <w:tc>
          <w:tcPr>
            <w:tcW w:w="124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5620" w:type="dxa"/>
            <w:vAlign w:val="bottom"/>
            <w:gridSpan w:val="2"/>
          </w:tcPr>
          <w:p>
            <w:pPr>
              <w:ind w:left="200"/>
              <w:spacing w:after="0"/>
              <w:rPr>
                <w:sz w:val="20"/>
                <w:szCs w:val="20"/>
                <w:color w:val="auto"/>
              </w:rPr>
            </w:pPr>
            <w:r>
              <w:rPr>
                <w:rFonts w:ascii="Arial" w:cs="Arial" w:eastAsia="Arial" w:hAnsi="Arial"/>
                <w:sz w:val="16"/>
                <w:szCs w:val="16"/>
                <w:color w:val="auto"/>
              </w:rPr>
              <w:t>Vested</w:t>
            </w:r>
          </w:p>
        </w:tc>
        <w:tc>
          <w:tcPr>
            <w:tcW w:w="1380" w:type="dxa"/>
            <w:vAlign w:val="bottom"/>
          </w:tcPr>
          <w:p>
            <w:pPr>
              <w:jc w:val="right"/>
              <w:ind w:right="60"/>
              <w:spacing w:after="0"/>
              <w:rPr>
                <w:sz w:val="20"/>
                <w:szCs w:val="20"/>
                <w:color w:val="auto"/>
              </w:rPr>
            </w:pPr>
            <w:r>
              <w:rPr>
                <w:rFonts w:ascii="Arial" w:cs="Arial" w:eastAsia="Arial" w:hAnsi="Arial"/>
                <w:sz w:val="16"/>
                <w:szCs w:val="16"/>
                <w:color w:val="auto"/>
              </w:rPr>
              <w:t>13,000</w:t>
            </w:r>
          </w:p>
        </w:tc>
        <w:tc>
          <w:tcPr>
            <w:tcW w:w="120" w:type="dxa"/>
            <w:vAlign w:val="bottom"/>
          </w:tcPr>
          <w:p>
            <w:pPr>
              <w:spacing w:after="0"/>
              <w:rPr>
                <w:sz w:val="20"/>
                <w:szCs w:val="20"/>
                <w:color w:val="auto"/>
              </w:rPr>
            </w:pPr>
          </w:p>
        </w:tc>
        <w:tc>
          <w:tcPr>
            <w:tcW w:w="150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Pr>
          <w:p>
            <w:pPr>
              <w:jc w:val="right"/>
              <w:ind w:right="21"/>
              <w:spacing w:after="0"/>
              <w:rPr>
                <w:sz w:val="20"/>
                <w:szCs w:val="20"/>
                <w:color w:val="auto"/>
              </w:rPr>
            </w:pPr>
            <w:r>
              <w:rPr>
                <w:rFonts w:ascii="Arial" w:cs="Arial" w:eastAsia="Arial" w:hAnsi="Arial"/>
                <w:sz w:val="16"/>
                <w:szCs w:val="16"/>
                <w:color w:val="auto"/>
              </w:rPr>
              <w:t>30.01</w:t>
            </w:r>
          </w:p>
        </w:tc>
        <w:tc>
          <w:tcPr>
            <w:tcW w:w="100" w:type="dxa"/>
            <w:vAlign w:val="bottom"/>
          </w:tcPr>
          <w:p>
            <w:pPr>
              <w:spacing w:after="0"/>
              <w:rPr>
                <w:sz w:val="20"/>
                <w:szCs w:val="20"/>
                <w:color w:val="auto"/>
              </w:rPr>
            </w:pPr>
          </w:p>
        </w:tc>
        <w:tc>
          <w:tcPr>
            <w:tcW w:w="120" w:type="dxa"/>
            <w:vAlign w:val="bottom"/>
          </w:tcPr>
          <w:p>
            <w:pPr>
              <w:ind w:left="40"/>
              <w:spacing w:after="0"/>
              <w:rPr>
                <w:sz w:val="20"/>
                <w:szCs w:val="20"/>
                <w:color w:val="auto"/>
              </w:rPr>
            </w:pPr>
            <w:r>
              <w:rPr>
                <w:rFonts w:ascii="Arial" w:cs="Arial" w:eastAsia="Arial" w:hAnsi="Arial"/>
                <w:sz w:val="15"/>
                <w:szCs w:val="15"/>
                <w:color w:val="auto"/>
                <w:w w:val="71"/>
              </w:rPr>
              <w:t>$</w:t>
            </w:r>
          </w:p>
        </w:tc>
        <w:tc>
          <w:tcPr>
            <w:tcW w:w="1240" w:type="dxa"/>
            <w:vAlign w:val="bottom"/>
          </w:tcPr>
          <w:p>
            <w:pPr>
              <w:jc w:val="right"/>
              <w:ind w:right="22"/>
              <w:spacing w:after="0"/>
              <w:rPr>
                <w:sz w:val="20"/>
                <w:szCs w:val="20"/>
                <w:color w:val="auto"/>
              </w:rPr>
            </w:pPr>
            <w:r>
              <w:rPr>
                <w:rFonts w:ascii="Arial" w:cs="Arial" w:eastAsia="Arial" w:hAnsi="Arial"/>
                <w:sz w:val="16"/>
                <w:szCs w:val="16"/>
                <w:color w:val="auto"/>
              </w:rPr>
              <w:t>22.01</w:t>
            </w:r>
          </w:p>
        </w:tc>
        <w:tc>
          <w:tcPr>
            <w:tcW w:w="0" w:type="dxa"/>
            <w:vAlign w:val="bottom"/>
          </w:tcPr>
          <w:p>
            <w:pPr>
              <w:spacing w:after="0"/>
              <w:rPr>
                <w:sz w:val="1"/>
                <w:szCs w:val="1"/>
                <w:color w:val="auto"/>
              </w:rPr>
            </w:pPr>
          </w:p>
        </w:tc>
      </w:tr>
      <w:tr>
        <w:trPr>
          <w:trHeight w:val="33"/>
        </w:trPr>
        <w:tc>
          <w:tcPr>
            <w:tcW w:w="55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6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Unvested balance as of December 31, 2014</w:t>
            </w:r>
          </w:p>
        </w:tc>
        <w:tc>
          <w:tcPr>
            <w:tcW w:w="1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14,000</w:t>
            </w:r>
          </w:p>
        </w:tc>
        <w:tc>
          <w:tcPr>
            <w:tcW w:w="1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18,239</w:t>
            </w:r>
          </w:p>
        </w:tc>
        <w:tc>
          <w:tcPr>
            <w:tcW w:w="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Borders>
              <w:bottom w:val="single" w:sz="8" w:color="auto"/>
            </w:tcBorders>
            <w:shd w:val="clear" w:color="auto" w:fill="CCEEFF"/>
          </w:tcPr>
          <w:p>
            <w:pPr>
              <w:jc w:val="right"/>
              <w:ind w:right="21"/>
              <w:spacing w:after="0"/>
              <w:rPr>
                <w:sz w:val="20"/>
                <w:szCs w:val="20"/>
                <w:color w:val="auto"/>
              </w:rPr>
            </w:pPr>
            <w:r>
              <w:rPr>
                <w:rFonts w:ascii="Arial" w:cs="Arial" w:eastAsia="Arial" w:hAnsi="Arial"/>
                <w:sz w:val="16"/>
                <w:szCs w:val="16"/>
                <w:color w:val="auto"/>
              </w:rPr>
              <w:t>25.11</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5"/>
                <w:szCs w:val="15"/>
                <w:color w:val="auto"/>
                <w:w w:val="71"/>
              </w:rPr>
              <w:t>$</w:t>
            </w:r>
          </w:p>
        </w:tc>
        <w:tc>
          <w:tcPr>
            <w:tcW w:w="1240" w:type="dxa"/>
            <w:vAlign w:val="bottom"/>
            <w:tcBorders>
              <w:bottom w:val="single" w:sz="8" w:color="auto"/>
            </w:tcBorders>
            <w:shd w:val="clear" w:color="auto" w:fill="CCEEFF"/>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
        </w:trPr>
        <w:tc>
          <w:tcPr>
            <w:tcW w:w="55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1"/>
        </w:trPr>
        <w:tc>
          <w:tcPr>
            <w:tcW w:w="5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56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b w:val="1"/>
                <w:bCs w:val="1"/>
                <w:color w:val="auto"/>
              </w:rPr>
              <w:t>Fiscal Year 2013</w:t>
            </w:r>
          </w:p>
        </w:tc>
        <w:tc>
          <w:tcPr>
            <w:tcW w:w="13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5620" w:type="dxa"/>
            <w:vAlign w:val="bottom"/>
            <w:gridSpan w:val="2"/>
          </w:tcPr>
          <w:p>
            <w:pPr>
              <w:ind w:left="40"/>
              <w:spacing w:after="0"/>
              <w:rPr>
                <w:sz w:val="20"/>
                <w:szCs w:val="20"/>
                <w:color w:val="auto"/>
              </w:rPr>
            </w:pPr>
            <w:r>
              <w:rPr>
                <w:rFonts w:ascii="Arial" w:cs="Arial" w:eastAsia="Arial" w:hAnsi="Arial"/>
                <w:sz w:val="16"/>
                <w:szCs w:val="16"/>
                <w:color w:val="auto"/>
              </w:rPr>
              <w:t>Unvested balance as of December 31, 2012</w:t>
            </w:r>
          </w:p>
        </w:tc>
        <w:tc>
          <w:tcPr>
            <w:tcW w:w="1380" w:type="dxa"/>
            <w:vAlign w:val="bottom"/>
          </w:tcPr>
          <w:p>
            <w:pPr>
              <w:jc w:val="right"/>
              <w:spacing w:after="0"/>
              <w:rPr>
                <w:sz w:val="20"/>
                <w:szCs w:val="20"/>
                <w:color w:val="auto"/>
              </w:rPr>
            </w:pPr>
            <w:r>
              <w:rPr>
                <w:rFonts w:ascii="Arial" w:cs="Arial" w:eastAsia="Arial" w:hAnsi="Arial"/>
                <w:sz w:val="16"/>
                <w:szCs w:val="16"/>
                <w:color w:val="auto"/>
              </w:rPr>
              <w:t>21,500</w:t>
            </w:r>
          </w:p>
        </w:tc>
        <w:tc>
          <w:tcPr>
            <w:tcW w:w="120" w:type="dxa"/>
            <w:vAlign w:val="bottom"/>
          </w:tcPr>
          <w:p>
            <w:pPr>
              <w:spacing w:after="0"/>
              <w:rPr>
                <w:sz w:val="20"/>
                <w:szCs w:val="20"/>
                <w:color w:val="auto"/>
              </w:rPr>
            </w:pPr>
          </w:p>
        </w:tc>
        <w:tc>
          <w:tcPr>
            <w:tcW w:w="150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Pr>
          <w:p>
            <w:pPr>
              <w:jc w:val="right"/>
              <w:ind w:right="21"/>
              <w:spacing w:after="0"/>
              <w:rPr>
                <w:sz w:val="20"/>
                <w:szCs w:val="20"/>
                <w:color w:val="auto"/>
              </w:rPr>
            </w:pPr>
            <w:r>
              <w:rPr>
                <w:rFonts w:ascii="Arial" w:cs="Arial" w:eastAsia="Arial" w:hAnsi="Arial"/>
                <w:sz w:val="16"/>
                <w:szCs w:val="16"/>
                <w:color w:val="auto"/>
              </w:rPr>
              <w:t>29.06</w:t>
            </w:r>
          </w:p>
        </w:tc>
        <w:tc>
          <w:tcPr>
            <w:tcW w:w="100" w:type="dxa"/>
            <w:vAlign w:val="bottom"/>
          </w:tcPr>
          <w:p>
            <w:pPr>
              <w:spacing w:after="0"/>
              <w:rPr>
                <w:sz w:val="20"/>
                <w:szCs w:val="20"/>
                <w:color w:val="auto"/>
              </w:rPr>
            </w:pPr>
          </w:p>
        </w:tc>
        <w:tc>
          <w:tcPr>
            <w:tcW w:w="120" w:type="dxa"/>
            <w:vAlign w:val="bottom"/>
          </w:tcPr>
          <w:p>
            <w:pPr>
              <w:ind w:left="40"/>
              <w:spacing w:after="0"/>
              <w:rPr>
                <w:sz w:val="20"/>
                <w:szCs w:val="20"/>
                <w:color w:val="auto"/>
              </w:rPr>
            </w:pPr>
            <w:r>
              <w:rPr>
                <w:rFonts w:ascii="Arial" w:cs="Arial" w:eastAsia="Arial" w:hAnsi="Arial"/>
                <w:sz w:val="15"/>
                <w:szCs w:val="15"/>
                <w:color w:val="auto"/>
                <w:w w:val="71"/>
              </w:rPr>
              <w:t>$</w:t>
            </w:r>
          </w:p>
        </w:tc>
        <w:tc>
          <w:tcPr>
            <w:tcW w:w="124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5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Granted</w:t>
            </w:r>
          </w:p>
        </w:tc>
        <w:tc>
          <w:tcPr>
            <w:tcW w:w="138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rPr>
              <w:t>15,000</w:t>
            </w:r>
          </w:p>
        </w:tc>
        <w:tc>
          <w:tcPr>
            <w:tcW w:w="12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31.20</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5"/>
                <w:szCs w:val="15"/>
                <w:color w:val="auto"/>
                <w:w w:val="71"/>
              </w:rPr>
              <w:t>$</w:t>
            </w:r>
          </w:p>
        </w:tc>
        <w:tc>
          <w:tcPr>
            <w:tcW w:w="124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5620" w:type="dxa"/>
            <w:vAlign w:val="bottom"/>
            <w:gridSpan w:val="2"/>
          </w:tcPr>
          <w:p>
            <w:pPr>
              <w:ind w:left="200"/>
              <w:spacing w:after="0"/>
              <w:rPr>
                <w:sz w:val="20"/>
                <w:szCs w:val="20"/>
                <w:color w:val="auto"/>
              </w:rPr>
            </w:pPr>
            <w:r>
              <w:rPr>
                <w:rFonts w:ascii="Arial" w:cs="Arial" w:eastAsia="Arial" w:hAnsi="Arial"/>
                <w:sz w:val="16"/>
                <w:szCs w:val="16"/>
                <w:color w:val="auto"/>
              </w:rPr>
              <w:t>Vested</w:t>
            </w:r>
          </w:p>
        </w:tc>
        <w:tc>
          <w:tcPr>
            <w:tcW w:w="1380" w:type="dxa"/>
            <w:vAlign w:val="bottom"/>
          </w:tcPr>
          <w:p>
            <w:pPr>
              <w:jc w:val="right"/>
              <w:ind w:right="60"/>
              <w:spacing w:after="0"/>
              <w:rPr>
                <w:sz w:val="20"/>
                <w:szCs w:val="20"/>
                <w:color w:val="auto"/>
              </w:rPr>
            </w:pPr>
            <w:r>
              <w:rPr>
                <w:rFonts w:ascii="Arial" w:cs="Arial" w:eastAsia="Arial" w:hAnsi="Arial"/>
                <w:sz w:val="16"/>
                <w:szCs w:val="16"/>
                <w:color w:val="auto"/>
              </w:rPr>
              <w:t>9,500</w:t>
            </w:r>
          </w:p>
        </w:tc>
        <w:tc>
          <w:tcPr>
            <w:tcW w:w="120" w:type="dxa"/>
            <w:vAlign w:val="bottom"/>
          </w:tcPr>
          <w:p>
            <w:pPr>
              <w:spacing w:after="0"/>
              <w:rPr>
                <w:sz w:val="20"/>
                <w:szCs w:val="20"/>
                <w:color w:val="auto"/>
              </w:rPr>
            </w:pPr>
          </w:p>
        </w:tc>
        <w:tc>
          <w:tcPr>
            <w:tcW w:w="150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Pr>
          <w:p>
            <w:pPr>
              <w:jc w:val="right"/>
              <w:ind w:right="21"/>
              <w:spacing w:after="0"/>
              <w:rPr>
                <w:sz w:val="20"/>
                <w:szCs w:val="20"/>
                <w:color w:val="auto"/>
              </w:rPr>
            </w:pPr>
            <w:r>
              <w:rPr>
                <w:rFonts w:ascii="Arial" w:cs="Arial" w:eastAsia="Arial" w:hAnsi="Arial"/>
                <w:sz w:val="16"/>
                <w:szCs w:val="16"/>
                <w:color w:val="auto"/>
              </w:rPr>
              <w:t>28.71</w:t>
            </w:r>
          </w:p>
        </w:tc>
        <w:tc>
          <w:tcPr>
            <w:tcW w:w="100" w:type="dxa"/>
            <w:vAlign w:val="bottom"/>
          </w:tcPr>
          <w:p>
            <w:pPr>
              <w:spacing w:after="0"/>
              <w:rPr>
                <w:sz w:val="20"/>
                <w:szCs w:val="20"/>
                <w:color w:val="auto"/>
              </w:rPr>
            </w:pPr>
          </w:p>
        </w:tc>
        <w:tc>
          <w:tcPr>
            <w:tcW w:w="120" w:type="dxa"/>
            <w:vAlign w:val="bottom"/>
          </w:tcPr>
          <w:p>
            <w:pPr>
              <w:ind w:left="40"/>
              <w:spacing w:after="0"/>
              <w:rPr>
                <w:sz w:val="20"/>
                <w:szCs w:val="20"/>
                <w:color w:val="auto"/>
              </w:rPr>
            </w:pPr>
            <w:r>
              <w:rPr>
                <w:rFonts w:ascii="Arial" w:cs="Arial" w:eastAsia="Arial" w:hAnsi="Arial"/>
                <w:sz w:val="15"/>
                <w:szCs w:val="15"/>
                <w:color w:val="auto"/>
                <w:w w:val="71"/>
              </w:rPr>
              <w:t>$</w:t>
            </w:r>
          </w:p>
        </w:tc>
        <w:tc>
          <w:tcPr>
            <w:tcW w:w="1240" w:type="dxa"/>
            <w:vAlign w:val="bottom"/>
          </w:tcPr>
          <w:p>
            <w:pPr>
              <w:jc w:val="right"/>
              <w:ind w:right="22"/>
              <w:spacing w:after="0"/>
              <w:rPr>
                <w:sz w:val="20"/>
                <w:szCs w:val="20"/>
                <w:color w:val="auto"/>
              </w:rPr>
            </w:pPr>
            <w:r>
              <w:rPr>
                <w:rFonts w:ascii="Arial" w:cs="Arial" w:eastAsia="Arial" w:hAnsi="Arial"/>
                <w:sz w:val="16"/>
                <w:szCs w:val="16"/>
                <w:color w:val="auto"/>
              </w:rPr>
              <w:t>30.56</w:t>
            </w:r>
          </w:p>
        </w:tc>
        <w:tc>
          <w:tcPr>
            <w:tcW w:w="0" w:type="dxa"/>
            <w:vAlign w:val="bottom"/>
          </w:tcPr>
          <w:p>
            <w:pPr>
              <w:spacing w:after="0"/>
              <w:rPr>
                <w:sz w:val="1"/>
                <w:szCs w:val="1"/>
                <w:color w:val="auto"/>
              </w:rPr>
            </w:pPr>
          </w:p>
        </w:tc>
      </w:tr>
      <w:tr>
        <w:trPr>
          <w:trHeight w:val="33"/>
        </w:trPr>
        <w:tc>
          <w:tcPr>
            <w:tcW w:w="55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62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Unvested balance as of December 31, 2013</w:t>
            </w:r>
          </w:p>
        </w:tc>
        <w:tc>
          <w:tcPr>
            <w:tcW w:w="13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27,000</w:t>
            </w:r>
          </w:p>
        </w:tc>
        <w:tc>
          <w:tcPr>
            <w:tcW w:w="120" w:type="dxa"/>
            <w:vAlign w:val="bottom"/>
            <w:shd w:val="clear" w:color="auto" w:fill="CCEEFF"/>
          </w:tcPr>
          <w:p>
            <w:pPr>
              <w:spacing w:after="0"/>
              <w:rPr>
                <w:sz w:val="21"/>
                <w:szCs w:val="21"/>
                <w:color w:val="auto"/>
              </w:rPr>
            </w:pPr>
          </w:p>
        </w:tc>
        <w:tc>
          <w:tcPr>
            <w:tcW w:w="1500" w:type="dxa"/>
            <w:vAlign w:val="bottom"/>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30.37</w:t>
            </w:r>
          </w:p>
        </w:tc>
        <w:tc>
          <w:tcPr>
            <w:tcW w:w="100" w:type="dxa"/>
            <w:vAlign w:val="bottom"/>
            <w:shd w:val="clear" w:color="auto" w:fill="CCEEFF"/>
          </w:tcPr>
          <w:p>
            <w:pPr>
              <w:spacing w:after="0"/>
              <w:rPr>
                <w:sz w:val="21"/>
                <w:szCs w:val="21"/>
                <w:color w:val="auto"/>
              </w:rPr>
            </w:pPr>
          </w:p>
        </w:tc>
        <w:tc>
          <w:tcPr>
            <w:tcW w:w="120" w:type="dxa"/>
            <w:vAlign w:val="bottom"/>
            <w:shd w:val="clear" w:color="auto" w:fill="CCEEFF"/>
          </w:tcPr>
          <w:p>
            <w:pPr>
              <w:ind w:left="40"/>
              <w:spacing w:after="0"/>
              <w:rPr>
                <w:sz w:val="20"/>
                <w:szCs w:val="20"/>
                <w:color w:val="auto"/>
              </w:rPr>
            </w:pPr>
            <w:r>
              <w:rPr>
                <w:rFonts w:ascii="Arial" w:cs="Arial" w:eastAsia="Arial" w:hAnsi="Arial"/>
                <w:sz w:val="15"/>
                <w:szCs w:val="15"/>
                <w:color w:val="auto"/>
                <w:w w:val="71"/>
              </w:rPr>
              <w:t>$</w:t>
            </w:r>
          </w:p>
        </w:tc>
        <w:tc>
          <w:tcPr>
            <w:tcW w:w="124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
        </w:trPr>
        <w:tc>
          <w:tcPr>
            <w:tcW w:w="55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_______________________</w:t>
            </w:r>
          </w:p>
        </w:tc>
        <w:tc>
          <w:tcPr>
            <w:tcW w:w="120" w:type="dxa"/>
            <w:vAlign w:val="bottom"/>
            <w:tcBorders>
              <w:top w:val="single" w:sz="8" w:color="CCEEFF"/>
              <w:bottom w:val="single" w:sz="8" w:color="CCEEFF"/>
            </w:tcBorders>
            <w:vMerge w:val="restart"/>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500" w:type="dxa"/>
            <w:vAlign w:val="bottom"/>
            <w:vMerge w:val="continue"/>
          </w:tcPr>
          <w:p>
            <w:pPr>
              <w:spacing w:after="0"/>
              <w:rPr>
                <w:sz w:val="17"/>
                <w:szCs w:val="17"/>
                <w:color w:val="auto"/>
              </w:rPr>
            </w:pPr>
          </w:p>
        </w:tc>
        <w:tc>
          <w:tcPr>
            <w:tcW w:w="120" w:type="dxa"/>
            <w:vAlign w:val="bottom"/>
            <w:vMerge w:val="continue"/>
          </w:tcPr>
          <w:p>
            <w:pPr>
              <w:spacing w:after="0"/>
              <w:rPr>
                <w:sz w:val="17"/>
                <w:szCs w:val="17"/>
                <w:color w:val="auto"/>
              </w:rPr>
            </w:pPr>
          </w:p>
        </w:tc>
        <w:tc>
          <w:tcPr>
            <w:tcW w:w="13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63"/>
        </w:numPr>
        <w:rPr>
          <w:rFonts w:ascii="Arial" w:cs="Arial" w:eastAsia="Arial" w:hAnsi="Arial"/>
          <w:sz w:val="14"/>
          <w:szCs w:val="14"/>
          <w:color w:val="auto"/>
        </w:rPr>
      </w:pPr>
      <w:r>
        <w:rPr>
          <w:rFonts w:ascii="Arial" w:cs="Arial" w:eastAsia="Arial" w:hAnsi="Arial"/>
          <w:sz w:val="14"/>
          <w:szCs w:val="14"/>
          <w:color w:val="auto"/>
        </w:rPr>
        <w:t>Accrued RSU dividend equivalents have a weighted average grant date fair value of $0.</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63"/>
        </w:numPr>
        <w:rPr>
          <w:rFonts w:ascii="Arial" w:cs="Arial" w:eastAsia="Arial" w:hAnsi="Arial"/>
          <w:sz w:val="14"/>
          <w:szCs w:val="14"/>
          <w:color w:val="auto"/>
        </w:rPr>
      </w:pPr>
      <w:r>
        <w:rPr>
          <w:rFonts w:ascii="Arial" w:cs="Arial" w:eastAsia="Arial" w:hAnsi="Arial"/>
          <w:sz w:val="14"/>
          <w:szCs w:val="14"/>
          <w:color w:val="auto"/>
        </w:rPr>
        <w:t>Weighted average vest date fair value is based on the closing price of our common stock on the vest date.</w:t>
      </w:r>
    </w:p>
    <w:p>
      <w:pPr>
        <w:spacing w:after="0" w:line="156"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During fiscal years 2015, 2014 and 2013, we recognized $704,000, $540,000 and $383,000 of compensation expense under the plan, respectively. As of December 31, 2015, we had unrecognized compensation costs related to awards granted under the plan of approximately $238,000. As of December 31, 2015, 1,850 shares of common stock remained available for future issuance under the plan, net of unissued shares reserved for unvested RSU awards outstanding as of December 31, 2015.</w:t>
      </w: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11. Quarterly Results (Unaudited)</w:t>
      </w:r>
    </w:p>
    <w:p>
      <w:pPr>
        <w:spacing w:after="0" w:line="189"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is a presentation of the quarterly results of operations and comprehensive income for fiscal years 2015 and 2014 (in millions, except per share data).</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104</w:t>
      </w:r>
    </w:p>
    <w:p>
      <w:pPr>
        <w:sectPr>
          <w:pgSz w:w="11900" w:h="16838" w:orient="portrait"/>
          <w:cols w:equalWidth="0" w:num="1">
            <w:col w:w="11420"/>
          </w:cols>
          <w:pgMar w:left="240" w:top="738" w:right="239" w:bottom="1440" w:gutter="0" w:footer="0" w:header="0"/>
        </w:sectPr>
      </w:pPr>
    </w:p>
    <w:bookmarkStart w:id="105" w:name="page106"/>
    <w:bookmarkEnd w:id="105"/>
    <w:tbl>
      <w:tblPr>
        <w:tblLayout w:type="fixed"/>
        <w:tblInd w:w="0" w:type="dxa"/>
        <w:tblCellMar>
          <w:top w:w="0" w:type="dxa"/>
          <w:left w:w="0" w:type="dxa"/>
          <w:bottom w:w="0" w:type="dxa"/>
          <w:right w:w="0" w:type="dxa"/>
        </w:tblCellMar>
      </w:tblPr>
      <w:tr>
        <w:trPr>
          <w:trHeight w:val="192"/>
        </w:trPr>
        <w:tc>
          <w:tcPr>
            <w:tcW w:w="62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480" w:type="dxa"/>
            <w:vAlign w:val="bottom"/>
            <w:tcBorders>
              <w:bottom w:val="single" w:sz="8" w:color="auto"/>
            </w:tcBorders>
            <w:gridSpan w:val="5"/>
          </w:tcPr>
          <w:p>
            <w:pPr>
              <w:jc w:val="center"/>
              <w:ind w:right="300"/>
              <w:spacing w:after="0"/>
              <w:rPr>
                <w:sz w:val="20"/>
                <w:szCs w:val="20"/>
                <w:color w:val="auto"/>
              </w:rPr>
            </w:pPr>
            <w:r>
              <w:rPr>
                <w:rFonts w:ascii="Arial" w:cs="Arial" w:eastAsia="Arial" w:hAnsi="Arial"/>
                <w:sz w:val="14"/>
                <w:szCs w:val="14"/>
                <w:b w:val="1"/>
                <w:bCs w:val="1"/>
                <w:color w:val="auto"/>
                <w:w w:val="96"/>
              </w:rPr>
              <w:t>Quarter Ended</w:t>
            </w:r>
          </w:p>
        </w:tc>
        <w:tc>
          <w:tcPr>
            <w:tcW w:w="1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62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60" w:type="dxa"/>
            <w:vAlign w:val="bottom"/>
            <w:gridSpan w:val="2"/>
          </w:tcPr>
          <w:p>
            <w:pPr>
              <w:ind w:left="60"/>
              <w:spacing w:after="0" w:line="153" w:lineRule="exact"/>
              <w:rPr>
                <w:sz w:val="20"/>
                <w:szCs w:val="20"/>
                <w:color w:val="auto"/>
              </w:rPr>
            </w:pPr>
            <w:r>
              <w:rPr>
                <w:rFonts w:ascii="Arial" w:cs="Arial" w:eastAsia="Arial" w:hAnsi="Arial"/>
                <w:sz w:val="14"/>
                <w:szCs w:val="14"/>
                <w:b w:val="1"/>
                <w:bCs w:val="1"/>
                <w:color w:val="auto"/>
              </w:rPr>
              <w:t>March 31,</w:t>
            </w:r>
          </w:p>
        </w:tc>
        <w:tc>
          <w:tcPr>
            <w:tcW w:w="200" w:type="dxa"/>
            <w:vAlign w:val="bottom"/>
          </w:tcPr>
          <w:p>
            <w:pPr>
              <w:spacing w:after="0"/>
              <w:rPr>
                <w:sz w:val="13"/>
                <w:szCs w:val="13"/>
                <w:color w:val="auto"/>
              </w:rPr>
            </w:pPr>
          </w:p>
        </w:tc>
        <w:tc>
          <w:tcPr>
            <w:tcW w:w="1020" w:type="dxa"/>
            <w:vAlign w:val="bottom"/>
            <w:gridSpan w:val="2"/>
          </w:tcPr>
          <w:p>
            <w:pPr>
              <w:ind w:left="100"/>
              <w:spacing w:after="0" w:line="153" w:lineRule="exact"/>
              <w:rPr>
                <w:sz w:val="20"/>
                <w:szCs w:val="20"/>
                <w:color w:val="auto"/>
              </w:rPr>
            </w:pPr>
            <w:r>
              <w:rPr>
                <w:rFonts w:ascii="Arial" w:cs="Arial" w:eastAsia="Arial" w:hAnsi="Arial"/>
                <w:sz w:val="14"/>
                <w:szCs w:val="14"/>
                <w:b w:val="1"/>
                <w:bCs w:val="1"/>
                <w:color w:val="auto"/>
              </w:rPr>
              <w:t>June 30,</w:t>
            </w:r>
          </w:p>
        </w:tc>
        <w:tc>
          <w:tcPr>
            <w:tcW w:w="180" w:type="dxa"/>
            <w:vAlign w:val="bottom"/>
          </w:tcPr>
          <w:p>
            <w:pPr>
              <w:spacing w:after="0"/>
              <w:rPr>
                <w:sz w:val="13"/>
                <w:szCs w:val="13"/>
                <w:color w:val="auto"/>
              </w:rPr>
            </w:pPr>
          </w:p>
        </w:tc>
        <w:tc>
          <w:tcPr>
            <w:tcW w:w="1280" w:type="dxa"/>
            <w:vAlign w:val="bottom"/>
            <w:gridSpan w:val="2"/>
          </w:tcPr>
          <w:p>
            <w:pPr>
              <w:ind w:left="60"/>
              <w:spacing w:after="0" w:line="153" w:lineRule="exact"/>
              <w:rPr>
                <w:sz w:val="20"/>
                <w:szCs w:val="20"/>
                <w:color w:val="auto"/>
              </w:rPr>
            </w:pPr>
            <w:r>
              <w:rPr>
                <w:rFonts w:ascii="Arial" w:cs="Arial" w:eastAsia="Arial" w:hAnsi="Arial"/>
                <w:sz w:val="14"/>
                <w:szCs w:val="14"/>
                <w:b w:val="1"/>
                <w:bCs w:val="1"/>
                <w:color w:val="auto"/>
              </w:rPr>
              <w:t>September 30,</w:t>
            </w:r>
          </w:p>
        </w:tc>
        <w:tc>
          <w:tcPr>
            <w:tcW w:w="120" w:type="dxa"/>
            <w:vAlign w:val="bottom"/>
          </w:tcPr>
          <w:p>
            <w:pPr>
              <w:spacing w:after="0"/>
              <w:rPr>
                <w:sz w:val="13"/>
                <w:szCs w:val="13"/>
                <w:color w:val="auto"/>
              </w:rPr>
            </w:pPr>
          </w:p>
        </w:tc>
        <w:tc>
          <w:tcPr>
            <w:tcW w:w="1000" w:type="dxa"/>
            <w:vAlign w:val="bottom"/>
          </w:tcPr>
          <w:p>
            <w:pPr>
              <w:jc w:val="right"/>
              <w:ind w:right="51"/>
              <w:spacing w:after="0" w:line="153" w:lineRule="exact"/>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92"/>
        </w:trPr>
        <w:tc>
          <w:tcPr>
            <w:tcW w:w="62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31"/>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12"/>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411"/>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331"/>
              <w:spacing w:after="0"/>
              <w:rPr>
                <w:sz w:val="20"/>
                <w:szCs w:val="20"/>
                <w:color w:val="auto"/>
              </w:rPr>
            </w:pPr>
            <w:r>
              <w:rPr>
                <w:rFonts w:ascii="Arial" w:cs="Arial" w:eastAsia="Arial" w:hAnsi="Arial"/>
                <w:sz w:val="14"/>
                <w:szCs w:val="14"/>
                <w:b w:val="1"/>
                <w:bCs w:val="1"/>
                <w:color w:val="auto"/>
              </w:rPr>
              <w:t>2015</w:t>
            </w:r>
          </w:p>
        </w:tc>
        <w:tc>
          <w:tcPr>
            <w:tcW w:w="0" w:type="dxa"/>
            <w:vAlign w:val="bottom"/>
          </w:tcPr>
          <w:p>
            <w:pPr>
              <w:spacing w:after="0"/>
              <w:rPr>
                <w:sz w:val="1"/>
                <w:szCs w:val="1"/>
                <w:color w:val="auto"/>
              </w:rPr>
            </w:pPr>
          </w:p>
        </w:tc>
      </w:tr>
      <w:tr>
        <w:trPr>
          <w:trHeight w:val="250"/>
        </w:trPr>
        <w:tc>
          <w:tcPr>
            <w:tcW w:w="6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Interest income:</w:t>
            </w: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200" w:type="dxa"/>
            <w:vAlign w:val="bottom"/>
          </w:tcPr>
          <w:p>
            <w:pPr>
              <w:ind w:left="280"/>
              <w:spacing w:after="0"/>
              <w:rPr>
                <w:sz w:val="20"/>
                <w:szCs w:val="20"/>
                <w:color w:val="auto"/>
              </w:rPr>
            </w:pPr>
            <w:r>
              <w:rPr>
                <w:rFonts w:ascii="Arial" w:cs="Arial" w:eastAsia="Arial" w:hAnsi="Arial"/>
                <w:sz w:val="18"/>
                <w:szCs w:val="18"/>
                <w:color w:val="auto"/>
              </w:rPr>
              <w:t>Interest income</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383</w:t>
            </w:r>
          </w:p>
        </w:tc>
        <w:tc>
          <w:tcPr>
            <w:tcW w:w="120" w:type="dxa"/>
            <w:vAlign w:val="bottom"/>
          </w:tcPr>
          <w:p>
            <w:pPr>
              <w:spacing w:after="0"/>
              <w:rPr>
                <w:sz w:val="21"/>
                <w:szCs w:val="21"/>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ind w:right="32"/>
              <w:spacing w:after="0"/>
              <w:rPr>
                <w:sz w:val="20"/>
                <w:szCs w:val="20"/>
                <w:color w:val="auto"/>
              </w:rPr>
            </w:pPr>
            <w:r>
              <w:rPr>
                <w:rFonts w:ascii="Arial" w:cs="Arial" w:eastAsia="Arial" w:hAnsi="Arial"/>
                <w:sz w:val="18"/>
                <w:szCs w:val="18"/>
                <w:color w:val="auto"/>
              </w:rPr>
              <w:t>414</w:t>
            </w:r>
          </w:p>
        </w:tc>
        <w:tc>
          <w:tcPr>
            <w:tcW w:w="100" w:type="dxa"/>
            <w:vAlign w:val="bottom"/>
          </w:tcPr>
          <w:p>
            <w:pPr>
              <w:spacing w:after="0"/>
              <w:rPr>
                <w:sz w:val="21"/>
                <w:szCs w:val="21"/>
                <w:color w:val="auto"/>
              </w:rPr>
            </w:pPr>
          </w:p>
        </w:tc>
        <w:tc>
          <w:tcPr>
            <w:tcW w:w="18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295</w:t>
            </w:r>
          </w:p>
        </w:tc>
        <w:tc>
          <w:tcPr>
            <w:tcW w:w="12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374</w:t>
            </w:r>
          </w:p>
        </w:tc>
        <w:tc>
          <w:tcPr>
            <w:tcW w:w="0" w:type="dxa"/>
            <w:vAlign w:val="bottom"/>
          </w:tcPr>
          <w:p>
            <w:pPr>
              <w:spacing w:after="0"/>
              <w:rPr>
                <w:sz w:val="1"/>
                <w:szCs w:val="1"/>
                <w:color w:val="auto"/>
              </w:rPr>
            </w:pPr>
          </w:p>
        </w:tc>
      </w:tr>
      <w:tr>
        <w:trPr>
          <w:trHeight w:val="27"/>
        </w:trPr>
        <w:tc>
          <w:tcPr>
            <w:tcW w:w="62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2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Interest expense</w:t>
            </w:r>
          </w:p>
        </w:tc>
        <w:tc>
          <w:tcPr>
            <w:tcW w:w="2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86</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81</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77</w:t>
            </w:r>
          </w:p>
        </w:tc>
        <w:tc>
          <w:tcPr>
            <w:tcW w:w="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86</w:t>
            </w:r>
          </w:p>
        </w:tc>
        <w:tc>
          <w:tcPr>
            <w:tcW w:w="0" w:type="dxa"/>
            <w:vAlign w:val="bottom"/>
          </w:tcPr>
          <w:p>
            <w:pPr>
              <w:spacing w:after="0"/>
              <w:rPr>
                <w:sz w:val="1"/>
                <w:szCs w:val="1"/>
                <w:color w:val="auto"/>
              </w:rPr>
            </w:pPr>
          </w:p>
        </w:tc>
      </w:tr>
      <w:tr>
        <w:trPr>
          <w:trHeight w:val="237"/>
        </w:trPr>
        <w:tc>
          <w:tcPr>
            <w:tcW w:w="6200" w:type="dxa"/>
            <w:vAlign w:val="bottom"/>
          </w:tcPr>
          <w:p>
            <w:pPr>
              <w:ind w:left="600"/>
              <w:spacing w:after="0"/>
              <w:rPr>
                <w:sz w:val="20"/>
                <w:szCs w:val="20"/>
                <w:color w:val="auto"/>
              </w:rPr>
            </w:pPr>
            <w:r>
              <w:rPr>
                <w:rFonts w:ascii="Arial" w:cs="Arial" w:eastAsia="Arial" w:hAnsi="Arial"/>
                <w:sz w:val="18"/>
                <w:szCs w:val="18"/>
                <w:color w:val="auto"/>
              </w:rPr>
              <w:t>Net interest income</w:t>
            </w:r>
          </w:p>
        </w:tc>
        <w:tc>
          <w:tcPr>
            <w:tcW w:w="20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297</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333</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218</w:t>
            </w:r>
          </w:p>
        </w:tc>
        <w:tc>
          <w:tcPr>
            <w:tcW w:w="12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288</w:t>
            </w:r>
          </w:p>
        </w:tc>
        <w:tc>
          <w:tcPr>
            <w:tcW w:w="0" w:type="dxa"/>
            <w:vAlign w:val="bottom"/>
          </w:tcPr>
          <w:p>
            <w:pPr>
              <w:spacing w:after="0"/>
              <w:rPr>
                <w:sz w:val="1"/>
                <w:szCs w:val="1"/>
                <w:color w:val="auto"/>
              </w:rPr>
            </w:pPr>
          </w:p>
        </w:tc>
      </w:tr>
      <w:tr>
        <w:trPr>
          <w:trHeight w:val="27"/>
        </w:trPr>
        <w:tc>
          <w:tcPr>
            <w:tcW w:w="62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Other gain (loss):</w:t>
            </w: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200" w:type="dxa"/>
            <w:vAlign w:val="bottom"/>
          </w:tcPr>
          <w:p>
            <w:pPr>
              <w:ind w:left="280"/>
              <w:spacing w:after="0"/>
              <w:rPr>
                <w:sz w:val="20"/>
                <w:szCs w:val="20"/>
                <w:color w:val="auto"/>
              </w:rPr>
            </w:pPr>
            <w:r>
              <w:rPr>
                <w:rFonts w:ascii="Arial" w:cs="Arial" w:eastAsia="Arial" w:hAnsi="Arial"/>
                <w:sz w:val="18"/>
                <w:szCs w:val="18"/>
                <w:color w:val="auto"/>
              </w:rPr>
              <w:t>Gain (loss) on sale of agency securities, net</w:t>
            </w:r>
          </w:p>
        </w:tc>
        <w:tc>
          <w:tcPr>
            <w:tcW w:w="200" w:type="dxa"/>
            <w:vAlign w:val="bottom"/>
          </w:tcPr>
          <w:p>
            <w:pPr>
              <w:spacing w:after="0"/>
              <w:rPr>
                <w:sz w:val="21"/>
                <w:szCs w:val="21"/>
                <w:color w:val="auto"/>
              </w:rPr>
            </w:pP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36</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(39)</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7"/>
        </w:trPr>
        <w:tc>
          <w:tcPr>
            <w:tcW w:w="62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2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Gain (loss) on derivative instruments and other securities, net</w:t>
            </w:r>
          </w:p>
        </w:tc>
        <w:tc>
          <w:tcPr>
            <w:tcW w:w="2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(549)</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237</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(778)</w:t>
            </w:r>
          </w:p>
        </w:tc>
        <w:tc>
          <w:tcPr>
            <w:tcW w:w="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331</w:t>
            </w:r>
          </w:p>
        </w:tc>
        <w:tc>
          <w:tcPr>
            <w:tcW w:w="0" w:type="dxa"/>
            <w:vAlign w:val="bottom"/>
          </w:tcPr>
          <w:p>
            <w:pPr>
              <w:spacing w:after="0"/>
              <w:rPr>
                <w:sz w:val="1"/>
                <w:szCs w:val="1"/>
                <w:color w:val="auto"/>
              </w:rPr>
            </w:pPr>
          </w:p>
        </w:tc>
      </w:tr>
      <w:tr>
        <w:trPr>
          <w:trHeight w:val="237"/>
        </w:trPr>
        <w:tc>
          <w:tcPr>
            <w:tcW w:w="6200" w:type="dxa"/>
            <w:vAlign w:val="bottom"/>
          </w:tcPr>
          <w:p>
            <w:pPr>
              <w:ind w:left="600"/>
              <w:spacing w:after="0"/>
              <w:rPr>
                <w:sz w:val="20"/>
                <w:szCs w:val="20"/>
                <w:color w:val="auto"/>
              </w:rPr>
            </w:pPr>
            <w:r>
              <w:rPr>
                <w:rFonts w:ascii="Arial" w:cs="Arial" w:eastAsia="Arial" w:hAnsi="Arial"/>
                <w:sz w:val="18"/>
                <w:szCs w:val="18"/>
                <w:color w:val="auto"/>
              </w:rPr>
              <w:t>Total other gain (loss), net</w:t>
            </w:r>
          </w:p>
        </w:tc>
        <w:tc>
          <w:tcPr>
            <w:tcW w:w="20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(513)</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215</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(817)</w:t>
            </w:r>
          </w:p>
        </w:tc>
        <w:tc>
          <w:tcPr>
            <w:tcW w:w="12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333</w:t>
            </w:r>
          </w:p>
        </w:tc>
        <w:tc>
          <w:tcPr>
            <w:tcW w:w="0" w:type="dxa"/>
            <w:vAlign w:val="bottom"/>
          </w:tcPr>
          <w:p>
            <w:pPr>
              <w:spacing w:after="0"/>
              <w:rPr>
                <w:sz w:val="1"/>
                <w:szCs w:val="1"/>
                <w:color w:val="auto"/>
              </w:rPr>
            </w:pPr>
          </w:p>
        </w:tc>
      </w:tr>
      <w:tr>
        <w:trPr>
          <w:trHeight w:val="27"/>
        </w:trPr>
        <w:tc>
          <w:tcPr>
            <w:tcW w:w="62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Expenses:</w:t>
            </w: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200" w:type="dxa"/>
            <w:vAlign w:val="bottom"/>
          </w:tcPr>
          <w:p>
            <w:pPr>
              <w:ind w:left="280"/>
              <w:spacing w:after="0"/>
              <w:rPr>
                <w:sz w:val="20"/>
                <w:szCs w:val="20"/>
                <w:color w:val="auto"/>
              </w:rPr>
            </w:pPr>
            <w:r>
              <w:rPr>
                <w:rFonts w:ascii="Arial" w:cs="Arial" w:eastAsia="Arial" w:hAnsi="Arial"/>
                <w:sz w:val="18"/>
                <w:szCs w:val="18"/>
                <w:color w:val="auto"/>
              </w:rPr>
              <w:t>Management fees</w:t>
            </w:r>
          </w:p>
        </w:tc>
        <w:tc>
          <w:tcPr>
            <w:tcW w:w="200" w:type="dxa"/>
            <w:vAlign w:val="bottom"/>
          </w:tcPr>
          <w:p>
            <w:pPr>
              <w:spacing w:after="0"/>
              <w:rPr>
                <w:sz w:val="21"/>
                <w:szCs w:val="21"/>
                <w:color w:val="auto"/>
              </w:rPr>
            </w:pP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30</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2"/>
              <w:spacing w:after="0"/>
              <w:rPr>
                <w:sz w:val="20"/>
                <w:szCs w:val="20"/>
                <w:color w:val="auto"/>
              </w:rPr>
            </w:pPr>
            <w:r>
              <w:rPr>
                <w:rFonts w:ascii="Arial" w:cs="Arial" w:eastAsia="Arial" w:hAnsi="Arial"/>
                <w:sz w:val="18"/>
                <w:szCs w:val="18"/>
                <w:color w:val="auto"/>
              </w:rPr>
              <w:t>29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29</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27"/>
        </w:trPr>
        <w:tc>
          <w:tcPr>
            <w:tcW w:w="62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2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General and administrative expenses</w:t>
            </w:r>
          </w:p>
        </w:tc>
        <w:tc>
          <w:tcPr>
            <w:tcW w:w="2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w:t>
            </w:r>
          </w:p>
        </w:tc>
        <w:tc>
          <w:tcPr>
            <w:tcW w:w="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37"/>
        </w:trPr>
        <w:tc>
          <w:tcPr>
            <w:tcW w:w="6200" w:type="dxa"/>
            <w:vAlign w:val="bottom"/>
          </w:tcPr>
          <w:p>
            <w:pPr>
              <w:ind w:left="600"/>
              <w:spacing w:after="0"/>
              <w:rPr>
                <w:sz w:val="20"/>
                <w:szCs w:val="20"/>
                <w:color w:val="auto"/>
              </w:rPr>
            </w:pPr>
            <w:r>
              <w:rPr>
                <w:rFonts w:ascii="Arial" w:cs="Arial" w:eastAsia="Arial" w:hAnsi="Arial"/>
                <w:sz w:val="18"/>
                <w:szCs w:val="18"/>
                <w:color w:val="auto"/>
              </w:rPr>
              <w:t>Total expenses</w:t>
            </w:r>
          </w:p>
        </w:tc>
        <w:tc>
          <w:tcPr>
            <w:tcW w:w="20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36</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36</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34</w:t>
            </w:r>
          </w:p>
        </w:tc>
        <w:tc>
          <w:tcPr>
            <w:tcW w:w="12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27"/>
        </w:trPr>
        <w:tc>
          <w:tcPr>
            <w:tcW w:w="62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 (loss)</w:t>
            </w: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(252)</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512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(633)</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588</w:t>
            </w:r>
          </w:p>
        </w:tc>
        <w:tc>
          <w:tcPr>
            <w:tcW w:w="0" w:type="dxa"/>
            <w:vAlign w:val="bottom"/>
          </w:tcPr>
          <w:p>
            <w:pPr>
              <w:spacing w:after="0"/>
              <w:rPr>
                <w:sz w:val="1"/>
                <w:szCs w:val="1"/>
                <w:color w:val="auto"/>
              </w:rPr>
            </w:pPr>
          </w:p>
        </w:tc>
      </w:tr>
      <w:tr>
        <w:trPr>
          <w:trHeight w:val="243"/>
        </w:trPr>
        <w:tc>
          <w:tcPr>
            <w:tcW w:w="6200" w:type="dxa"/>
            <w:vAlign w:val="bottom"/>
          </w:tcPr>
          <w:p>
            <w:pPr>
              <w:ind w:left="280"/>
              <w:spacing w:after="0"/>
              <w:rPr>
                <w:sz w:val="20"/>
                <w:szCs w:val="20"/>
                <w:color w:val="auto"/>
              </w:rPr>
            </w:pPr>
            <w:r>
              <w:rPr>
                <w:rFonts w:ascii="Arial" w:cs="Arial" w:eastAsia="Arial" w:hAnsi="Arial"/>
                <w:sz w:val="18"/>
                <w:szCs w:val="18"/>
                <w:color w:val="auto"/>
              </w:rPr>
              <w:t>Dividend on preferred stock</w:t>
            </w:r>
          </w:p>
        </w:tc>
        <w:tc>
          <w:tcPr>
            <w:tcW w:w="200" w:type="dxa"/>
            <w:vAlign w:val="bottom"/>
          </w:tcPr>
          <w:p>
            <w:pPr>
              <w:spacing w:after="0"/>
              <w:rPr>
                <w:sz w:val="21"/>
                <w:szCs w:val="21"/>
                <w:color w:val="auto"/>
              </w:rPr>
            </w:pP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7</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2"/>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7</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7"/>
        </w:trPr>
        <w:tc>
          <w:tcPr>
            <w:tcW w:w="62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 (loss) available (attributable) to common shareholders</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(259)</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505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(640)</w:t>
            </w:r>
          </w:p>
        </w:tc>
        <w:tc>
          <w:tcPr>
            <w:tcW w:w="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581</w:t>
            </w:r>
          </w:p>
        </w:tc>
        <w:tc>
          <w:tcPr>
            <w:tcW w:w="0" w:type="dxa"/>
            <w:vAlign w:val="bottom"/>
          </w:tcPr>
          <w:p>
            <w:pPr>
              <w:spacing w:after="0"/>
              <w:rPr>
                <w:sz w:val="1"/>
                <w:szCs w:val="1"/>
                <w:color w:val="auto"/>
              </w:rPr>
            </w:pPr>
          </w:p>
        </w:tc>
      </w:tr>
      <w:tr>
        <w:trPr>
          <w:trHeight w:val="20"/>
        </w:trPr>
        <w:tc>
          <w:tcPr>
            <w:tcW w:w="62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1"/>
        </w:trPr>
        <w:tc>
          <w:tcPr>
            <w:tcW w:w="6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6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 (loss)</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(252)</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512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(633)</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588</w:t>
            </w:r>
          </w:p>
        </w:tc>
        <w:tc>
          <w:tcPr>
            <w:tcW w:w="0" w:type="dxa"/>
            <w:vAlign w:val="bottom"/>
          </w:tcPr>
          <w:p>
            <w:pPr>
              <w:spacing w:after="0"/>
              <w:rPr>
                <w:sz w:val="1"/>
                <w:szCs w:val="1"/>
                <w:color w:val="auto"/>
              </w:rPr>
            </w:pPr>
          </w:p>
        </w:tc>
      </w:tr>
      <w:tr>
        <w:trPr>
          <w:trHeight w:val="243"/>
        </w:trPr>
        <w:tc>
          <w:tcPr>
            <w:tcW w:w="6200" w:type="dxa"/>
            <w:vAlign w:val="bottom"/>
          </w:tcPr>
          <w:p>
            <w:pPr>
              <w:ind w:left="40"/>
              <w:spacing w:after="0"/>
              <w:rPr>
                <w:sz w:val="20"/>
                <w:szCs w:val="20"/>
                <w:color w:val="auto"/>
              </w:rPr>
            </w:pPr>
            <w:r>
              <w:rPr>
                <w:rFonts w:ascii="Arial" w:cs="Arial" w:eastAsia="Arial" w:hAnsi="Arial"/>
                <w:sz w:val="18"/>
                <w:szCs w:val="18"/>
                <w:b w:val="1"/>
                <w:bCs w:val="1"/>
                <w:color w:val="auto"/>
              </w:rPr>
              <w:t>Other comprehensive income (loss):</w:t>
            </w:r>
          </w:p>
        </w:tc>
        <w:tc>
          <w:tcPr>
            <w:tcW w:w="2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2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2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Unrealized gain (loss) on available-for-sale securities, net</w:t>
            </w: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391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(872)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467</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(583)</w:t>
            </w:r>
          </w:p>
        </w:tc>
        <w:tc>
          <w:tcPr>
            <w:tcW w:w="0" w:type="dxa"/>
            <w:vAlign w:val="bottom"/>
          </w:tcPr>
          <w:p>
            <w:pPr>
              <w:spacing w:after="0"/>
              <w:rPr>
                <w:sz w:val="1"/>
                <w:szCs w:val="1"/>
                <w:color w:val="auto"/>
              </w:rPr>
            </w:pPr>
          </w:p>
        </w:tc>
      </w:tr>
      <w:tr>
        <w:trPr>
          <w:trHeight w:val="243"/>
        </w:trPr>
        <w:tc>
          <w:tcPr>
            <w:tcW w:w="6200" w:type="dxa"/>
            <w:vAlign w:val="bottom"/>
          </w:tcPr>
          <w:p>
            <w:pPr>
              <w:ind w:left="380"/>
              <w:spacing w:after="0"/>
              <w:rPr>
                <w:sz w:val="20"/>
                <w:szCs w:val="20"/>
                <w:color w:val="auto"/>
              </w:rPr>
            </w:pPr>
            <w:r>
              <w:rPr>
                <w:rFonts w:ascii="Arial" w:cs="Arial" w:eastAsia="Arial" w:hAnsi="Arial"/>
                <w:sz w:val="18"/>
                <w:szCs w:val="18"/>
                <w:color w:val="auto"/>
              </w:rPr>
              <w:t>Unrealized gain on derivative instruments, net</w:t>
            </w:r>
          </w:p>
        </w:tc>
        <w:tc>
          <w:tcPr>
            <w:tcW w:w="200" w:type="dxa"/>
            <w:vAlign w:val="bottom"/>
          </w:tcPr>
          <w:p>
            <w:pPr>
              <w:spacing w:after="0"/>
              <w:rPr>
                <w:sz w:val="21"/>
                <w:szCs w:val="21"/>
                <w:color w:val="auto"/>
              </w:rPr>
            </w:pP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29</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2"/>
              <w:spacing w:after="0"/>
              <w:rPr>
                <w:sz w:val="20"/>
                <w:szCs w:val="20"/>
                <w:color w:val="auto"/>
              </w:rPr>
            </w:pPr>
            <w:r>
              <w:rPr>
                <w:rFonts w:ascii="Arial" w:cs="Arial" w:eastAsia="Arial" w:hAnsi="Arial"/>
                <w:sz w:val="18"/>
                <w:szCs w:val="18"/>
                <w:color w:val="auto"/>
              </w:rPr>
              <w:t>26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24</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7"/>
        </w:trPr>
        <w:tc>
          <w:tcPr>
            <w:tcW w:w="62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20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Other comprehensive income (loss)</w:t>
            </w:r>
          </w:p>
        </w:tc>
        <w:tc>
          <w:tcPr>
            <w:tcW w:w="20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420</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(846)</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491</w:t>
            </w:r>
          </w:p>
        </w:tc>
        <w:tc>
          <w:tcPr>
            <w:tcW w:w="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(561)</w:t>
            </w:r>
          </w:p>
        </w:tc>
        <w:tc>
          <w:tcPr>
            <w:tcW w:w="0" w:type="dxa"/>
            <w:vAlign w:val="bottom"/>
          </w:tcPr>
          <w:p>
            <w:pPr>
              <w:spacing w:after="0"/>
              <w:rPr>
                <w:sz w:val="1"/>
                <w:szCs w:val="1"/>
                <w:color w:val="auto"/>
              </w:rPr>
            </w:pPr>
          </w:p>
        </w:tc>
      </w:tr>
      <w:tr>
        <w:trPr>
          <w:trHeight w:val="237"/>
        </w:trPr>
        <w:tc>
          <w:tcPr>
            <w:tcW w:w="6200" w:type="dxa"/>
            <w:vAlign w:val="bottom"/>
          </w:tcPr>
          <w:p>
            <w:pPr>
              <w:ind w:left="40"/>
              <w:spacing w:after="0"/>
              <w:rPr>
                <w:sz w:val="20"/>
                <w:szCs w:val="20"/>
                <w:color w:val="auto"/>
              </w:rPr>
            </w:pPr>
            <w:r>
              <w:rPr>
                <w:rFonts w:ascii="Arial" w:cs="Arial" w:eastAsia="Arial" w:hAnsi="Arial"/>
                <w:sz w:val="18"/>
                <w:szCs w:val="18"/>
                <w:b w:val="1"/>
                <w:bCs w:val="1"/>
                <w:color w:val="auto"/>
              </w:rPr>
              <w:t>Comprehensive income (loss)</w:t>
            </w:r>
          </w:p>
        </w:tc>
        <w:tc>
          <w:tcPr>
            <w:tcW w:w="20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168</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(334)</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(142)</w:t>
            </w:r>
          </w:p>
        </w:tc>
        <w:tc>
          <w:tcPr>
            <w:tcW w:w="12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7"/>
        </w:trPr>
        <w:tc>
          <w:tcPr>
            <w:tcW w:w="62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2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Dividend on preferred stock</w:t>
            </w:r>
          </w:p>
        </w:tc>
        <w:tc>
          <w:tcPr>
            <w:tcW w:w="2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w:t>
            </w:r>
          </w:p>
        </w:tc>
        <w:tc>
          <w:tcPr>
            <w:tcW w:w="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97"/>
        </w:trPr>
        <w:tc>
          <w:tcPr>
            <w:tcW w:w="6200" w:type="dxa"/>
            <w:vAlign w:val="bottom"/>
            <w:tcBorders>
              <w:bottom w:val="single" w:sz="8" w:color="CCEEFF"/>
            </w:tcBorders>
          </w:tcPr>
          <w:p>
            <w:pPr>
              <w:ind w:left="40"/>
              <w:spacing w:after="0"/>
              <w:rPr>
                <w:sz w:val="20"/>
                <w:szCs w:val="20"/>
                <w:color w:val="auto"/>
              </w:rPr>
            </w:pPr>
            <w:r>
              <w:rPr>
                <w:rFonts w:ascii="Arial" w:cs="Arial" w:eastAsia="Arial" w:hAnsi="Arial"/>
                <w:sz w:val="18"/>
                <w:szCs w:val="18"/>
                <w:b w:val="1"/>
                <w:bCs w:val="1"/>
                <w:color w:val="auto"/>
                <w:w w:val="91"/>
              </w:rPr>
              <w:t>Comprehensive income (loss) available (attributable) to common shareholders</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161</w:t>
            </w:r>
          </w:p>
        </w:tc>
        <w:tc>
          <w:tcPr>
            <w:tcW w:w="12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(341)</w:t>
            </w: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(149)</w:t>
            </w:r>
          </w:p>
        </w:tc>
        <w:tc>
          <w:tcPr>
            <w:tcW w:w="120" w:type="dxa"/>
            <w:vAlign w:val="bottom"/>
            <w:tcBorders>
              <w:bottom w:val="single" w:sz="8" w:color="CCEEFF"/>
            </w:tcBorders>
          </w:tcPr>
          <w:p>
            <w:pPr>
              <w:spacing w:after="0"/>
              <w:rPr>
                <w:sz w:val="24"/>
                <w:szCs w:val="24"/>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51"/>
        </w:trPr>
        <w:tc>
          <w:tcPr>
            <w:tcW w:w="6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w w:val="94"/>
              </w:rPr>
              <w:t>Weighted average number of common shares outstanding-basic and diluted</w:t>
            </w:r>
          </w:p>
        </w:tc>
        <w:tc>
          <w:tcPr>
            <w:tcW w:w="200" w:type="dxa"/>
            <w:vAlign w:val="bottom"/>
            <w:tcBorders>
              <w:bottom w:val="single" w:sz="8" w:color="auto"/>
            </w:tcBorders>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352.8</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352.1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spacing w:after="0"/>
              <w:rPr>
                <w:sz w:val="21"/>
                <w:szCs w:val="21"/>
                <w:color w:val="auto"/>
              </w:rPr>
            </w:pPr>
          </w:p>
        </w:tc>
        <w:tc>
          <w:tcPr>
            <w:tcW w:w="116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347.8</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10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341.6</w:t>
            </w:r>
          </w:p>
        </w:tc>
        <w:tc>
          <w:tcPr>
            <w:tcW w:w="0" w:type="dxa"/>
            <w:vAlign w:val="bottom"/>
          </w:tcPr>
          <w:p>
            <w:pPr>
              <w:spacing w:after="0"/>
              <w:rPr>
                <w:sz w:val="1"/>
                <w:szCs w:val="1"/>
                <w:color w:val="auto"/>
              </w:rPr>
            </w:pPr>
          </w:p>
        </w:tc>
      </w:tr>
      <w:tr>
        <w:trPr>
          <w:trHeight w:val="20"/>
        </w:trPr>
        <w:tc>
          <w:tcPr>
            <w:tcW w:w="62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6200" w:type="dxa"/>
            <w:vAlign w:val="bottom"/>
            <w:tcBorders>
              <w:bottom w:val="single" w:sz="8" w:color="CCEEFF"/>
            </w:tcBorders>
          </w:tcPr>
          <w:p>
            <w:pPr>
              <w:ind w:left="40"/>
              <w:spacing w:after="0"/>
              <w:rPr>
                <w:sz w:val="20"/>
                <w:szCs w:val="20"/>
                <w:color w:val="auto"/>
              </w:rPr>
            </w:pPr>
            <w:r>
              <w:rPr>
                <w:rFonts w:ascii="Arial" w:cs="Arial" w:eastAsia="Arial" w:hAnsi="Arial"/>
                <w:sz w:val="18"/>
                <w:szCs w:val="18"/>
                <w:b w:val="1"/>
                <w:bCs w:val="1"/>
                <w:color w:val="auto"/>
              </w:rPr>
              <w:t>Net income (loss) per common share - basic and diluted</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(0.73)</w:t>
            </w:r>
          </w:p>
        </w:tc>
        <w:tc>
          <w:tcPr>
            <w:tcW w:w="12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rPr>
              <w:t>1.43</w:t>
            </w:r>
          </w:p>
        </w:tc>
        <w:tc>
          <w:tcPr>
            <w:tcW w:w="10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(1.84)</w:t>
            </w:r>
          </w:p>
        </w:tc>
        <w:tc>
          <w:tcPr>
            <w:tcW w:w="120" w:type="dxa"/>
            <w:vAlign w:val="bottom"/>
            <w:tcBorders>
              <w:bottom w:val="single" w:sz="8" w:color="CCEEFF"/>
            </w:tcBorders>
          </w:tcPr>
          <w:p>
            <w:pPr>
              <w:spacing w:after="0"/>
              <w:rPr>
                <w:sz w:val="24"/>
                <w:szCs w:val="24"/>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1.70</w:t>
            </w:r>
          </w:p>
        </w:tc>
        <w:tc>
          <w:tcPr>
            <w:tcW w:w="0" w:type="dxa"/>
            <w:vAlign w:val="bottom"/>
          </w:tcPr>
          <w:p>
            <w:pPr>
              <w:spacing w:after="0"/>
              <w:rPr>
                <w:sz w:val="1"/>
                <w:szCs w:val="1"/>
                <w:color w:val="auto"/>
              </w:rPr>
            </w:pPr>
          </w:p>
        </w:tc>
      </w:tr>
      <w:tr>
        <w:trPr>
          <w:trHeight w:val="251"/>
        </w:trPr>
        <w:tc>
          <w:tcPr>
            <w:tcW w:w="6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Comprehensive income (loss) per common share - basic and diluted</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0.46</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(0.97)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(0.43)</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0.06</w:t>
            </w:r>
          </w:p>
        </w:tc>
        <w:tc>
          <w:tcPr>
            <w:tcW w:w="0" w:type="dxa"/>
            <w:vAlign w:val="bottom"/>
          </w:tcPr>
          <w:p>
            <w:pPr>
              <w:spacing w:after="0"/>
              <w:rPr>
                <w:sz w:val="1"/>
                <w:szCs w:val="1"/>
                <w:color w:val="auto"/>
              </w:rPr>
            </w:pPr>
          </w:p>
        </w:tc>
      </w:tr>
      <w:tr>
        <w:trPr>
          <w:trHeight w:val="20"/>
        </w:trPr>
        <w:tc>
          <w:tcPr>
            <w:tcW w:w="62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6200" w:type="dxa"/>
            <w:vAlign w:val="bottom"/>
          </w:tcPr>
          <w:p>
            <w:pPr>
              <w:ind w:left="40"/>
              <w:spacing w:after="0"/>
              <w:rPr>
                <w:sz w:val="20"/>
                <w:szCs w:val="20"/>
                <w:color w:val="auto"/>
              </w:rPr>
            </w:pPr>
            <w:r>
              <w:rPr>
                <w:rFonts w:ascii="Arial" w:cs="Arial" w:eastAsia="Arial" w:hAnsi="Arial"/>
                <w:sz w:val="18"/>
                <w:szCs w:val="18"/>
                <w:b w:val="1"/>
                <w:bCs w:val="1"/>
                <w:color w:val="auto"/>
              </w:rPr>
              <w:t>Dividends declared per common share</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0.66</w:t>
            </w:r>
          </w:p>
        </w:tc>
        <w:tc>
          <w:tcPr>
            <w:tcW w:w="120" w:type="dxa"/>
            <w:vAlign w:val="bottom"/>
          </w:tcPr>
          <w:p>
            <w:pPr>
              <w:spacing w:after="0"/>
              <w:rPr>
                <w:sz w:val="21"/>
                <w:szCs w:val="21"/>
                <w:color w:val="auto"/>
              </w:rPr>
            </w:pP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rPr>
              <w:t>0.62</w:t>
            </w:r>
          </w:p>
        </w:tc>
        <w:tc>
          <w:tcPr>
            <w:tcW w:w="100" w:type="dxa"/>
            <w:vAlign w:val="bottom"/>
          </w:tcPr>
          <w:p>
            <w:pPr>
              <w:spacing w:after="0"/>
              <w:rPr>
                <w:sz w:val="21"/>
                <w:szCs w:val="21"/>
                <w:color w:val="auto"/>
              </w:rPr>
            </w:pPr>
          </w:p>
        </w:tc>
        <w:tc>
          <w:tcPr>
            <w:tcW w:w="1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0.60</w:t>
            </w:r>
          </w:p>
        </w:tc>
        <w:tc>
          <w:tcPr>
            <w:tcW w:w="120" w:type="dxa"/>
            <w:vAlign w:val="bottom"/>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0.60</w:t>
            </w:r>
          </w:p>
        </w:tc>
        <w:tc>
          <w:tcPr>
            <w:tcW w:w="0" w:type="dxa"/>
            <w:vAlign w:val="bottom"/>
          </w:tcPr>
          <w:p>
            <w:pPr>
              <w:spacing w:after="0"/>
              <w:rPr>
                <w:sz w:val="1"/>
                <w:szCs w:val="1"/>
                <w:color w:val="auto"/>
              </w:rPr>
            </w:pPr>
          </w:p>
        </w:tc>
      </w:tr>
      <w:tr>
        <w:trPr>
          <w:trHeight w:val="20"/>
        </w:trPr>
        <w:tc>
          <w:tcPr>
            <w:tcW w:w="6200" w:type="dxa"/>
            <w:vAlign w:val="bottom"/>
            <w:vMerge w:val="restart"/>
          </w:tcPr>
          <w:p>
            <w:pPr>
              <w:ind w:left="5500"/>
              <w:spacing w:after="0"/>
              <w:rPr>
                <w:sz w:val="20"/>
                <w:szCs w:val="20"/>
                <w:color w:val="auto"/>
              </w:rPr>
            </w:pPr>
            <w:r>
              <w:rPr>
                <w:rFonts w:ascii="Arial" w:cs="Arial" w:eastAsia="Arial" w:hAnsi="Arial"/>
                <w:sz w:val="18"/>
                <w:szCs w:val="18"/>
                <w:color w:val="auto"/>
              </w:rPr>
              <w:t>105</w:t>
            </w: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6"/>
        </w:trPr>
        <w:tc>
          <w:tcPr>
            <w:tcW w:w="6200" w:type="dxa"/>
            <w:vAlign w:val="bottom"/>
            <w:vMerge w:val="continue"/>
          </w:tcPr>
          <w:p>
            <w:pPr>
              <w:spacing w:after="0"/>
              <w:rPr>
                <w:sz w:val="24"/>
                <w:szCs w:val="24"/>
                <w:color w:val="auto"/>
              </w:rPr>
            </w:pPr>
          </w:p>
        </w:tc>
        <w:tc>
          <w:tcPr>
            <w:tcW w:w="2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60"/>
          </w:cols>
          <w:pgMar w:left="320" w:top="968" w:right="319" w:bottom="1440" w:gutter="0" w:footer="0" w:header="0"/>
        </w:sectPr>
      </w:pPr>
    </w:p>
    <w:bookmarkStart w:id="106" w:name="page107"/>
    <w:bookmarkEnd w:id="106"/>
    <w:p>
      <w:pPr>
        <w:spacing w:after="0" w:line="1" w:lineRule="exact"/>
        <w:rPr>
          <w:sz w:val="20"/>
          <w:szCs w:val="20"/>
          <w:color w:val="auto"/>
        </w:rPr>
      </w:pPr>
    </w:p>
    <w:tbl>
      <w:tblPr>
        <w:tblLayout w:type="fixed"/>
        <w:tblInd w:w="80" w:type="dxa"/>
        <w:tblCellMar>
          <w:top w:w="0" w:type="dxa"/>
          <w:left w:w="0" w:type="dxa"/>
          <w:bottom w:w="0" w:type="dxa"/>
          <w:right w:w="0" w:type="dxa"/>
        </w:tblCellMar>
      </w:tblPr>
      <w:tr>
        <w:trPr>
          <w:trHeight w:val="192"/>
        </w:trPr>
        <w:tc>
          <w:tcPr>
            <w:tcW w:w="63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380" w:type="dxa"/>
            <w:vAlign w:val="bottom"/>
            <w:tcBorders>
              <w:bottom w:val="single" w:sz="8" w:color="auto"/>
            </w:tcBorders>
            <w:gridSpan w:val="5"/>
          </w:tcPr>
          <w:p>
            <w:pPr>
              <w:ind w:left="560"/>
              <w:spacing w:after="0"/>
              <w:rPr>
                <w:sz w:val="20"/>
                <w:szCs w:val="20"/>
                <w:color w:val="auto"/>
              </w:rPr>
            </w:pPr>
            <w:r>
              <w:rPr>
                <w:rFonts w:ascii="Arial" w:cs="Arial" w:eastAsia="Arial" w:hAnsi="Arial"/>
                <w:sz w:val="14"/>
                <w:szCs w:val="14"/>
                <w:b w:val="1"/>
                <w:bCs w:val="1"/>
                <w:color w:val="auto"/>
              </w:rPr>
              <w:t>Quarter Ended</w:t>
            </w:r>
          </w:p>
        </w:tc>
        <w:tc>
          <w:tcPr>
            <w:tcW w:w="1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r>
      <w:tr>
        <w:trPr>
          <w:trHeight w:val="152"/>
        </w:trPr>
        <w:tc>
          <w:tcPr>
            <w:tcW w:w="63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80" w:type="dxa"/>
            <w:vAlign w:val="bottom"/>
            <w:gridSpan w:val="2"/>
          </w:tcPr>
          <w:p>
            <w:pPr>
              <w:ind w:left="80"/>
              <w:spacing w:after="0" w:line="153" w:lineRule="exact"/>
              <w:rPr>
                <w:sz w:val="20"/>
                <w:szCs w:val="20"/>
                <w:color w:val="auto"/>
              </w:rPr>
            </w:pPr>
            <w:r>
              <w:rPr>
                <w:rFonts w:ascii="Arial" w:cs="Arial" w:eastAsia="Arial" w:hAnsi="Arial"/>
                <w:sz w:val="14"/>
                <w:szCs w:val="14"/>
                <w:b w:val="1"/>
                <w:bCs w:val="1"/>
                <w:color w:val="auto"/>
              </w:rPr>
              <w:t>March 31,</w:t>
            </w:r>
          </w:p>
        </w:tc>
        <w:tc>
          <w:tcPr>
            <w:tcW w:w="200" w:type="dxa"/>
            <w:vAlign w:val="bottom"/>
          </w:tcPr>
          <w:p>
            <w:pPr>
              <w:spacing w:after="0"/>
              <w:rPr>
                <w:sz w:val="13"/>
                <w:szCs w:val="13"/>
                <w:color w:val="auto"/>
              </w:rPr>
            </w:pPr>
          </w:p>
        </w:tc>
        <w:tc>
          <w:tcPr>
            <w:tcW w:w="1020" w:type="dxa"/>
            <w:vAlign w:val="bottom"/>
            <w:gridSpan w:val="2"/>
          </w:tcPr>
          <w:p>
            <w:pPr>
              <w:ind w:left="100"/>
              <w:spacing w:after="0" w:line="153" w:lineRule="exact"/>
              <w:rPr>
                <w:sz w:val="20"/>
                <w:szCs w:val="20"/>
                <w:color w:val="auto"/>
              </w:rPr>
            </w:pPr>
            <w:r>
              <w:rPr>
                <w:rFonts w:ascii="Arial" w:cs="Arial" w:eastAsia="Arial" w:hAnsi="Arial"/>
                <w:sz w:val="14"/>
                <w:szCs w:val="14"/>
                <w:b w:val="1"/>
                <w:bCs w:val="1"/>
                <w:color w:val="auto"/>
              </w:rPr>
              <w:t>June 30,</w:t>
            </w:r>
          </w:p>
        </w:tc>
        <w:tc>
          <w:tcPr>
            <w:tcW w:w="160" w:type="dxa"/>
            <w:vAlign w:val="bottom"/>
          </w:tcPr>
          <w:p>
            <w:pPr>
              <w:spacing w:after="0"/>
              <w:rPr>
                <w:sz w:val="13"/>
                <w:szCs w:val="13"/>
                <w:color w:val="auto"/>
              </w:rPr>
            </w:pPr>
          </w:p>
        </w:tc>
        <w:tc>
          <w:tcPr>
            <w:tcW w:w="1200" w:type="dxa"/>
            <w:vAlign w:val="bottom"/>
            <w:gridSpan w:val="2"/>
          </w:tcPr>
          <w:p>
            <w:pPr>
              <w:ind w:left="20"/>
              <w:spacing w:after="0" w:line="153" w:lineRule="exact"/>
              <w:rPr>
                <w:sz w:val="20"/>
                <w:szCs w:val="20"/>
                <w:color w:val="auto"/>
              </w:rPr>
            </w:pPr>
            <w:r>
              <w:rPr>
                <w:rFonts w:ascii="Arial" w:cs="Arial" w:eastAsia="Arial" w:hAnsi="Arial"/>
                <w:sz w:val="14"/>
                <w:szCs w:val="14"/>
                <w:b w:val="1"/>
                <w:bCs w:val="1"/>
                <w:color w:val="auto"/>
              </w:rPr>
              <w:t>September 30,</w:t>
            </w:r>
          </w:p>
        </w:tc>
        <w:tc>
          <w:tcPr>
            <w:tcW w:w="120" w:type="dxa"/>
            <w:vAlign w:val="bottom"/>
          </w:tcPr>
          <w:p>
            <w:pPr>
              <w:spacing w:after="0"/>
              <w:rPr>
                <w:sz w:val="13"/>
                <w:szCs w:val="13"/>
                <w:color w:val="auto"/>
              </w:rPr>
            </w:pPr>
          </w:p>
        </w:tc>
        <w:tc>
          <w:tcPr>
            <w:tcW w:w="1000" w:type="dxa"/>
            <w:vAlign w:val="bottom"/>
          </w:tcPr>
          <w:p>
            <w:pPr>
              <w:jc w:val="right"/>
              <w:ind w:right="51"/>
              <w:spacing w:after="0" w:line="153" w:lineRule="exact"/>
              <w:rPr>
                <w:sz w:val="20"/>
                <w:szCs w:val="20"/>
                <w:color w:val="auto"/>
              </w:rPr>
            </w:pPr>
            <w:r>
              <w:rPr>
                <w:rFonts w:ascii="Arial" w:cs="Arial" w:eastAsia="Arial" w:hAnsi="Arial"/>
                <w:sz w:val="14"/>
                <w:szCs w:val="14"/>
                <w:b w:val="1"/>
                <w:bCs w:val="1"/>
                <w:color w:val="auto"/>
                <w:w w:val="92"/>
              </w:rPr>
              <w:t>December 31,</w:t>
            </w:r>
          </w:p>
        </w:tc>
      </w:tr>
      <w:tr>
        <w:trPr>
          <w:trHeight w:val="192"/>
        </w:trPr>
        <w:tc>
          <w:tcPr>
            <w:tcW w:w="63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331"/>
              <w:spacing w:after="0"/>
              <w:rPr>
                <w:sz w:val="20"/>
                <w:szCs w:val="20"/>
                <w:color w:val="auto"/>
              </w:rPr>
            </w:pPr>
            <w:r>
              <w:rPr>
                <w:rFonts w:ascii="Arial" w:cs="Arial" w:eastAsia="Arial" w:hAnsi="Arial"/>
                <w:sz w:val="14"/>
                <w:szCs w:val="14"/>
                <w:b w:val="1"/>
                <w:bCs w:val="1"/>
                <w:color w:val="auto"/>
              </w:rPr>
              <w:t>2014</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12"/>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rPr>
              <w:t>2014</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331"/>
              <w:spacing w:after="0"/>
              <w:rPr>
                <w:sz w:val="20"/>
                <w:szCs w:val="20"/>
                <w:color w:val="auto"/>
              </w:rPr>
            </w:pPr>
            <w:r>
              <w:rPr>
                <w:rFonts w:ascii="Arial" w:cs="Arial" w:eastAsia="Arial" w:hAnsi="Arial"/>
                <w:sz w:val="14"/>
                <w:szCs w:val="14"/>
                <w:b w:val="1"/>
                <w:bCs w:val="1"/>
                <w:color w:val="auto"/>
              </w:rPr>
              <w:t>2014</w:t>
            </w:r>
          </w:p>
        </w:tc>
      </w:tr>
      <w:tr>
        <w:trPr>
          <w:trHeight w:val="250"/>
        </w:trPr>
        <w:tc>
          <w:tcPr>
            <w:tcW w:w="6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Interest income:</w:t>
            </w:r>
          </w:p>
        </w:tc>
        <w:tc>
          <w:tcPr>
            <w:tcW w:w="1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r>
      <w:tr>
        <w:trPr>
          <w:trHeight w:val="243"/>
        </w:trPr>
        <w:tc>
          <w:tcPr>
            <w:tcW w:w="6320" w:type="dxa"/>
            <w:vAlign w:val="bottom"/>
          </w:tcPr>
          <w:p>
            <w:pPr>
              <w:ind w:left="260"/>
              <w:spacing w:after="0"/>
              <w:rPr>
                <w:sz w:val="20"/>
                <w:szCs w:val="20"/>
                <w:color w:val="auto"/>
              </w:rPr>
            </w:pPr>
            <w:r>
              <w:rPr>
                <w:rFonts w:ascii="Arial" w:cs="Arial" w:eastAsia="Arial" w:hAnsi="Arial"/>
                <w:sz w:val="18"/>
                <w:szCs w:val="18"/>
                <w:color w:val="auto"/>
              </w:rPr>
              <w:t>Interest income</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399</w:t>
            </w:r>
          </w:p>
        </w:tc>
        <w:tc>
          <w:tcPr>
            <w:tcW w:w="120" w:type="dxa"/>
            <w:vAlign w:val="bottom"/>
          </w:tcPr>
          <w:p>
            <w:pPr>
              <w:spacing w:after="0"/>
              <w:rPr>
                <w:sz w:val="21"/>
                <w:szCs w:val="21"/>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ind w:right="32"/>
              <w:spacing w:after="0"/>
              <w:rPr>
                <w:sz w:val="20"/>
                <w:szCs w:val="20"/>
                <w:color w:val="auto"/>
              </w:rPr>
            </w:pPr>
            <w:r>
              <w:rPr>
                <w:rFonts w:ascii="Arial" w:cs="Arial" w:eastAsia="Arial" w:hAnsi="Arial"/>
                <w:sz w:val="18"/>
                <w:szCs w:val="18"/>
                <w:color w:val="auto"/>
              </w:rPr>
              <w:t>385</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1"/>
              <w:spacing w:after="0"/>
              <w:rPr>
                <w:sz w:val="20"/>
                <w:szCs w:val="20"/>
                <w:color w:val="auto"/>
              </w:rPr>
            </w:pPr>
            <w:r>
              <w:rPr>
                <w:rFonts w:ascii="Arial" w:cs="Arial" w:eastAsia="Arial" w:hAnsi="Arial"/>
                <w:sz w:val="18"/>
                <w:szCs w:val="18"/>
                <w:color w:val="auto"/>
              </w:rPr>
              <w:t>357</w:t>
            </w:r>
          </w:p>
        </w:tc>
        <w:tc>
          <w:tcPr>
            <w:tcW w:w="12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ind w:right="31"/>
              <w:spacing w:after="0"/>
              <w:rPr>
                <w:sz w:val="20"/>
                <w:szCs w:val="20"/>
                <w:color w:val="auto"/>
              </w:rPr>
            </w:pPr>
            <w:r>
              <w:rPr>
                <w:rFonts w:ascii="Arial" w:cs="Arial" w:eastAsia="Arial" w:hAnsi="Arial"/>
                <w:sz w:val="18"/>
                <w:szCs w:val="18"/>
                <w:color w:val="auto"/>
              </w:rPr>
              <w:t>331</w:t>
            </w:r>
          </w:p>
        </w:tc>
      </w:tr>
      <w:tr>
        <w:trPr>
          <w:trHeight w:val="27"/>
        </w:trPr>
        <w:tc>
          <w:tcPr>
            <w:tcW w:w="63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0"/>
        </w:trPr>
        <w:tc>
          <w:tcPr>
            <w:tcW w:w="63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Interest expense</w:t>
            </w:r>
          </w:p>
        </w:tc>
        <w:tc>
          <w:tcPr>
            <w:tcW w:w="1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108</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95</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88</w:t>
            </w:r>
          </w:p>
        </w:tc>
        <w:tc>
          <w:tcPr>
            <w:tcW w:w="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81</w:t>
            </w:r>
          </w:p>
        </w:tc>
      </w:tr>
      <w:tr>
        <w:trPr>
          <w:trHeight w:val="237"/>
        </w:trPr>
        <w:tc>
          <w:tcPr>
            <w:tcW w:w="6320" w:type="dxa"/>
            <w:vAlign w:val="bottom"/>
          </w:tcPr>
          <w:p>
            <w:pPr>
              <w:ind w:left="580"/>
              <w:spacing w:after="0"/>
              <w:rPr>
                <w:sz w:val="20"/>
                <w:szCs w:val="20"/>
                <w:color w:val="auto"/>
              </w:rPr>
            </w:pPr>
            <w:r>
              <w:rPr>
                <w:rFonts w:ascii="Arial" w:cs="Arial" w:eastAsia="Arial" w:hAnsi="Arial"/>
                <w:sz w:val="18"/>
                <w:szCs w:val="18"/>
                <w:color w:val="auto"/>
              </w:rPr>
              <w:t>Net interest income</w:t>
            </w:r>
          </w:p>
        </w:tc>
        <w:tc>
          <w:tcPr>
            <w:tcW w:w="18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291</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290</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269</w:t>
            </w:r>
          </w:p>
        </w:tc>
        <w:tc>
          <w:tcPr>
            <w:tcW w:w="12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250</w:t>
            </w:r>
          </w:p>
        </w:tc>
      </w:tr>
      <w:tr>
        <w:trPr>
          <w:trHeight w:val="27"/>
        </w:trPr>
        <w:tc>
          <w:tcPr>
            <w:tcW w:w="63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44"/>
        </w:trPr>
        <w:tc>
          <w:tcPr>
            <w:tcW w:w="6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Other loss:</w:t>
            </w:r>
          </w:p>
        </w:tc>
        <w:tc>
          <w:tcPr>
            <w:tcW w:w="1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r>
      <w:tr>
        <w:trPr>
          <w:trHeight w:val="243"/>
        </w:trPr>
        <w:tc>
          <w:tcPr>
            <w:tcW w:w="6320" w:type="dxa"/>
            <w:vAlign w:val="bottom"/>
          </w:tcPr>
          <w:p>
            <w:pPr>
              <w:ind w:left="260"/>
              <w:spacing w:after="0"/>
              <w:rPr>
                <w:sz w:val="20"/>
                <w:szCs w:val="20"/>
                <w:color w:val="auto"/>
              </w:rPr>
            </w:pPr>
            <w:r>
              <w:rPr>
                <w:rFonts w:ascii="Arial" w:cs="Arial" w:eastAsia="Arial" w:hAnsi="Arial"/>
                <w:sz w:val="18"/>
                <w:szCs w:val="18"/>
                <w:color w:val="auto"/>
              </w:rPr>
              <w:t>Gain (loss) on sale of agency securities, net</w:t>
            </w:r>
          </w:p>
        </w:tc>
        <w:tc>
          <w:tcPr>
            <w:tcW w:w="1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(19)</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2"/>
              <w:spacing w:after="0"/>
              <w:rPr>
                <w:sz w:val="20"/>
                <w:szCs w:val="20"/>
                <w:color w:val="auto"/>
              </w:rPr>
            </w:pPr>
            <w:r>
              <w:rPr>
                <w:rFonts w:ascii="Arial" w:cs="Arial" w:eastAsia="Arial" w:hAnsi="Arial"/>
                <w:sz w:val="18"/>
                <w:szCs w:val="18"/>
                <w:color w:val="auto"/>
              </w:rPr>
              <w:t>22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jc w:val="right"/>
              <w:ind w:right="11"/>
              <w:spacing w:after="0"/>
              <w:rPr>
                <w:sz w:val="20"/>
                <w:szCs w:val="20"/>
                <w:color w:val="auto"/>
              </w:rPr>
            </w:pPr>
            <w:r>
              <w:rPr>
                <w:rFonts w:ascii="Arial" w:cs="Arial" w:eastAsia="Arial" w:hAnsi="Arial"/>
                <w:sz w:val="18"/>
                <w:szCs w:val="18"/>
                <w:color w:val="auto"/>
              </w:rPr>
              <w:t>14</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0" w:type="dxa"/>
            <w:vAlign w:val="bottom"/>
          </w:tcPr>
          <w:p>
            <w:pPr>
              <w:jc w:val="right"/>
              <w:ind w:right="31"/>
              <w:spacing w:after="0"/>
              <w:rPr>
                <w:sz w:val="20"/>
                <w:szCs w:val="20"/>
                <w:color w:val="auto"/>
              </w:rPr>
            </w:pPr>
            <w:r>
              <w:rPr>
                <w:rFonts w:ascii="Arial" w:cs="Arial" w:eastAsia="Arial" w:hAnsi="Arial"/>
                <w:sz w:val="18"/>
                <w:szCs w:val="18"/>
                <w:color w:val="auto"/>
              </w:rPr>
              <w:t>34</w:t>
            </w:r>
          </w:p>
        </w:tc>
      </w:tr>
      <w:tr>
        <w:trPr>
          <w:trHeight w:val="27"/>
        </w:trPr>
        <w:tc>
          <w:tcPr>
            <w:tcW w:w="63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0"/>
        </w:trPr>
        <w:tc>
          <w:tcPr>
            <w:tcW w:w="63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Loss on derivative instruments and other securities, net</w:t>
            </w:r>
          </w:p>
        </w:tc>
        <w:tc>
          <w:tcPr>
            <w:tcW w:w="1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(378)</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(244)</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(572)</w:t>
            </w:r>
          </w:p>
        </w:tc>
      </w:tr>
      <w:tr>
        <w:trPr>
          <w:trHeight w:val="237"/>
        </w:trPr>
        <w:tc>
          <w:tcPr>
            <w:tcW w:w="6320" w:type="dxa"/>
            <w:vAlign w:val="bottom"/>
          </w:tcPr>
          <w:p>
            <w:pPr>
              <w:ind w:left="580"/>
              <w:spacing w:after="0"/>
              <w:rPr>
                <w:sz w:val="20"/>
                <w:szCs w:val="20"/>
                <w:color w:val="auto"/>
              </w:rPr>
            </w:pPr>
            <w:r>
              <w:rPr>
                <w:rFonts w:ascii="Arial" w:cs="Arial" w:eastAsia="Arial" w:hAnsi="Arial"/>
                <w:sz w:val="18"/>
                <w:szCs w:val="18"/>
                <w:color w:val="auto"/>
              </w:rPr>
              <w:t>Total other loss, net</w:t>
            </w:r>
          </w:p>
        </w:tc>
        <w:tc>
          <w:tcPr>
            <w:tcW w:w="18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(397)</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(222)</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(37)</w:t>
            </w:r>
          </w:p>
        </w:tc>
        <w:tc>
          <w:tcPr>
            <w:tcW w:w="12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(538)</w:t>
            </w:r>
          </w:p>
        </w:tc>
      </w:tr>
      <w:tr>
        <w:trPr>
          <w:trHeight w:val="27"/>
        </w:trPr>
        <w:tc>
          <w:tcPr>
            <w:tcW w:w="63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44"/>
        </w:trPr>
        <w:tc>
          <w:tcPr>
            <w:tcW w:w="6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Expenses:</w:t>
            </w:r>
          </w:p>
        </w:tc>
        <w:tc>
          <w:tcPr>
            <w:tcW w:w="1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r>
      <w:tr>
        <w:trPr>
          <w:trHeight w:val="243"/>
        </w:trPr>
        <w:tc>
          <w:tcPr>
            <w:tcW w:w="6320" w:type="dxa"/>
            <w:vAlign w:val="bottom"/>
          </w:tcPr>
          <w:p>
            <w:pPr>
              <w:ind w:left="260"/>
              <w:spacing w:after="0"/>
              <w:rPr>
                <w:sz w:val="20"/>
                <w:szCs w:val="20"/>
                <w:color w:val="auto"/>
              </w:rPr>
            </w:pPr>
            <w:r>
              <w:rPr>
                <w:rFonts w:ascii="Arial" w:cs="Arial" w:eastAsia="Arial" w:hAnsi="Arial"/>
                <w:sz w:val="18"/>
                <w:szCs w:val="18"/>
                <w:color w:val="auto"/>
              </w:rPr>
              <w:t>Management fees</w:t>
            </w:r>
          </w:p>
        </w:tc>
        <w:tc>
          <w:tcPr>
            <w:tcW w:w="180" w:type="dxa"/>
            <w:vAlign w:val="bottom"/>
          </w:tcPr>
          <w:p>
            <w:pPr>
              <w:spacing w:after="0"/>
              <w:rPr>
                <w:sz w:val="21"/>
                <w:szCs w:val="21"/>
                <w:color w:val="auto"/>
              </w:rPr>
            </w:pP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29</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2"/>
              <w:spacing w:after="0"/>
              <w:rPr>
                <w:sz w:val="20"/>
                <w:szCs w:val="20"/>
                <w:color w:val="auto"/>
              </w:rPr>
            </w:pPr>
            <w:r>
              <w:rPr>
                <w:rFonts w:ascii="Arial" w:cs="Arial" w:eastAsia="Arial" w:hAnsi="Arial"/>
                <w:sz w:val="18"/>
                <w:szCs w:val="18"/>
                <w:color w:val="auto"/>
              </w:rPr>
              <w:t>30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jc w:val="right"/>
              <w:ind w:right="11"/>
              <w:spacing w:after="0"/>
              <w:rPr>
                <w:sz w:val="20"/>
                <w:szCs w:val="20"/>
                <w:color w:val="auto"/>
              </w:rPr>
            </w:pPr>
            <w:r>
              <w:rPr>
                <w:rFonts w:ascii="Arial" w:cs="Arial" w:eastAsia="Arial" w:hAnsi="Arial"/>
                <w:sz w:val="18"/>
                <w:szCs w:val="18"/>
                <w:color w:val="auto"/>
              </w:rPr>
              <w:t>30</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0" w:type="dxa"/>
            <w:vAlign w:val="bottom"/>
          </w:tcPr>
          <w:p>
            <w:pPr>
              <w:jc w:val="right"/>
              <w:ind w:right="31"/>
              <w:spacing w:after="0"/>
              <w:rPr>
                <w:sz w:val="20"/>
                <w:szCs w:val="20"/>
                <w:color w:val="auto"/>
              </w:rPr>
            </w:pPr>
            <w:r>
              <w:rPr>
                <w:rFonts w:ascii="Arial" w:cs="Arial" w:eastAsia="Arial" w:hAnsi="Arial"/>
                <w:sz w:val="18"/>
                <w:szCs w:val="18"/>
                <w:color w:val="auto"/>
              </w:rPr>
              <w:t>30</w:t>
            </w:r>
          </w:p>
        </w:tc>
      </w:tr>
      <w:tr>
        <w:trPr>
          <w:trHeight w:val="27"/>
        </w:trPr>
        <w:tc>
          <w:tcPr>
            <w:tcW w:w="63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0"/>
        </w:trPr>
        <w:tc>
          <w:tcPr>
            <w:tcW w:w="63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General and administrative expenses</w:t>
            </w:r>
          </w:p>
        </w:tc>
        <w:tc>
          <w:tcPr>
            <w:tcW w:w="1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w:t>
            </w:r>
          </w:p>
        </w:tc>
        <w:tc>
          <w:tcPr>
            <w:tcW w:w="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w:t>
            </w:r>
          </w:p>
        </w:tc>
      </w:tr>
      <w:tr>
        <w:trPr>
          <w:trHeight w:val="237"/>
        </w:trPr>
        <w:tc>
          <w:tcPr>
            <w:tcW w:w="6320" w:type="dxa"/>
            <w:vAlign w:val="bottom"/>
          </w:tcPr>
          <w:p>
            <w:pPr>
              <w:ind w:left="580"/>
              <w:spacing w:after="0"/>
              <w:rPr>
                <w:sz w:val="20"/>
                <w:szCs w:val="20"/>
                <w:color w:val="auto"/>
              </w:rPr>
            </w:pPr>
            <w:r>
              <w:rPr>
                <w:rFonts w:ascii="Arial" w:cs="Arial" w:eastAsia="Arial" w:hAnsi="Arial"/>
                <w:sz w:val="18"/>
                <w:szCs w:val="18"/>
                <w:color w:val="auto"/>
              </w:rPr>
              <w:t>Total expenses</w:t>
            </w:r>
          </w:p>
        </w:tc>
        <w:tc>
          <w:tcPr>
            <w:tcW w:w="18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35</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36</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35</w:t>
            </w:r>
          </w:p>
        </w:tc>
        <w:tc>
          <w:tcPr>
            <w:tcW w:w="12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35</w:t>
            </w:r>
          </w:p>
        </w:tc>
      </w:tr>
      <w:tr>
        <w:trPr>
          <w:trHeight w:val="27"/>
        </w:trPr>
        <w:tc>
          <w:tcPr>
            <w:tcW w:w="63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44"/>
        </w:trPr>
        <w:tc>
          <w:tcPr>
            <w:tcW w:w="6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income (loss)</w:t>
            </w:r>
          </w:p>
        </w:tc>
        <w:tc>
          <w:tcPr>
            <w:tcW w:w="1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197</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(323)</w:t>
            </w:r>
          </w:p>
        </w:tc>
      </w:tr>
      <w:tr>
        <w:trPr>
          <w:trHeight w:val="243"/>
        </w:trPr>
        <w:tc>
          <w:tcPr>
            <w:tcW w:w="6320" w:type="dxa"/>
            <w:vAlign w:val="bottom"/>
          </w:tcPr>
          <w:p>
            <w:pPr>
              <w:ind w:left="260"/>
              <w:spacing w:after="0"/>
              <w:rPr>
                <w:sz w:val="20"/>
                <w:szCs w:val="20"/>
                <w:color w:val="auto"/>
              </w:rPr>
            </w:pPr>
            <w:r>
              <w:rPr>
                <w:rFonts w:ascii="Arial" w:cs="Arial" w:eastAsia="Arial" w:hAnsi="Arial"/>
                <w:sz w:val="18"/>
                <w:szCs w:val="18"/>
                <w:color w:val="auto"/>
              </w:rPr>
              <w:t>Dividend on preferred stock</w:t>
            </w:r>
          </w:p>
        </w:tc>
        <w:tc>
          <w:tcPr>
            <w:tcW w:w="180" w:type="dxa"/>
            <w:vAlign w:val="bottom"/>
          </w:tcPr>
          <w:p>
            <w:pPr>
              <w:spacing w:after="0"/>
              <w:rPr>
                <w:sz w:val="21"/>
                <w:szCs w:val="21"/>
                <w:color w:val="auto"/>
              </w:rPr>
            </w:pP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3</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2"/>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jc w:val="right"/>
              <w:ind w:right="11"/>
              <w:spacing w:after="0"/>
              <w:rPr>
                <w:sz w:val="20"/>
                <w:szCs w:val="20"/>
                <w:color w:val="auto"/>
              </w:rPr>
            </w:pPr>
            <w:r>
              <w:rPr>
                <w:rFonts w:ascii="Arial" w:cs="Arial" w:eastAsia="Arial" w:hAnsi="Arial"/>
                <w:sz w:val="18"/>
                <w:szCs w:val="18"/>
                <w:color w:val="auto"/>
              </w:rPr>
              <w:t>7</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0" w:type="dxa"/>
            <w:vAlign w:val="bottom"/>
          </w:tcPr>
          <w:p>
            <w:pPr>
              <w:jc w:val="right"/>
              <w:ind w:right="31"/>
              <w:spacing w:after="0"/>
              <w:rPr>
                <w:sz w:val="20"/>
                <w:szCs w:val="20"/>
                <w:color w:val="auto"/>
              </w:rPr>
            </w:pPr>
            <w:r>
              <w:rPr>
                <w:rFonts w:ascii="Arial" w:cs="Arial" w:eastAsia="Arial" w:hAnsi="Arial"/>
                <w:sz w:val="18"/>
                <w:szCs w:val="18"/>
                <w:color w:val="auto"/>
              </w:rPr>
              <w:t>7</w:t>
            </w:r>
          </w:p>
        </w:tc>
      </w:tr>
      <w:tr>
        <w:trPr>
          <w:trHeight w:val="27"/>
        </w:trPr>
        <w:tc>
          <w:tcPr>
            <w:tcW w:w="63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57"/>
        </w:trPr>
        <w:tc>
          <w:tcPr>
            <w:tcW w:w="6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income (loss) available (attributable) to common shareholders</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(144)</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27</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190</w:t>
            </w:r>
          </w:p>
        </w:tc>
        <w:tc>
          <w:tcPr>
            <w:tcW w:w="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(330)</w:t>
            </w:r>
          </w:p>
        </w:tc>
      </w:tr>
      <w:tr>
        <w:trPr>
          <w:trHeight w:val="20"/>
        </w:trPr>
        <w:tc>
          <w:tcPr>
            <w:tcW w:w="63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r>
        <w:trPr>
          <w:trHeight w:val="311"/>
        </w:trPr>
        <w:tc>
          <w:tcPr>
            <w:tcW w:w="6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250"/>
        </w:trPr>
        <w:tc>
          <w:tcPr>
            <w:tcW w:w="6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income (loss)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197</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(323)</w:t>
            </w:r>
          </w:p>
        </w:tc>
      </w:tr>
      <w:tr>
        <w:trPr>
          <w:trHeight w:val="243"/>
        </w:trPr>
        <w:tc>
          <w:tcPr>
            <w:tcW w:w="6320" w:type="dxa"/>
            <w:vAlign w:val="bottom"/>
          </w:tcPr>
          <w:p>
            <w:pPr>
              <w:ind w:left="20"/>
              <w:spacing w:after="0"/>
              <w:rPr>
                <w:sz w:val="20"/>
                <w:szCs w:val="20"/>
                <w:color w:val="auto"/>
              </w:rPr>
            </w:pPr>
            <w:r>
              <w:rPr>
                <w:rFonts w:ascii="Arial" w:cs="Arial" w:eastAsia="Arial" w:hAnsi="Arial"/>
                <w:sz w:val="18"/>
                <w:szCs w:val="18"/>
                <w:b w:val="1"/>
                <w:bCs w:val="1"/>
                <w:color w:val="auto"/>
              </w:rPr>
              <w:t>Other comprehensive income (loss):</w:t>
            </w:r>
          </w:p>
        </w:tc>
        <w:tc>
          <w:tcPr>
            <w:tcW w:w="1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0" w:type="dxa"/>
            <w:vAlign w:val="bottom"/>
          </w:tcPr>
          <w:p>
            <w:pPr>
              <w:spacing w:after="0"/>
              <w:rPr>
                <w:sz w:val="21"/>
                <w:szCs w:val="21"/>
                <w:color w:val="auto"/>
              </w:rPr>
            </w:pPr>
          </w:p>
        </w:tc>
      </w:tr>
      <w:tr>
        <w:trPr>
          <w:trHeight w:val="27"/>
        </w:trPr>
        <w:tc>
          <w:tcPr>
            <w:tcW w:w="63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63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Unrealized gain (loss) on available-for-sale securities, net</w:t>
            </w:r>
          </w:p>
        </w:tc>
        <w:tc>
          <w:tcPr>
            <w:tcW w:w="1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521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790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(253)</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599</w:t>
            </w:r>
          </w:p>
        </w:tc>
      </w:tr>
      <w:tr>
        <w:trPr>
          <w:trHeight w:val="243"/>
        </w:trPr>
        <w:tc>
          <w:tcPr>
            <w:tcW w:w="6320" w:type="dxa"/>
            <w:vAlign w:val="bottom"/>
          </w:tcPr>
          <w:p>
            <w:pPr>
              <w:ind w:left="380"/>
              <w:spacing w:after="0"/>
              <w:rPr>
                <w:sz w:val="20"/>
                <w:szCs w:val="20"/>
                <w:color w:val="auto"/>
              </w:rPr>
            </w:pPr>
            <w:r>
              <w:rPr>
                <w:rFonts w:ascii="Arial" w:cs="Arial" w:eastAsia="Arial" w:hAnsi="Arial"/>
                <w:sz w:val="18"/>
                <w:szCs w:val="18"/>
                <w:color w:val="auto"/>
              </w:rPr>
              <w:t>Unrealized gain on derivative instruments, net</w:t>
            </w:r>
          </w:p>
        </w:tc>
        <w:tc>
          <w:tcPr>
            <w:tcW w:w="180" w:type="dxa"/>
            <w:vAlign w:val="bottom"/>
          </w:tcPr>
          <w:p>
            <w:pPr>
              <w:spacing w:after="0"/>
              <w:rPr>
                <w:sz w:val="21"/>
                <w:szCs w:val="21"/>
                <w:color w:val="auto"/>
              </w:rPr>
            </w:pPr>
          </w:p>
        </w:tc>
        <w:tc>
          <w:tcPr>
            <w:tcW w:w="960" w:type="dxa"/>
            <w:vAlign w:val="bottom"/>
          </w:tcPr>
          <w:p>
            <w:pPr>
              <w:jc w:val="right"/>
              <w:ind w:right="11"/>
              <w:spacing w:after="0"/>
              <w:rPr>
                <w:sz w:val="20"/>
                <w:szCs w:val="20"/>
                <w:color w:val="auto"/>
              </w:rPr>
            </w:pPr>
            <w:r>
              <w:rPr>
                <w:rFonts w:ascii="Arial" w:cs="Arial" w:eastAsia="Arial" w:hAnsi="Arial"/>
                <w:sz w:val="18"/>
                <w:szCs w:val="18"/>
                <w:color w:val="auto"/>
              </w:rPr>
              <w:t>43</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2"/>
              <w:spacing w:after="0"/>
              <w:rPr>
                <w:sz w:val="20"/>
                <w:szCs w:val="20"/>
                <w:color w:val="auto"/>
              </w:rPr>
            </w:pPr>
            <w:r>
              <w:rPr>
                <w:rFonts w:ascii="Arial" w:cs="Arial" w:eastAsia="Arial" w:hAnsi="Arial"/>
                <w:sz w:val="18"/>
                <w:szCs w:val="18"/>
                <w:color w:val="auto"/>
              </w:rPr>
              <w:t>40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jc w:val="right"/>
              <w:ind w:right="11"/>
              <w:spacing w:after="0"/>
              <w:rPr>
                <w:sz w:val="20"/>
                <w:szCs w:val="20"/>
                <w:color w:val="auto"/>
              </w:rPr>
            </w:pPr>
            <w:r>
              <w:rPr>
                <w:rFonts w:ascii="Arial" w:cs="Arial" w:eastAsia="Arial" w:hAnsi="Arial"/>
                <w:sz w:val="18"/>
                <w:szCs w:val="18"/>
                <w:color w:val="auto"/>
              </w:rPr>
              <w:t>38</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0" w:type="dxa"/>
            <w:vAlign w:val="bottom"/>
          </w:tcPr>
          <w:p>
            <w:pPr>
              <w:jc w:val="right"/>
              <w:ind w:right="31"/>
              <w:spacing w:after="0"/>
              <w:rPr>
                <w:sz w:val="20"/>
                <w:szCs w:val="20"/>
                <w:color w:val="auto"/>
              </w:rPr>
            </w:pPr>
            <w:r>
              <w:rPr>
                <w:rFonts w:ascii="Arial" w:cs="Arial" w:eastAsia="Arial" w:hAnsi="Arial"/>
                <w:sz w:val="18"/>
                <w:szCs w:val="18"/>
                <w:color w:val="auto"/>
              </w:rPr>
              <w:t>35</w:t>
            </w:r>
          </w:p>
        </w:tc>
      </w:tr>
      <w:tr>
        <w:trPr>
          <w:trHeight w:val="27"/>
        </w:trPr>
        <w:tc>
          <w:tcPr>
            <w:tcW w:w="63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64"/>
        </w:trPr>
        <w:tc>
          <w:tcPr>
            <w:tcW w:w="6320" w:type="dxa"/>
            <w:vAlign w:val="bottom"/>
            <w:tcBorders>
              <w:bottom w:val="single" w:sz="8" w:color="CCEEFF"/>
            </w:tcBorders>
            <w:shd w:val="clear" w:color="auto" w:fill="CCEEFF"/>
          </w:tcPr>
          <w:p>
            <w:pPr>
              <w:ind w:left="700"/>
              <w:spacing w:after="0"/>
              <w:rPr>
                <w:sz w:val="20"/>
                <w:szCs w:val="20"/>
                <w:color w:val="auto"/>
              </w:rPr>
            </w:pPr>
            <w:r>
              <w:rPr>
                <w:rFonts w:ascii="Arial" w:cs="Arial" w:eastAsia="Arial" w:hAnsi="Arial"/>
                <w:sz w:val="18"/>
                <w:szCs w:val="18"/>
                <w:color w:val="auto"/>
              </w:rPr>
              <w:t>Other comprehensive income (loss)</w:t>
            </w:r>
          </w:p>
        </w:tc>
        <w:tc>
          <w:tcPr>
            <w:tcW w:w="18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564</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830</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(215)</w:t>
            </w:r>
          </w:p>
        </w:tc>
        <w:tc>
          <w:tcPr>
            <w:tcW w:w="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634</w:t>
            </w:r>
          </w:p>
        </w:tc>
      </w:tr>
      <w:tr>
        <w:trPr>
          <w:trHeight w:val="237"/>
        </w:trPr>
        <w:tc>
          <w:tcPr>
            <w:tcW w:w="6320" w:type="dxa"/>
            <w:vAlign w:val="bottom"/>
          </w:tcPr>
          <w:p>
            <w:pPr>
              <w:ind w:left="20"/>
              <w:spacing w:after="0"/>
              <w:rPr>
                <w:sz w:val="20"/>
                <w:szCs w:val="20"/>
                <w:color w:val="auto"/>
              </w:rPr>
            </w:pPr>
            <w:r>
              <w:rPr>
                <w:rFonts w:ascii="Arial" w:cs="Arial" w:eastAsia="Arial" w:hAnsi="Arial"/>
                <w:sz w:val="18"/>
                <w:szCs w:val="18"/>
                <w:b w:val="1"/>
                <w:bCs w:val="1"/>
                <w:color w:val="auto"/>
              </w:rPr>
              <w:t>Comprehensive income (loss)</w:t>
            </w:r>
          </w:p>
        </w:tc>
        <w:tc>
          <w:tcPr>
            <w:tcW w:w="18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423</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862</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w:t>
            </w:r>
          </w:p>
        </w:tc>
        <w:tc>
          <w:tcPr>
            <w:tcW w:w="12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311</w:t>
            </w:r>
          </w:p>
        </w:tc>
      </w:tr>
      <w:tr>
        <w:trPr>
          <w:trHeight w:val="27"/>
        </w:trPr>
        <w:tc>
          <w:tcPr>
            <w:tcW w:w="63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0"/>
        </w:trPr>
        <w:tc>
          <w:tcPr>
            <w:tcW w:w="63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Dividend on preferred stock</w:t>
            </w:r>
          </w:p>
        </w:tc>
        <w:tc>
          <w:tcPr>
            <w:tcW w:w="1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w:t>
            </w:r>
          </w:p>
        </w:tc>
        <w:tc>
          <w:tcPr>
            <w:tcW w:w="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w:t>
            </w:r>
          </w:p>
        </w:tc>
      </w:tr>
      <w:tr>
        <w:trPr>
          <w:trHeight w:val="297"/>
        </w:trPr>
        <w:tc>
          <w:tcPr>
            <w:tcW w:w="6320" w:type="dxa"/>
            <w:vAlign w:val="bottom"/>
            <w:tcBorders>
              <w:bottom w:val="single" w:sz="8" w:color="CCEEFF"/>
            </w:tcBorders>
          </w:tcPr>
          <w:p>
            <w:pPr>
              <w:ind w:left="20"/>
              <w:spacing w:after="0"/>
              <w:rPr>
                <w:sz w:val="20"/>
                <w:szCs w:val="20"/>
                <w:color w:val="auto"/>
              </w:rPr>
            </w:pPr>
            <w:r>
              <w:rPr>
                <w:rFonts w:ascii="Arial" w:cs="Arial" w:eastAsia="Arial" w:hAnsi="Arial"/>
                <w:sz w:val="18"/>
                <w:szCs w:val="18"/>
                <w:b w:val="1"/>
                <w:bCs w:val="1"/>
                <w:color w:val="auto"/>
                <w:w w:val="93"/>
              </w:rPr>
              <w:t>Comprehensive income (loss) available (attributable) to common shareholders</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420</w:t>
            </w:r>
          </w:p>
        </w:tc>
        <w:tc>
          <w:tcPr>
            <w:tcW w:w="12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857</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w:t>
            </w:r>
          </w:p>
        </w:tc>
        <w:tc>
          <w:tcPr>
            <w:tcW w:w="120" w:type="dxa"/>
            <w:vAlign w:val="bottom"/>
            <w:tcBorders>
              <w:bottom w:val="single" w:sz="8" w:color="CCEEFF"/>
            </w:tcBorders>
          </w:tcPr>
          <w:p>
            <w:pPr>
              <w:spacing w:after="0"/>
              <w:rPr>
                <w:sz w:val="24"/>
                <w:szCs w:val="24"/>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304</w:t>
            </w:r>
          </w:p>
        </w:tc>
      </w:tr>
      <w:tr>
        <w:trPr>
          <w:trHeight w:val="251"/>
        </w:trPr>
        <w:tc>
          <w:tcPr>
            <w:tcW w:w="6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w w:val="96"/>
              </w:rPr>
              <w:t>Weighted average number of common shares outstanding-basic and diluted</w:t>
            </w:r>
          </w:p>
        </w:tc>
        <w:tc>
          <w:tcPr>
            <w:tcW w:w="180" w:type="dxa"/>
            <w:vAlign w:val="bottom"/>
            <w:tcBorders>
              <w:bottom w:val="single" w:sz="8" w:color="auto"/>
            </w:tcBorders>
            <w:shd w:val="clear" w:color="auto" w:fill="CCEEFF"/>
          </w:tcPr>
          <w:p>
            <w:pPr>
              <w:spacing w:after="0"/>
              <w:rPr>
                <w:sz w:val="21"/>
                <w:szCs w:val="21"/>
                <w:color w:val="auto"/>
              </w:rPr>
            </w:pPr>
          </w:p>
        </w:tc>
        <w:tc>
          <w:tcPr>
            <w:tcW w:w="96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354.8</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352.8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10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352.8</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100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352.8</w:t>
            </w:r>
          </w:p>
        </w:tc>
      </w:tr>
      <w:tr>
        <w:trPr>
          <w:trHeight w:val="20"/>
        </w:trPr>
        <w:tc>
          <w:tcPr>
            <w:tcW w:w="63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r>
        <w:trPr>
          <w:trHeight w:val="291"/>
        </w:trPr>
        <w:tc>
          <w:tcPr>
            <w:tcW w:w="6320" w:type="dxa"/>
            <w:vAlign w:val="bottom"/>
            <w:tcBorders>
              <w:bottom w:val="single" w:sz="8" w:color="CCEEFF"/>
            </w:tcBorders>
          </w:tcPr>
          <w:p>
            <w:pPr>
              <w:ind w:left="20"/>
              <w:spacing w:after="0"/>
              <w:rPr>
                <w:sz w:val="20"/>
                <w:szCs w:val="20"/>
                <w:color w:val="auto"/>
              </w:rPr>
            </w:pPr>
            <w:r>
              <w:rPr>
                <w:rFonts w:ascii="Arial" w:cs="Arial" w:eastAsia="Arial" w:hAnsi="Arial"/>
                <w:sz w:val="18"/>
                <w:szCs w:val="18"/>
                <w:b w:val="1"/>
                <w:bCs w:val="1"/>
                <w:color w:val="auto"/>
              </w:rPr>
              <w:t>Net income (loss) per common share - basic and diluted</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(0.41)</w:t>
            </w:r>
          </w:p>
        </w:tc>
        <w:tc>
          <w:tcPr>
            <w:tcW w:w="12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rPr>
              <w:t>0.08</w:t>
            </w:r>
          </w:p>
        </w:tc>
        <w:tc>
          <w:tcPr>
            <w:tcW w:w="100" w:type="dxa"/>
            <w:vAlign w:val="bottom"/>
            <w:tcBorders>
              <w:bottom w:val="single" w:sz="8" w:color="CCEEFF"/>
            </w:tcBorders>
          </w:tcPr>
          <w:p>
            <w:pPr>
              <w:spacing w:after="0"/>
              <w:rPr>
                <w:sz w:val="24"/>
                <w:szCs w:val="24"/>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0.54</w:t>
            </w:r>
          </w:p>
        </w:tc>
        <w:tc>
          <w:tcPr>
            <w:tcW w:w="120" w:type="dxa"/>
            <w:vAlign w:val="bottom"/>
            <w:tcBorders>
              <w:bottom w:val="single" w:sz="8" w:color="CCEEFF"/>
            </w:tcBorders>
          </w:tcPr>
          <w:p>
            <w:pPr>
              <w:spacing w:after="0"/>
              <w:rPr>
                <w:sz w:val="24"/>
                <w:szCs w:val="24"/>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(0.94)</w:t>
            </w:r>
          </w:p>
        </w:tc>
      </w:tr>
      <w:tr>
        <w:trPr>
          <w:trHeight w:val="251"/>
        </w:trPr>
        <w:tc>
          <w:tcPr>
            <w:tcW w:w="6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Comprehensive income (loss) per common share - basic and diluted</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1.18</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2.43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(0.07)</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0.86</w:t>
            </w:r>
          </w:p>
        </w:tc>
      </w:tr>
      <w:tr>
        <w:trPr>
          <w:trHeight w:val="20"/>
        </w:trPr>
        <w:tc>
          <w:tcPr>
            <w:tcW w:w="63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r>
        <w:trPr>
          <w:trHeight w:val="251"/>
        </w:trPr>
        <w:tc>
          <w:tcPr>
            <w:tcW w:w="6320" w:type="dxa"/>
            <w:vAlign w:val="bottom"/>
          </w:tcPr>
          <w:p>
            <w:pPr>
              <w:ind w:left="20"/>
              <w:spacing w:after="0"/>
              <w:rPr>
                <w:sz w:val="20"/>
                <w:szCs w:val="20"/>
                <w:color w:val="auto"/>
              </w:rPr>
            </w:pPr>
            <w:r>
              <w:rPr>
                <w:rFonts w:ascii="Arial" w:cs="Arial" w:eastAsia="Arial" w:hAnsi="Arial"/>
                <w:sz w:val="18"/>
                <w:szCs w:val="18"/>
                <w:b w:val="1"/>
                <w:bCs w:val="1"/>
                <w:color w:val="auto"/>
              </w:rPr>
              <w:t>Dividends declared per common share</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0.65</w:t>
            </w:r>
          </w:p>
        </w:tc>
        <w:tc>
          <w:tcPr>
            <w:tcW w:w="120" w:type="dxa"/>
            <w:vAlign w:val="bottom"/>
          </w:tcPr>
          <w:p>
            <w:pPr>
              <w:spacing w:after="0"/>
              <w:rPr>
                <w:sz w:val="21"/>
                <w:szCs w:val="21"/>
                <w:color w:val="auto"/>
              </w:rPr>
            </w:pP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rPr>
              <w:t>0.65</w:t>
            </w:r>
          </w:p>
        </w:tc>
        <w:tc>
          <w:tcPr>
            <w:tcW w:w="100" w:type="dxa"/>
            <w:vAlign w:val="bottom"/>
          </w:tcPr>
          <w:p>
            <w:pPr>
              <w:spacing w:after="0"/>
              <w:rPr>
                <w:sz w:val="21"/>
                <w:szCs w:val="21"/>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0.65</w:t>
            </w:r>
          </w:p>
        </w:tc>
        <w:tc>
          <w:tcPr>
            <w:tcW w:w="120" w:type="dxa"/>
            <w:vAlign w:val="bottom"/>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0.66</w:t>
            </w:r>
          </w:p>
        </w:tc>
      </w:tr>
      <w:tr>
        <w:trPr>
          <w:trHeight w:val="20"/>
        </w:trPr>
        <w:tc>
          <w:tcPr>
            <w:tcW w:w="63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12. Subsequent Events</w:t>
      </w:r>
    </w:p>
    <w:p>
      <w:pPr>
        <w:spacing w:after="0" w:line="229" w:lineRule="exact"/>
        <w:rPr>
          <w:sz w:val="20"/>
          <w:szCs w:val="20"/>
          <w:color w:val="auto"/>
        </w:rPr>
      </w:pPr>
    </w:p>
    <w:p>
      <w:pPr>
        <w:ind w:right="300" w:firstLine="405"/>
        <w:spacing w:after="0" w:line="264" w:lineRule="auto"/>
        <w:rPr>
          <w:sz w:val="20"/>
          <w:szCs w:val="20"/>
          <w:color w:val="auto"/>
        </w:rPr>
      </w:pPr>
      <w:r>
        <w:rPr>
          <w:rFonts w:ascii="Arial" w:cs="Arial" w:eastAsia="Arial" w:hAnsi="Arial"/>
          <w:sz w:val="18"/>
          <w:szCs w:val="18"/>
          <w:color w:val="auto"/>
        </w:rPr>
        <w:t>On January 14, 2016, our Board of Directors declared a monthly dividend of $0.20 per common share, which will be paid on February 8, 2016, to common stockholders of record as of January 29, 2016. On February 11, 2016, our Board of Directors declared a monthly dividend of $0.20 per common share, which will be paid on March 8, 2016, to common stockholders of record as of February 29, 2016.</w:t>
      </w:r>
    </w:p>
    <w:p>
      <w:pPr>
        <w:spacing w:after="0" w:line="20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106</w:t>
      </w:r>
    </w:p>
    <w:p>
      <w:pPr>
        <w:sectPr>
          <w:pgSz w:w="11900" w:h="16838" w:orient="portrait"/>
          <w:cols w:equalWidth="0" w:num="1">
            <w:col w:w="11360"/>
          </w:cols>
          <w:pgMar w:left="240" w:top="968" w:right="299" w:bottom="1440" w:gutter="0" w:footer="0" w:header="0"/>
        </w:sectPr>
      </w:pPr>
    </w:p>
    <w:bookmarkStart w:id="107" w:name="page108"/>
    <w:bookmarkEnd w:id="107"/>
    <w:p>
      <w:pPr>
        <w:spacing w:after="0"/>
        <w:rPr>
          <w:sz w:val="20"/>
          <w:szCs w:val="20"/>
          <w:color w:val="auto"/>
        </w:rPr>
      </w:pPr>
      <w:r>
        <w:rPr>
          <w:rFonts w:ascii="Arial" w:cs="Arial" w:eastAsia="Arial" w:hAnsi="Arial"/>
          <w:sz w:val="18"/>
          <w:szCs w:val="18"/>
          <w:b w:val="1"/>
          <w:bCs w:val="1"/>
          <w:color w:val="auto"/>
        </w:rPr>
        <w:t xml:space="preserve">Item 9. </w:t>
      </w:r>
      <w:r>
        <w:rPr>
          <w:rFonts w:ascii="Arial" w:cs="Arial" w:eastAsia="Arial" w:hAnsi="Arial"/>
          <w:sz w:val="18"/>
          <w:szCs w:val="18"/>
          <w:b w:val="1"/>
          <w:bCs w:val="1"/>
          <w:i w:val="1"/>
          <w:iCs w:val="1"/>
          <w:color w:val="auto"/>
        </w:rPr>
        <w:t>Changes in and Disagreements with Accountants on Accounting and Financial Disclosure</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9A. </w:t>
      </w:r>
      <w:r>
        <w:rPr>
          <w:rFonts w:ascii="Arial" w:cs="Arial" w:eastAsia="Arial" w:hAnsi="Arial"/>
          <w:sz w:val="18"/>
          <w:szCs w:val="18"/>
          <w:b w:val="1"/>
          <w:bCs w:val="1"/>
          <w:i w:val="1"/>
          <w:iCs w:val="1"/>
          <w:color w:val="auto"/>
        </w:rPr>
        <w:t>Controls and Procedures</w:t>
      </w:r>
    </w:p>
    <w:p>
      <w:pPr>
        <w:spacing w:after="0" w:line="94" w:lineRule="exact"/>
        <w:rPr>
          <w:sz w:val="20"/>
          <w:szCs w:val="20"/>
          <w:color w:val="auto"/>
        </w:rPr>
      </w:pPr>
    </w:p>
    <w:p>
      <w:pPr>
        <w:jc w:val="both"/>
        <w:ind w:firstLine="432"/>
        <w:spacing w:after="0" w:line="291" w:lineRule="auto"/>
        <w:rPr>
          <w:sz w:val="20"/>
          <w:szCs w:val="20"/>
          <w:color w:val="auto"/>
        </w:rPr>
      </w:pPr>
      <w:r>
        <w:rPr>
          <w:rFonts w:ascii="Arial" w:cs="Arial" w:eastAsia="Arial" w:hAnsi="Arial"/>
          <w:sz w:val="16"/>
          <w:szCs w:val="16"/>
          <w:color w:val="auto"/>
        </w:rPr>
        <w:t>We maintain disclosure controls and procedures that are designed to ensure that information required to be disclosed in our Securities Exchange Act of 1934, as amended (the "Exchange Act") reports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 based on the definition of "disclosure controls and procedures" as promulgated under the Exchange Act and the rules and regulations thereunder. In designing and evaluating the disclosure controls and procedures, management recognized that any controls and procedures, no matter how well designed and operated, can provide only reasonable assurance of achieving the desired control objectives, and management necessarily was required to apply its judgment in evaluating the cost-benefit relationship of possible controls and procedures.</w:t>
      </w:r>
    </w:p>
    <w:p>
      <w:pPr>
        <w:spacing w:after="0" w:line="32"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We, including our Chief Executive Officer and Chief Financial Officer, evaluated the effectiveness of the design and operation of our disclosure controls and procedures as of December 31, 2015. Based on the foregoing, our Chief Executive Officer and Chief Financial Officer concluded that our disclosure controls and procedures were effective.</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Management's Report on Internal Control over Financial Reporting</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Management Report on Internal Control over Financial Reporting is included in "Item 8. Financial Statements and Supplementary Data."</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Attestation Report of Registered Public Accounting Firm</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attestation report of our registered public accounting firm is included in "Item 8. Financial Statements and Supplementary Data."</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Internal Controls over Financial Reporting</w:t>
      </w:r>
    </w:p>
    <w:p>
      <w:pPr>
        <w:spacing w:after="0" w:line="90" w:lineRule="exact"/>
        <w:rPr>
          <w:sz w:val="20"/>
          <w:szCs w:val="20"/>
          <w:color w:val="auto"/>
        </w:rPr>
      </w:pPr>
    </w:p>
    <w:p>
      <w:pPr>
        <w:jc w:val="both"/>
        <w:ind w:firstLine="432"/>
        <w:spacing w:after="0" w:line="308" w:lineRule="auto"/>
        <w:rPr>
          <w:sz w:val="20"/>
          <w:szCs w:val="20"/>
          <w:color w:val="auto"/>
        </w:rPr>
      </w:pPr>
      <w:r>
        <w:rPr>
          <w:rFonts w:ascii="Arial" w:cs="Arial" w:eastAsia="Arial" w:hAnsi="Arial"/>
          <w:sz w:val="17"/>
          <w:szCs w:val="17"/>
          <w:color w:val="auto"/>
        </w:rPr>
        <w:t>There have been no changes in our "internal control over financial reporting" (as defined in Rule 13a-15(f) of the Exchange Act) that occurred during the last fiscal quarter that have materially affected, or are reasonably likely to materially affect, our internal control over financial reporting.</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9B. </w:t>
      </w:r>
      <w:r>
        <w:rPr>
          <w:rFonts w:ascii="Arial" w:cs="Arial" w:eastAsia="Arial" w:hAnsi="Arial"/>
          <w:sz w:val="18"/>
          <w:szCs w:val="18"/>
          <w:b w:val="1"/>
          <w:bCs w:val="1"/>
          <w:i w:val="1"/>
          <w:iCs w:val="1"/>
          <w:color w:val="auto"/>
        </w:rPr>
        <w:t>Other Information</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107</w:t>
      </w:r>
    </w:p>
    <w:p>
      <w:pPr>
        <w:sectPr>
          <w:pgSz w:w="11900" w:h="16838" w:orient="portrait"/>
          <w:cols w:equalWidth="0" w:num="1">
            <w:col w:w="11420"/>
          </w:cols>
          <w:pgMar w:left="240" w:top="580" w:right="239" w:bottom="1440" w:gutter="0" w:footer="0" w:header="0"/>
        </w:sectPr>
      </w:pPr>
    </w:p>
    <w:bookmarkStart w:id="108" w:name="page109"/>
    <w:bookmarkEnd w:id="108"/>
    <w:p>
      <w:pPr>
        <w:jc w:val="center"/>
        <w:spacing w:after="0"/>
        <w:rPr>
          <w:sz w:val="20"/>
          <w:szCs w:val="20"/>
          <w:color w:val="auto"/>
        </w:rPr>
      </w:pPr>
      <w:r>
        <w:rPr>
          <w:rFonts w:ascii="Arial" w:cs="Arial" w:eastAsia="Arial" w:hAnsi="Arial"/>
          <w:sz w:val="18"/>
          <w:szCs w:val="18"/>
          <w:b w:val="1"/>
          <w:bCs w:val="1"/>
          <w:color w:val="auto"/>
        </w:rPr>
        <w:t>PART III.</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10. </w:t>
      </w:r>
      <w:r>
        <w:rPr>
          <w:rFonts w:ascii="Arial" w:cs="Arial" w:eastAsia="Arial" w:hAnsi="Arial"/>
          <w:sz w:val="18"/>
          <w:szCs w:val="18"/>
          <w:b w:val="1"/>
          <w:bCs w:val="1"/>
          <w:i w:val="1"/>
          <w:iCs w:val="1"/>
          <w:color w:val="auto"/>
        </w:rPr>
        <w:t>Directors, Executive Officers and Corporate Governance</w:t>
      </w:r>
    </w:p>
    <w:p>
      <w:pPr>
        <w:spacing w:after="0" w:line="162"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Information in response to this Item is incorporated herein by reference to the information provided in our Proxy Statement for our 2016 Annual Meeting of Stockholders (the "2016 Proxy Statement") under the headings "PROPOSAL 1: ELECTION OF DIRECTORS", "EXECUTIVE OFFICERS", "BOARD AND GOVERNANCE MATTERS", and "SECTION 16(a) BENEFICIAL OWNERSHIP REPORTING COMPLIANCE."</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11. </w:t>
      </w:r>
      <w:r>
        <w:rPr>
          <w:rFonts w:ascii="Arial" w:cs="Arial" w:eastAsia="Arial" w:hAnsi="Arial"/>
          <w:sz w:val="18"/>
          <w:szCs w:val="18"/>
          <w:b w:val="1"/>
          <w:bCs w:val="1"/>
          <w:i w:val="1"/>
          <w:iCs w:val="1"/>
          <w:color w:val="auto"/>
        </w:rPr>
        <w:t>Executive Compensation</w:t>
      </w:r>
    </w:p>
    <w:p>
      <w:pPr>
        <w:spacing w:after="0" w:line="162"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Information in response to this Item is incorporated herein by reference to the information provided in the 2016 Proxy Statement under the headings "PROPOSAL 1: ELECTION OF DIRECTORS", "EXECUTIVE COMPENSATION", "COMPENSATION DISCUSSION AND ANALYSIS", "REPORT OF THE COMPENSATION AND GOVERNANCE COMMITTEE", and "COMPENSATION AND CORPORATE GOVERNANCE COMMITTEE INTERLOCKS AND INSIDER PARTICIPATION."</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12. </w:t>
      </w:r>
      <w:r>
        <w:rPr>
          <w:rFonts w:ascii="Arial" w:cs="Arial" w:eastAsia="Arial" w:hAnsi="Arial"/>
          <w:sz w:val="18"/>
          <w:szCs w:val="18"/>
          <w:b w:val="1"/>
          <w:bCs w:val="1"/>
          <w:i w:val="1"/>
          <w:iCs w:val="1"/>
          <w:color w:val="auto"/>
        </w:rPr>
        <w:t>Security Ownership of Certain Beneficial Owners and Management and Related Stockholder Matters</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6"/>
          <w:szCs w:val="16"/>
          <w:color w:val="auto"/>
        </w:rPr>
        <w:t>Information in response to this Item is incorporated herein by reference to the information provided in the 2016 Proxy Statement under the heading</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"SECURITY OWNERSHIP OF MANAGEMENT AND CERTAIN BENEFICIAL OWNERS."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13. </w:t>
      </w:r>
      <w:r>
        <w:rPr>
          <w:rFonts w:ascii="Arial" w:cs="Arial" w:eastAsia="Arial" w:hAnsi="Arial"/>
          <w:sz w:val="18"/>
          <w:szCs w:val="18"/>
          <w:b w:val="1"/>
          <w:bCs w:val="1"/>
          <w:i w:val="1"/>
          <w:iCs w:val="1"/>
          <w:color w:val="auto"/>
        </w:rPr>
        <w:t>Certain Relationships and Related Transactions, and Director Independence</w:t>
      </w:r>
    </w:p>
    <w:p>
      <w:pPr>
        <w:spacing w:after="0" w:line="162"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Information in response to this Item is incorporated herein by reference to the information provided in the 2016 Proxy Statement under the headings "CERTAIN TRANSACTIONS WITH RELATED PERSONS" and "PROPOSAL 1: ELECTION OF DIRECTORS."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14. </w:t>
      </w:r>
      <w:r>
        <w:rPr>
          <w:rFonts w:ascii="Arial" w:cs="Arial" w:eastAsia="Arial" w:hAnsi="Arial"/>
          <w:sz w:val="18"/>
          <w:szCs w:val="18"/>
          <w:b w:val="1"/>
          <w:bCs w:val="1"/>
          <w:i w:val="1"/>
          <w:iCs w:val="1"/>
          <w:color w:val="auto"/>
        </w:rPr>
        <w:t>Principal Accounting Fees and Services</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6"/>
          <w:szCs w:val="16"/>
          <w:color w:val="auto"/>
        </w:rPr>
        <w:t>Information in response to this Item is incorporated herein by reference to the information provided in the 2016 Proxy Statement under the heading</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"PROPOSAL 4: RATIFICATION OF APPOINTMENT OF INDEPENDENT PUBLIC ACCOUNTANT."</w:t>
      </w: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108</w:t>
      </w:r>
    </w:p>
    <w:p>
      <w:pPr>
        <w:sectPr>
          <w:pgSz w:w="11900" w:h="16838" w:orient="portrait"/>
          <w:cols w:equalWidth="0" w:num="1">
            <w:col w:w="11420"/>
          </w:cols>
          <w:pgMar w:left="240" w:top="580" w:right="239" w:bottom="1440" w:gutter="0" w:footer="0" w:header="0"/>
        </w:sectPr>
      </w:pPr>
    </w:p>
    <w:bookmarkStart w:id="109" w:name="page110"/>
    <w:bookmarkEnd w:id="109"/>
    <w:p>
      <w:pPr>
        <w:jc w:val="center"/>
        <w:ind w:right="-79"/>
        <w:spacing w:after="0"/>
        <w:rPr>
          <w:sz w:val="20"/>
          <w:szCs w:val="20"/>
          <w:color w:val="auto"/>
        </w:rPr>
      </w:pPr>
      <w:r>
        <w:rPr>
          <w:rFonts w:ascii="Arial" w:cs="Arial" w:eastAsia="Arial" w:hAnsi="Arial"/>
          <w:sz w:val="18"/>
          <w:szCs w:val="18"/>
          <w:b w:val="1"/>
          <w:bCs w:val="1"/>
          <w:color w:val="auto"/>
        </w:rPr>
        <w:t>PART IV.</w:t>
      </w:r>
    </w:p>
    <w:p>
      <w:pPr>
        <w:spacing w:after="0" w:line="225" w:lineRule="exact"/>
        <w:rPr>
          <w:sz w:val="20"/>
          <w:szCs w:val="20"/>
          <w:color w:val="auto"/>
        </w:rPr>
      </w:pPr>
    </w:p>
    <w:p>
      <w:pPr>
        <w:spacing w:after="0"/>
        <w:tabs>
          <w:tab w:leader="none" w:pos="840" w:val="left"/>
        </w:tabs>
        <w:rPr>
          <w:sz w:val="20"/>
          <w:szCs w:val="20"/>
          <w:color w:val="auto"/>
        </w:rPr>
      </w:pPr>
      <w:r>
        <w:rPr>
          <w:rFonts w:ascii="Arial" w:cs="Arial" w:eastAsia="Arial" w:hAnsi="Arial"/>
          <w:sz w:val="18"/>
          <w:szCs w:val="18"/>
          <w:b w:val="1"/>
          <w:bCs w:val="1"/>
          <w:color w:val="auto"/>
        </w:rPr>
        <w:t>Item 15.</w:t>
      </w:r>
      <w:r>
        <w:rPr>
          <w:sz w:val="20"/>
          <w:szCs w:val="20"/>
          <w:color w:val="auto"/>
        </w:rPr>
        <w:tab/>
      </w:r>
      <w:r>
        <w:rPr>
          <w:rFonts w:ascii="Arial" w:cs="Arial" w:eastAsia="Arial" w:hAnsi="Arial"/>
          <w:sz w:val="15"/>
          <w:szCs w:val="15"/>
          <w:b w:val="1"/>
          <w:bCs w:val="1"/>
          <w:i w:val="1"/>
          <w:iCs w:val="1"/>
          <w:color w:val="auto"/>
        </w:rPr>
        <w:t>Exhibits and Financial Statement Schedules</w:t>
      </w:r>
    </w:p>
    <w:p>
      <w:pPr>
        <w:spacing w:after="0" w:line="175" w:lineRule="exact"/>
        <w:rPr>
          <w:sz w:val="20"/>
          <w:szCs w:val="20"/>
          <w:color w:val="auto"/>
        </w:rPr>
      </w:pPr>
    </w:p>
    <w:p>
      <w:pPr>
        <w:ind w:left="380" w:hanging="372"/>
        <w:spacing w:after="0"/>
        <w:tabs>
          <w:tab w:leader="none" w:pos="380" w:val="left"/>
        </w:tabs>
        <w:numPr>
          <w:ilvl w:val="0"/>
          <w:numId w:val="64"/>
        </w:numPr>
        <w:rPr>
          <w:rFonts w:ascii="Arial" w:cs="Arial" w:eastAsia="Arial" w:hAnsi="Arial"/>
          <w:sz w:val="18"/>
          <w:szCs w:val="18"/>
          <w:color w:val="auto"/>
        </w:rPr>
      </w:pPr>
      <w:r>
        <w:rPr>
          <w:rFonts w:ascii="Arial" w:cs="Arial" w:eastAsia="Arial" w:hAnsi="Arial"/>
          <w:sz w:val="18"/>
          <w:szCs w:val="18"/>
          <w:color w:val="auto"/>
        </w:rPr>
        <w:t>List of documents filed as part of this report:</w:t>
      </w:r>
    </w:p>
    <w:p>
      <w:pPr>
        <w:spacing w:after="0" w:line="157" w:lineRule="exact"/>
        <w:rPr>
          <w:rFonts w:ascii="Arial" w:cs="Arial" w:eastAsia="Arial" w:hAnsi="Arial"/>
          <w:sz w:val="18"/>
          <w:szCs w:val="18"/>
          <w:color w:val="auto"/>
        </w:rPr>
      </w:pPr>
    </w:p>
    <w:p>
      <w:pPr>
        <w:ind w:left="1420" w:hanging="440"/>
        <w:spacing w:after="0"/>
        <w:tabs>
          <w:tab w:leader="none" w:pos="1420" w:val="left"/>
        </w:tabs>
        <w:numPr>
          <w:ilvl w:val="1"/>
          <w:numId w:val="64"/>
        </w:numPr>
        <w:rPr>
          <w:rFonts w:ascii="Arial" w:cs="Arial" w:eastAsia="Arial" w:hAnsi="Arial"/>
          <w:sz w:val="18"/>
          <w:szCs w:val="18"/>
          <w:color w:val="auto"/>
        </w:rPr>
      </w:pPr>
      <w:r>
        <w:rPr>
          <w:rFonts w:ascii="Arial" w:cs="Arial" w:eastAsia="Arial" w:hAnsi="Arial"/>
          <w:sz w:val="18"/>
          <w:szCs w:val="18"/>
          <w:color w:val="auto"/>
        </w:rPr>
        <w:t>The following financial statements are filed herewith:</w:t>
      </w:r>
    </w:p>
    <w:p>
      <w:pPr>
        <w:spacing w:after="0" w:line="158" w:lineRule="exact"/>
        <w:rPr>
          <w:sz w:val="20"/>
          <w:szCs w:val="20"/>
          <w:color w:val="auto"/>
        </w:rPr>
      </w:pPr>
    </w:p>
    <w:p>
      <w:pPr>
        <w:ind w:left="1760"/>
        <w:spacing w:after="0"/>
        <w:rPr>
          <w:sz w:val="20"/>
          <w:szCs w:val="20"/>
          <w:color w:val="auto"/>
        </w:rPr>
      </w:pPr>
      <w:r>
        <w:rPr>
          <w:rFonts w:ascii="Arial" w:cs="Arial" w:eastAsia="Arial" w:hAnsi="Arial"/>
          <w:sz w:val="18"/>
          <w:szCs w:val="18"/>
          <w:color w:val="auto"/>
        </w:rPr>
        <w:t>Consolidated Balance Sheets as of December 31, 2015 and 2014</w:t>
      </w:r>
    </w:p>
    <w:p>
      <w:pPr>
        <w:spacing w:after="0" w:line="23" w:lineRule="exact"/>
        <w:rPr>
          <w:sz w:val="20"/>
          <w:szCs w:val="20"/>
          <w:color w:val="auto"/>
        </w:rPr>
      </w:pPr>
    </w:p>
    <w:p>
      <w:pPr>
        <w:ind w:left="1760"/>
        <w:spacing w:after="0"/>
        <w:rPr>
          <w:sz w:val="20"/>
          <w:szCs w:val="20"/>
          <w:color w:val="auto"/>
        </w:rPr>
      </w:pPr>
      <w:r>
        <w:rPr>
          <w:rFonts w:ascii="Arial" w:cs="Arial" w:eastAsia="Arial" w:hAnsi="Arial"/>
          <w:sz w:val="18"/>
          <w:szCs w:val="18"/>
          <w:color w:val="auto"/>
        </w:rPr>
        <w:t>Consolidated Statements of Comprehensive Income for fiscal years 2015, 2014 and 2013</w:t>
      </w:r>
    </w:p>
    <w:p>
      <w:pPr>
        <w:spacing w:after="0" w:line="23" w:lineRule="exact"/>
        <w:rPr>
          <w:sz w:val="20"/>
          <w:szCs w:val="20"/>
          <w:color w:val="auto"/>
        </w:rPr>
      </w:pPr>
    </w:p>
    <w:p>
      <w:pPr>
        <w:ind w:left="1760" w:right="2740" w:firstLine="648"/>
        <w:spacing w:after="0" w:line="290" w:lineRule="auto"/>
        <w:rPr>
          <w:sz w:val="20"/>
          <w:szCs w:val="20"/>
          <w:color w:val="auto"/>
        </w:rPr>
      </w:pPr>
      <w:r>
        <w:rPr>
          <w:rFonts w:ascii="Arial" w:cs="Arial" w:eastAsia="Arial" w:hAnsi="Arial"/>
          <w:sz w:val="17"/>
          <w:szCs w:val="17"/>
          <w:color w:val="auto"/>
        </w:rPr>
        <w:t>Consolidated Statements of Stockholders' Equity for fiscal years 2015, 2014 and 2013 Consolidated Statements of Cash Flows for fiscal years 2015, 2014 and 2013</w:t>
      </w:r>
    </w:p>
    <w:p>
      <w:pPr>
        <w:spacing w:after="0" w:line="175" w:lineRule="exact"/>
        <w:rPr>
          <w:sz w:val="20"/>
          <w:szCs w:val="20"/>
          <w:color w:val="auto"/>
        </w:rPr>
      </w:pPr>
    </w:p>
    <w:p>
      <w:pPr>
        <w:ind w:left="1420" w:hanging="440"/>
        <w:spacing w:after="0"/>
        <w:tabs>
          <w:tab w:leader="none" w:pos="142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following exhibits are filed herewith or incorporated herein by reference</w:t>
      </w:r>
    </w:p>
    <w:p>
      <w:pPr>
        <w:spacing w:after="0" w:line="200" w:lineRule="exact"/>
        <w:rPr>
          <w:sz w:val="20"/>
          <w:szCs w:val="20"/>
          <w:color w:val="auto"/>
        </w:rPr>
      </w:pPr>
    </w:p>
    <w:p>
      <w:pPr>
        <w:spacing w:after="0" w:line="260"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4"/>
          <w:szCs w:val="14"/>
          <w:b w:val="1"/>
          <w:bCs w:val="1"/>
          <w:u w:val="single" w:color="auto"/>
          <w:color w:val="auto"/>
        </w:rPr>
        <w:t>Exhibit No.</w:t>
      </w:r>
      <w:r>
        <w:rPr>
          <w:sz w:val="20"/>
          <w:szCs w:val="20"/>
          <w:color w:val="auto"/>
        </w:rPr>
        <w:tab/>
      </w:r>
      <w:r>
        <w:rPr>
          <w:rFonts w:ascii="Arial" w:cs="Arial" w:eastAsia="Arial" w:hAnsi="Arial"/>
          <w:sz w:val="12"/>
          <w:szCs w:val="12"/>
          <w:b w:val="1"/>
          <w:bCs w:val="1"/>
          <w:u w:val="single" w:color="auto"/>
          <w:color w:val="auto"/>
        </w:rPr>
        <w:t>Description</w:t>
      </w:r>
    </w:p>
    <w:p>
      <w:pPr>
        <w:spacing w:after="0" w:line="172" w:lineRule="exact"/>
        <w:rPr>
          <w:sz w:val="20"/>
          <w:szCs w:val="20"/>
          <w:color w:val="auto"/>
        </w:rPr>
      </w:pPr>
    </w:p>
    <w:p>
      <w:pPr>
        <w:ind w:left="1300" w:right="420" w:hanging="449"/>
        <w:spacing w:after="0" w:line="277" w:lineRule="auto"/>
        <w:rPr>
          <w:sz w:val="20"/>
          <w:szCs w:val="20"/>
          <w:color w:val="auto"/>
        </w:rPr>
      </w:pPr>
      <w:r>
        <w:rPr>
          <w:rFonts w:ascii="Arial" w:cs="Arial" w:eastAsia="Arial" w:hAnsi="Arial"/>
          <w:sz w:val="18"/>
          <w:szCs w:val="18"/>
          <w:color w:val="auto"/>
        </w:rPr>
        <w:t>*3.1 American Capital Agency Corp. Amended and Restated Certificate of Incorporation, as amended, incorporated herein by reference to Exhibit 3.1 of Form 10-Q for the quarter ended March 31, 2012 (File No. 001-34057), filed May 9, 2012.</w:t>
      </w:r>
    </w:p>
    <w:p>
      <w:pPr>
        <w:spacing w:after="0" w:line="130" w:lineRule="exact"/>
        <w:rPr>
          <w:sz w:val="20"/>
          <w:szCs w:val="20"/>
          <w:color w:val="auto"/>
        </w:rPr>
      </w:pPr>
    </w:p>
    <w:p>
      <w:pPr>
        <w:ind w:left="1300" w:right="260" w:hanging="449"/>
        <w:spacing w:after="0" w:line="277" w:lineRule="auto"/>
        <w:rPr>
          <w:sz w:val="20"/>
          <w:szCs w:val="20"/>
          <w:color w:val="auto"/>
        </w:rPr>
      </w:pPr>
      <w:r>
        <w:rPr>
          <w:rFonts w:ascii="Arial" w:cs="Arial" w:eastAsia="Arial" w:hAnsi="Arial"/>
          <w:sz w:val="18"/>
          <w:szCs w:val="18"/>
          <w:color w:val="auto"/>
        </w:rPr>
        <w:t>*3.2 American Capital Agency Corp. Second Amended and Restated Bylaws, as amended, incorporated herein by reference to Exhibit 3.2 of Form 10-K for the year ended December 31, 2011 (File No. 001-34057), filed February 23, 2012.</w:t>
      </w:r>
    </w:p>
    <w:p>
      <w:pPr>
        <w:spacing w:after="0" w:line="130" w:lineRule="exact"/>
        <w:rPr>
          <w:sz w:val="20"/>
          <w:szCs w:val="20"/>
          <w:color w:val="auto"/>
        </w:rPr>
      </w:pPr>
    </w:p>
    <w:p>
      <w:pPr>
        <w:ind w:left="1300" w:hanging="449"/>
        <w:spacing w:after="0" w:line="277" w:lineRule="auto"/>
        <w:rPr>
          <w:sz w:val="20"/>
          <w:szCs w:val="20"/>
          <w:color w:val="auto"/>
        </w:rPr>
      </w:pPr>
      <w:r>
        <w:rPr>
          <w:rFonts w:ascii="Arial" w:cs="Arial" w:eastAsia="Arial" w:hAnsi="Arial"/>
          <w:sz w:val="18"/>
          <w:szCs w:val="18"/>
          <w:color w:val="auto"/>
        </w:rPr>
        <w:t>*3.3 Certificate of Designations of 8.000% Series A Cumulative Redeemable Preferred Stock, incorporated herein by reference to Exhibit 3.1 of Form 8-K (File No 001-34057), filed April 3, 2012.</w:t>
      </w:r>
    </w:p>
    <w:p>
      <w:pPr>
        <w:spacing w:after="0" w:line="130" w:lineRule="exact"/>
        <w:rPr>
          <w:sz w:val="20"/>
          <w:szCs w:val="20"/>
          <w:color w:val="auto"/>
        </w:rPr>
      </w:pPr>
    </w:p>
    <w:p>
      <w:pPr>
        <w:ind w:left="1300" w:right="20" w:hanging="449"/>
        <w:spacing w:after="0" w:line="277" w:lineRule="auto"/>
        <w:rPr>
          <w:sz w:val="20"/>
          <w:szCs w:val="20"/>
          <w:color w:val="auto"/>
        </w:rPr>
      </w:pPr>
      <w:r>
        <w:rPr>
          <w:rFonts w:ascii="Arial" w:cs="Arial" w:eastAsia="Arial" w:hAnsi="Arial"/>
          <w:sz w:val="18"/>
          <w:szCs w:val="18"/>
          <w:color w:val="auto"/>
        </w:rPr>
        <w:t>*3.4 Certificate of Designations of 7.750% Series B Cumulative Redeemable Preferred Stock, incorporated herein by reference to Exhibit 3.3 of Form 8-A (File No. 001-34057), filed May 7, 2014.</w:t>
      </w:r>
    </w:p>
    <w:p>
      <w:pPr>
        <w:spacing w:after="0" w:line="130" w:lineRule="exact"/>
        <w:rPr>
          <w:sz w:val="20"/>
          <w:szCs w:val="20"/>
          <w:color w:val="auto"/>
        </w:rPr>
      </w:pPr>
    </w:p>
    <w:p>
      <w:pPr>
        <w:ind w:left="1300" w:right="160" w:hanging="449"/>
        <w:spacing w:after="0" w:line="264" w:lineRule="auto"/>
        <w:rPr>
          <w:sz w:val="20"/>
          <w:szCs w:val="20"/>
          <w:color w:val="auto"/>
        </w:rPr>
      </w:pPr>
      <w:r>
        <w:rPr>
          <w:rFonts w:ascii="Arial" w:cs="Arial" w:eastAsia="Arial" w:hAnsi="Arial"/>
          <w:sz w:val="18"/>
          <w:szCs w:val="18"/>
          <w:color w:val="auto"/>
        </w:rPr>
        <w:t>*4.1 Instruments defining the rights of holders of securities: See Article IV of our Amended and Restated Certificate of Incorporation, as amended, incorporated herein by reference to Exhibit 3.1 of Form 10-Q for the quarter ended March 31, 2012 (File No. 001-34057), filed May 9, 2012.</w:t>
      </w:r>
    </w:p>
    <w:p>
      <w:pPr>
        <w:spacing w:after="0" w:line="141" w:lineRule="exact"/>
        <w:rPr>
          <w:sz w:val="20"/>
          <w:szCs w:val="20"/>
          <w:color w:val="auto"/>
        </w:rPr>
      </w:pPr>
    </w:p>
    <w:p>
      <w:pPr>
        <w:ind w:left="1300" w:right="140" w:hanging="449"/>
        <w:spacing w:after="0" w:line="264" w:lineRule="auto"/>
        <w:rPr>
          <w:sz w:val="20"/>
          <w:szCs w:val="20"/>
          <w:color w:val="auto"/>
        </w:rPr>
      </w:pPr>
      <w:r>
        <w:rPr>
          <w:rFonts w:ascii="Arial" w:cs="Arial" w:eastAsia="Arial" w:hAnsi="Arial"/>
          <w:sz w:val="18"/>
          <w:szCs w:val="18"/>
          <w:color w:val="auto"/>
        </w:rPr>
        <w:t>*4.2 Instruments defining the rights of holders of securities: See Article VI of our Second Amended and Restated Bylaws, as amended, incorporated herein by reference to Exhibit 3.2 of Form 10-K for the year ended December 31, 2011 (File No. 001-34057), filed February 23, 2012.</w:t>
      </w:r>
    </w:p>
    <w:p>
      <w:pPr>
        <w:spacing w:after="0" w:line="141" w:lineRule="exact"/>
        <w:rPr>
          <w:sz w:val="20"/>
          <w:szCs w:val="20"/>
          <w:color w:val="auto"/>
        </w:rPr>
      </w:pPr>
    </w:p>
    <w:p>
      <w:pPr>
        <w:ind w:left="1300" w:right="60" w:hanging="449"/>
        <w:spacing w:after="0" w:line="277" w:lineRule="auto"/>
        <w:rPr>
          <w:sz w:val="20"/>
          <w:szCs w:val="20"/>
          <w:color w:val="auto"/>
        </w:rPr>
      </w:pPr>
      <w:r>
        <w:rPr>
          <w:rFonts w:ascii="Arial" w:cs="Arial" w:eastAsia="Arial" w:hAnsi="Arial"/>
          <w:sz w:val="18"/>
          <w:szCs w:val="18"/>
          <w:color w:val="auto"/>
        </w:rPr>
        <w:t>*4.3 Form of Certificate for Common Stock, incorporated herein by reference to Exhibit 4.1 to Amendment No. 4 to the Registration Statement on Form S-11 (Registration No. 333-149167), filed May 9, 2008.</w:t>
      </w:r>
    </w:p>
    <w:p>
      <w:pPr>
        <w:spacing w:after="0" w:line="130" w:lineRule="exact"/>
        <w:rPr>
          <w:sz w:val="20"/>
          <w:szCs w:val="20"/>
          <w:color w:val="auto"/>
        </w:rPr>
      </w:pPr>
    </w:p>
    <w:p>
      <w:pPr>
        <w:ind w:left="1300" w:hanging="449"/>
        <w:spacing w:after="0" w:line="277" w:lineRule="auto"/>
        <w:rPr>
          <w:sz w:val="20"/>
          <w:szCs w:val="20"/>
          <w:color w:val="auto"/>
        </w:rPr>
      </w:pPr>
      <w:r>
        <w:rPr>
          <w:rFonts w:ascii="Arial" w:cs="Arial" w:eastAsia="Arial" w:hAnsi="Arial"/>
          <w:sz w:val="18"/>
          <w:szCs w:val="18"/>
          <w:color w:val="auto"/>
        </w:rPr>
        <w:t>*4.4 Specimen 8.000% Series A Cumulative Redeemable Preferred Stock Certificate, incorporated herein by reference to Exhibit 4.1 of Form 8-K (File No. 001-34057), filed April 3, 2012.</w:t>
      </w:r>
    </w:p>
    <w:p>
      <w:pPr>
        <w:spacing w:after="0" w:line="130" w:lineRule="exact"/>
        <w:rPr>
          <w:sz w:val="20"/>
          <w:szCs w:val="20"/>
          <w:color w:val="auto"/>
        </w:rPr>
      </w:pPr>
    </w:p>
    <w:p>
      <w:pPr>
        <w:ind w:left="1300" w:hanging="449"/>
        <w:spacing w:after="0" w:line="277" w:lineRule="auto"/>
        <w:rPr>
          <w:sz w:val="20"/>
          <w:szCs w:val="20"/>
          <w:color w:val="auto"/>
        </w:rPr>
      </w:pPr>
      <w:r>
        <w:rPr>
          <w:rFonts w:ascii="Arial" w:cs="Arial" w:eastAsia="Arial" w:hAnsi="Arial"/>
          <w:sz w:val="18"/>
          <w:szCs w:val="18"/>
          <w:color w:val="auto"/>
        </w:rPr>
        <w:t>*4.5 Specimen 7.750% Series B Cumulative Redeemable Preferred Stock Certificate, incorporated herein by reference to Exhibit 4.1 of Form 8-A (File No. 001-34057), filed May 7, 2014.</w:t>
      </w:r>
    </w:p>
    <w:p>
      <w:pPr>
        <w:spacing w:after="0" w:line="130" w:lineRule="exact"/>
        <w:rPr>
          <w:sz w:val="20"/>
          <w:szCs w:val="20"/>
          <w:color w:val="auto"/>
        </w:rPr>
      </w:pPr>
    </w:p>
    <w:p>
      <w:pPr>
        <w:ind w:left="1300" w:right="100" w:hanging="449"/>
        <w:spacing w:after="0" w:line="342" w:lineRule="auto"/>
        <w:rPr>
          <w:sz w:val="20"/>
          <w:szCs w:val="20"/>
          <w:color w:val="auto"/>
        </w:rPr>
      </w:pPr>
      <w:r>
        <w:rPr>
          <w:rFonts w:ascii="Arial" w:cs="Arial" w:eastAsia="Arial" w:hAnsi="Arial"/>
          <w:sz w:val="16"/>
          <w:szCs w:val="16"/>
          <w:color w:val="auto"/>
        </w:rPr>
        <w:t>*4.6 Deposit Agreement, dated May 8, 2014, among American Capital Agency Corp., Computershare Inc. and Computershare Trust Company, N.A., jointly as depositary, incorporated herein by reference to Exhibit 4.2 of Form 8-K (File No. 001-34067), filed May 8, 2014.</w:t>
      </w:r>
    </w:p>
    <w:p>
      <w:pPr>
        <w:spacing w:after="0" w:line="83" w:lineRule="exact"/>
        <w:rPr>
          <w:sz w:val="20"/>
          <w:szCs w:val="20"/>
          <w:color w:val="auto"/>
        </w:rPr>
      </w:pPr>
    </w:p>
    <w:p>
      <w:pPr>
        <w:ind w:left="840"/>
        <w:spacing w:after="0"/>
        <w:rPr>
          <w:sz w:val="20"/>
          <w:szCs w:val="20"/>
          <w:color w:val="auto"/>
        </w:rPr>
      </w:pPr>
      <w:r>
        <w:rPr>
          <w:rFonts w:ascii="Arial" w:cs="Arial" w:eastAsia="Arial" w:hAnsi="Arial"/>
          <w:sz w:val="17"/>
          <w:szCs w:val="17"/>
          <w:color w:val="auto"/>
        </w:rPr>
        <w:t>*4.7  Form of Depositary Receipt, incorporated herein by reference to Exhibit 4.3 of Form 8-K (File No. 001-34067), filed May 8, 2014.</w:t>
      </w:r>
    </w:p>
    <w:p>
      <w:pPr>
        <w:spacing w:after="0" w:line="196" w:lineRule="exact"/>
        <w:rPr>
          <w:sz w:val="20"/>
          <w:szCs w:val="20"/>
          <w:color w:val="auto"/>
        </w:rPr>
      </w:pPr>
    </w:p>
    <w:p>
      <w:pPr>
        <w:jc w:val="both"/>
        <w:ind w:left="1300" w:right="20" w:hanging="539"/>
        <w:spacing w:after="0" w:line="264" w:lineRule="auto"/>
        <w:rPr>
          <w:sz w:val="20"/>
          <w:szCs w:val="20"/>
          <w:color w:val="auto"/>
        </w:rPr>
      </w:pPr>
      <w:r>
        <w:rPr>
          <w:rFonts w:ascii="Arial" w:cs="Arial" w:eastAsia="Arial" w:hAnsi="Arial"/>
          <w:sz w:val="18"/>
          <w:szCs w:val="18"/>
          <w:color w:val="auto"/>
        </w:rPr>
        <w:t>*10.1 Management Agreement between American Capital Agency Corp. and American Capital Agency Management, LLC, dated May 20, 2008, incorporated herein by reference to Exhibit 10.2 of Form 10-Q for the quarter ended June 30, 2008 (File No. 001-34057), filed August 14, 2008.</w:t>
      </w:r>
    </w:p>
    <w:p>
      <w:pPr>
        <w:spacing w:after="0" w:line="141" w:lineRule="exact"/>
        <w:rPr>
          <w:sz w:val="20"/>
          <w:szCs w:val="20"/>
          <w:color w:val="auto"/>
        </w:rPr>
      </w:pPr>
    </w:p>
    <w:p>
      <w:pPr>
        <w:jc w:val="both"/>
        <w:ind w:left="1300" w:right="320" w:hanging="539"/>
        <w:spacing w:after="0" w:line="264" w:lineRule="auto"/>
        <w:rPr>
          <w:sz w:val="20"/>
          <w:szCs w:val="20"/>
          <w:color w:val="auto"/>
        </w:rPr>
      </w:pPr>
      <w:r>
        <w:rPr>
          <w:rFonts w:ascii="Arial" w:cs="Arial" w:eastAsia="Arial" w:hAnsi="Arial"/>
          <w:sz w:val="18"/>
          <w:szCs w:val="18"/>
          <w:color w:val="auto"/>
        </w:rPr>
        <w:t>*10.2 Assignment and Amendment Agreement, dated July 29, 2011, among American Capital Agency Management, LLC, American Capital AGNC Management, LLC and American Capital Agency Corp., incorporated herein by reference to Exhibit 10.1 of Form 10-Q for the quarter ended September 30, 2011 (File No. 001-34057), filed November 7, 2011.</w:t>
      </w:r>
    </w:p>
    <w:p>
      <w:pPr>
        <w:spacing w:after="0" w:line="141" w:lineRule="exact"/>
        <w:rPr>
          <w:sz w:val="20"/>
          <w:szCs w:val="20"/>
          <w:color w:val="auto"/>
        </w:rPr>
      </w:pPr>
    </w:p>
    <w:p>
      <w:pPr>
        <w:jc w:val="both"/>
        <w:ind w:left="1300" w:right="580" w:hanging="539"/>
        <w:spacing w:after="0" w:line="264" w:lineRule="auto"/>
        <w:rPr>
          <w:sz w:val="20"/>
          <w:szCs w:val="20"/>
          <w:color w:val="auto"/>
        </w:rPr>
      </w:pPr>
      <w:r>
        <w:rPr>
          <w:rFonts w:ascii="Arial" w:cs="Arial" w:eastAsia="Arial" w:hAnsi="Arial"/>
          <w:sz w:val="18"/>
          <w:szCs w:val="18"/>
          <w:color w:val="auto"/>
        </w:rPr>
        <w:t>*10.3 Amendment and Joinder to Management Agreement, dated September 30, 2011, between American Capital Agency TRS, LLC and American Capital AGNC Management, LLC, incorporated herein by reference to Exhibit 10.2 of Form 10-Q for the quarter ended September 30, 2011 (File No. 001-34057), filed November 7, 2011.</w:t>
      </w:r>
    </w:p>
    <w:p>
      <w:pPr>
        <w:sectPr>
          <w:pgSz w:w="11900" w:h="16838" w:orient="portrait"/>
          <w:cols w:equalWidth="0" w:num="1">
            <w:col w:w="11340"/>
          </w:cols>
          <w:pgMar w:left="240" w:top="580" w:right="319" w:bottom="1440" w:gutter="0" w:footer="0" w:header="0"/>
        </w:sectPr>
      </w:pPr>
    </w:p>
    <w:p>
      <w:pPr>
        <w:spacing w:after="0" w:line="357" w:lineRule="exact"/>
        <w:rPr>
          <w:sz w:val="20"/>
          <w:szCs w:val="20"/>
          <w:color w:val="auto"/>
        </w:rPr>
      </w:pPr>
    </w:p>
    <w:p>
      <w:pPr>
        <w:jc w:val="center"/>
        <w:ind w:right="-79"/>
        <w:spacing w:after="0"/>
        <w:rPr>
          <w:sz w:val="20"/>
          <w:szCs w:val="20"/>
          <w:color w:val="auto"/>
        </w:rPr>
      </w:pPr>
      <w:r>
        <w:rPr>
          <w:rFonts w:ascii="Arial" w:cs="Arial" w:eastAsia="Arial" w:hAnsi="Arial"/>
          <w:sz w:val="15"/>
          <w:szCs w:val="15"/>
          <w:color w:val="auto"/>
        </w:rPr>
        <w:t>109</w:t>
      </w:r>
    </w:p>
    <w:p>
      <w:pPr>
        <w:sectPr>
          <w:pgSz w:w="11900" w:h="16838" w:orient="portrait"/>
          <w:cols w:equalWidth="0" w:num="1">
            <w:col w:w="11340"/>
          </w:cols>
          <w:pgMar w:left="240" w:top="580" w:right="319" w:bottom="1440" w:gutter="0" w:footer="0" w:header="0"/>
          <w:type w:val="continuous"/>
        </w:sectPr>
      </w:pPr>
    </w:p>
    <w:bookmarkStart w:id="110" w:name="page111"/>
    <w:bookmarkEnd w:id="110"/>
    <w:p>
      <w:pPr>
        <w:ind w:left="1300" w:right="500" w:hanging="639"/>
        <w:spacing w:after="0" w:line="277" w:lineRule="auto"/>
        <w:tabs>
          <w:tab w:leader="none" w:pos="1280" w:val="left"/>
        </w:tabs>
        <w:rPr>
          <w:sz w:val="20"/>
          <w:szCs w:val="20"/>
          <w:color w:val="auto"/>
        </w:rPr>
      </w:pPr>
      <w:r>
        <w:rPr>
          <w:rFonts w:ascii="Arial" w:cs="Arial" w:eastAsia="Arial" w:hAnsi="Arial"/>
          <w:sz w:val="18"/>
          <w:szCs w:val="18"/>
          <w:color w:val="auto"/>
        </w:rPr>
        <w:t>†*10.4</w:t>
        <w:tab/>
        <w:t>American Capital Agency Corp. Equity Incentive Plan for Independent Directors, incorporated herein by reference to Exhibit 10.1 of Registration Statement on Form S-8 (File No. 333-151027), filed May 20, 2008.</w:t>
      </w:r>
    </w:p>
    <w:p>
      <w:pPr>
        <w:spacing w:after="0" w:line="130" w:lineRule="exact"/>
        <w:rPr>
          <w:sz w:val="20"/>
          <w:szCs w:val="20"/>
          <w:color w:val="auto"/>
        </w:rPr>
      </w:pPr>
    </w:p>
    <w:p>
      <w:pPr>
        <w:ind w:left="1300" w:hanging="639"/>
        <w:spacing w:after="0" w:line="277" w:lineRule="auto"/>
        <w:tabs>
          <w:tab w:leader="none" w:pos="1280" w:val="left"/>
        </w:tabs>
        <w:rPr>
          <w:sz w:val="20"/>
          <w:szCs w:val="20"/>
          <w:color w:val="auto"/>
        </w:rPr>
      </w:pPr>
      <w:r>
        <w:rPr>
          <w:rFonts w:ascii="Arial" w:cs="Arial" w:eastAsia="Arial" w:hAnsi="Arial"/>
          <w:sz w:val="18"/>
          <w:szCs w:val="18"/>
          <w:color w:val="auto"/>
        </w:rPr>
        <w:t>†*10.5</w:t>
        <w:tab/>
        <w:t>Form of Restricted Stock Agreement for independent directors, incorporated herein by reference to Exhibit 10.1 of Form 8-K (File No. 001-34057), filed December 12, 2011.</w:t>
      </w:r>
    </w:p>
    <w:p>
      <w:pPr>
        <w:spacing w:after="0" w:line="130" w:lineRule="exact"/>
        <w:rPr>
          <w:sz w:val="20"/>
          <w:szCs w:val="20"/>
          <w:color w:val="auto"/>
        </w:rPr>
      </w:pPr>
    </w:p>
    <w:p>
      <w:pPr>
        <w:ind w:left="1300" w:right="100" w:hanging="639"/>
        <w:spacing w:after="0" w:line="277" w:lineRule="auto"/>
        <w:tabs>
          <w:tab w:leader="none" w:pos="1280" w:val="left"/>
        </w:tabs>
        <w:rPr>
          <w:sz w:val="20"/>
          <w:szCs w:val="20"/>
          <w:color w:val="auto"/>
        </w:rPr>
      </w:pPr>
      <w:r>
        <w:rPr>
          <w:rFonts w:ascii="Arial" w:cs="Arial" w:eastAsia="Arial" w:hAnsi="Arial"/>
          <w:sz w:val="18"/>
          <w:szCs w:val="18"/>
          <w:color w:val="auto"/>
        </w:rPr>
        <w:t>†*10.6</w:t>
        <w:tab/>
        <w:t>Form of Restricted Stock Unit Agreement for independent directors, incorporated herein by reference to Exhibit 10.1 of Form 10-Q for the quarter ended June 30, 2014 (File No. 001-34057), filed August 7, 2014.</w:t>
      </w:r>
    </w:p>
    <w:p>
      <w:pPr>
        <w:spacing w:after="0" w:line="130" w:lineRule="exact"/>
        <w:rPr>
          <w:sz w:val="20"/>
          <w:szCs w:val="20"/>
          <w:color w:val="auto"/>
        </w:rPr>
      </w:pPr>
    </w:p>
    <w:p>
      <w:pPr>
        <w:ind w:left="1300" w:right="460" w:hanging="449"/>
        <w:spacing w:after="0" w:line="277" w:lineRule="auto"/>
        <w:rPr>
          <w:sz w:val="20"/>
          <w:szCs w:val="20"/>
          <w:color w:val="auto"/>
        </w:rPr>
      </w:pPr>
      <w:r>
        <w:rPr>
          <w:rFonts w:ascii="Arial" w:cs="Arial" w:eastAsia="Arial" w:hAnsi="Arial"/>
          <w:sz w:val="18"/>
          <w:szCs w:val="18"/>
          <w:color w:val="auto"/>
        </w:rPr>
        <w:t>12.1 Computation of ratio of earnings to fixed charges and ratio of earnings to combined fixed charges and preferred stock dividends, filed herewith.</w:t>
      </w:r>
    </w:p>
    <w:p>
      <w:pPr>
        <w:spacing w:after="0" w:line="130" w:lineRule="exact"/>
        <w:rPr>
          <w:sz w:val="20"/>
          <w:szCs w:val="20"/>
          <w:color w:val="auto"/>
        </w:rPr>
      </w:pPr>
    </w:p>
    <w:p>
      <w:pPr>
        <w:ind w:left="1300" w:right="220" w:hanging="419"/>
        <w:spacing w:after="0" w:line="277" w:lineRule="auto"/>
        <w:tabs>
          <w:tab w:leader="none" w:pos="1280" w:val="left"/>
        </w:tabs>
        <w:rPr>
          <w:sz w:val="20"/>
          <w:szCs w:val="20"/>
          <w:color w:val="auto"/>
        </w:rPr>
      </w:pPr>
      <w:r>
        <w:rPr>
          <w:rFonts w:ascii="Arial" w:cs="Arial" w:eastAsia="Arial" w:hAnsi="Arial"/>
          <w:sz w:val="18"/>
          <w:szCs w:val="18"/>
          <w:color w:val="auto"/>
        </w:rPr>
        <w:t>*14</w:t>
        <w:tab/>
        <w:t>American Capital Agency Corp. Code of Ethics and Conduct, adopted May 12, 2008, incorporated herein by reference to Exhibit 14.1 of Form 10-K for the year ended December 31, 2010 (File No. 001-34057), filed February 25, 2011.</w:t>
      </w:r>
    </w:p>
    <w:p>
      <w:pPr>
        <w:spacing w:after="0" w:line="130" w:lineRule="exact"/>
        <w:rPr>
          <w:sz w:val="20"/>
          <w:szCs w:val="20"/>
          <w:color w:val="auto"/>
        </w:rPr>
      </w:pPr>
    </w:p>
    <w:p>
      <w:pPr>
        <w:ind w:left="1300" w:hanging="324"/>
        <w:spacing w:after="0"/>
        <w:tabs>
          <w:tab w:leader="none" w:pos="1300" w:val="left"/>
        </w:tabs>
        <w:numPr>
          <w:ilvl w:val="0"/>
          <w:numId w:val="66"/>
        </w:numPr>
        <w:rPr>
          <w:rFonts w:ascii="Arial" w:cs="Arial" w:eastAsia="Arial" w:hAnsi="Arial"/>
          <w:sz w:val="18"/>
          <w:szCs w:val="18"/>
          <w:color w:val="auto"/>
        </w:rPr>
      </w:pPr>
      <w:r>
        <w:rPr>
          <w:rFonts w:ascii="Arial" w:cs="Arial" w:eastAsia="Arial" w:hAnsi="Arial"/>
          <w:sz w:val="18"/>
          <w:szCs w:val="18"/>
          <w:color w:val="auto"/>
        </w:rPr>
        <w:t>Subsidiaries of the Company and jurisdiction of incorporation:</w:t>
      </w:r>
    </w:p>
    <w:p>
      <w:pPr>
        <w:spacing w:after="0" w:line="63" w:lineRule="exact"/>
        <w:rPr>
          <w:rFonts w:ascii="Arial" w:cs="Arial" w:eastAsia="Arial" w:hAnsi="Arial"/>
          <w:sz w:val="18"/>
          <w:szCs w:val="18"/>
          <w:color w:val="auto"/>
        </w:rPr>
      </w:pPr>
    </w:p>
    <w:p>
      <w:pPr>
        <w:ind w:left="1840" w:hanging="198"/>
        <w:spacing w:after="0"/>
        <w:tabs>
          <w:tab w:leader="none" w:pos="1840" w:val="left"/>
        </w:tabs>
        <w:numPr>
          <w:ilvl w:val="1"/>
          <w:numId w:val="66"/>
        </w:numPr>
        <w:rPr>
          <w:rFonts w:ascii="Arial" w:cs="Arial" w:eastAsia="Arial" w:hAnsi="Arial"/>
          <w:sz w:val="18"/>
          <w:szCs w:val="18"/>
          <w:color w:val="auto"/>
        </w:rPr>
      </w:pPr>
      <w:r>
        <w:rPr>
          <w:rFonts w:ascii="Arial" w:cs="Arial" w:eastAsia="Arial" w:hAnsi="Arial"/>
          <w:sz w:val="18"/>
          <w:szCs w:val="18"/>
          <w:color w:val="auto"/>
        </w:rPr>
        <w:t>American Capital Agency TRS, LLC, a Delaware limited liability company</w:t>
      </w:r>
    </w:p>
    <w:p>
      <w:pPr>
        <w:spacing w:after="0" w:line="63" w:lineRule="exact"/>
        <w:rPr>
          <w:rFonts w:ascii="Arial" w:cs="Arial" w:eastAsia="Arial" w:hAnsi="Arial"/>
          <w:sz w:val="18"/>
          <w:szCs w:val="18"/>
          <w:color w:val="auto"/>
        </w:rPr>
      </w:pPr>
    </w:p>
    <w:p>
      <w:pPr>
        <w:ind w:left="1840" w:hanging="198"/>
        <w:spacing w:after="0"/>
        <w:tabs>
          <w:tab w:leader="none" w:pos="1840" w:val="left"/>
        </w:tabs>
        <w:numPr>
          <w:ilvl w:val="1"/>
          <w:numId w:val="66"/>
        </w:numPr>
        <w:rPr>
          <w:rFonts w:ascii="Arial" w:cs="Arial" w:eastAsia="Arial" w:hAnsi="Arial"/>
          <w:sz w:val="18"/>
          <w:szCs w:val="18"/>
          <w:color w:val="auto"/>
        </w:rPr>
      </w:pPr>
      <w:r>
        <w:rPr>
          <w:rFonts w:ascii="Arial" w:cs="Arial" w:eastAsia="Arial" w:hAnsi="Arial"/>
          <w:sz w:val="18"/>
          <w:szCs w:val="18"/>
          <w:color w:val="auto"/>
        </w:rPr>
        <w:t>Old Georgetown Insurance Co. LLC, a Missouri limited liability company</w:t>
      </w:r>
    </w:p>
    <w:p>
      <w:pPr>
        <w:spacing w:after="0" w:line="63" w:lineRule="exact"/>
        <w:rPr>
          <w:rFonts w:ascii="Arial" w:cs="Arial" w:eastAsia="Arial" w:hAnsi="Arial"/>
          <w:sz w:val="18"/>
          <w:szCs w:val="18"/>
          <w:color w:val="auto"/>
        </w:rPr>
      </w:pPr>
    </w:p>
    <w:p>
      <w:pPr>
        <w:ind w:left="1840" w:hanging="198"/>
        <w:spacing w:after="0"/>
        <w:tabs>
          <w:tab w:leader="none" w:pos="1840" w:val="left"/>
        </w:tabs>
        <w:numPr>
          <w:ilvl w:val="1"/>
          <w:numId w:val="66"/>
        </w:numPr>
        <w:rPr>
          <w:rFonts w:ascii="Arial" w:cs="Arial" w:eastAsia="Arial" w:hAnsi="Arial"/>
          <w:sz w:val="18"/>
          <w:szCs w:val="18"/>
          <w:color w:val="auto"/>
        </w:rPr>
      </w:pPr>
      <w:r>
        <w:rPr>
          <w:rFonts w:ascii="Arial" w:cs="Arial" w:eastAsia="Arial" w:hAnsi="Arial"/>
          <w:sz w:val="18"/>
          <w:szCs w:val="18"/>
          <w:color w:val="auto"/>
        </w:rPr>
        <w:t>Bethesda Securities, LLC, a Delaware limited liability company</w:t>
      </w:r>
    </w:p>
    <w:p>
      <w:pPr>
        <w:spacing w:after="0" w:line="185" w:lineRule="exact"/>
        <w:rPr>
          <w:sz w:val="20"/>
          <w:szCs w:val="20"/>
          <w:color w:val="auto"/>
        </w:rPr>
      </w:pPr>
    </w:p>
    <w:p>
      <w:pPr>
        <w:ind w:left="1300" w:hanging="324"/>
        <w:spacing w:after="0"/>
        <w:tabs>
          <w:tab w:leader="none" w:pos="1300" w:val="left"/>
        </w:tabs>
        <w:numPr>
          <w:ilvl w:val="0"/>
          <w:numId w:val="67"/>
        </w:numPr>
        <w:rPr>
          <w:rFonts w:ascii="Arial" w:cs="Arial" w:eastAsia="Arial" w:hAnsi="Arial"/>
          <w:sz w:val="18"/>
          <w:szCs w:val="18"/>
          <w:color w:val="auto"/>
        </w:rPr>
      </w:pPr>
      <w:r>
        <w:rPr>
          <w:rFonts w:ascii="Arial" w:cs="Arial" w:eastAsia="Arial" w:hAnsi="Arial"/>
          <w:sz w:val="18"/>
          <w:szCs w:val="18"/>
          <w:color w:val="auto"/>
        </w:rPr>
        <w:t>Consent of Ernst &amp; Young LLP, filed herewith.</w:t>
      </w:r>
    </w:p>
    <w:p>
      <w:pPr>
        <w:spacing w:after="0" w:line="184" w:lineRule="exact"/>
        <w:rPr>
          <w:rFonts w:ascii="Arial" w:cs="Arial" w:eastAsia="Arial" w:hAnsi="Arial"/>
          <w:sz w:val="18"/>
          <w:szCs w:val="18"/>
          <w:color w:val="auto"/>
        </w:rPr>
      </w:pPr>
    </w:p>
    <w:p>
      <w:pPr>
        <w:ind w:left="1300" w:hanging="324"/>
        <w:spacing w:after="0"/>
        <w:tabs>
          <w:tab w:leader="none" w:pos="1300" w:val="left"/>
        </w:tabs>
        <w:numPr>
          <w:ilvl w:val="0"/>
          <w:numId w:val="67"/>
        </w:numPr>
        <w:rPr>
          <w:rFonts w:ascii="Arial" w:cs="Arial" w:eastAsia="Arial" w:hAnsi="Arial"/>
          <w:sz w:val="18"/>
          <w:szCs w:val="18"/>
          <w:color w:val="auto"/>
        </w:rPr>
      </w:pPr>
      <w:r>
        <w:rPr>
          <w:rFonts w:ascii="Arial" w:cs="Arial" w:eastAsia="Arial" w:hAnsi="Arial"/>
          <w:sz w:val="18"/>
          <w:szCs w:val="18"/>
          <w:color w:val="auto"/>
        </w:rPr>
        <w:t>Powers of Attorneys of directors and officers, filed herewith.</w:t>
      </w:r>
    </w:p>
    <w:p>
      <w:pPr>
        <w:spacing w:after="0" w:line="185" w:lineRule="exact"/>
        <w:rPr>
          <w:sz w:val="20"/>
          <w:szCs w:val="20"/>
          <w:color w:val="auto"/>
        </w:rPr>
      </w:pPr>
    </w:p>
    <w:p>
      <w:pPr>
        <w:ind w:left="840"/>
        <w:spacing w:after="0"/>
        <w:rPr>
          <w:sz w:val="20"/>
          <w:szCs w:val="20"/>
          <w:color w:val="auto"/>
        </w:rPr>
      </w:pPr>
      <w:r>
        <w:rPr>
          <w:rFonts w:ascii="Arial" w:cs="Arial" w:eastAsia="Arial" w:hAnsi="Arial"/>
          <w:sz w:val="18"/>
          <w:szCs w:val="18"/>
          <w:color w:val="auto"/>
        </w:rPr>
        <w:t>31.1  Certification of CEO Pursuant to Section 302(a) of the Sarbanes-Oxley Act of 2002.</w:t>
      </w:r>
    </w:p>
    <w:p>
      <w:pPr>
        <w:spacing w:after="0" w:line="185" w:lineRule="exact"/>
        <w:rPr>
          <w:sz w:val="20"/>
          <w:szCs w:val="20"/>
          <w:color w:val="auto"/>
        </w:rPr>
      </w:pPr>
    </w:p>
    <w:p>
      <w:pPr>
        <w:ind w:left="840"/>
        <w:spacing w:after="0"/>
        <w:rPr>
          <w:sz w:val="20"/>
          <w:szCs w:val="20"/>
          <w:color w:val="auto"/>
        </w:rPr>
      </w:pPr>
      <w:r>
        <w:rPr>
          <w:rFonts w:ascii="Arial" w:cs="Arial" w:eastAsia="Arial" w:hAnsi="Arial"/>
          <w:sz w:val="18"/>
          <w:szCs w:val="18"/>
          <w:color w:val="auto"/>
        </w:rPr>
        <w:t>31.2  Certification of CFO Pursuant to Section 302(a) of the Sarbanes-Oxley Act of 2002.</w:t>
      </w:r>
    </w:p>
    <w:p>
      <w:pPr>
        <w:spacing w:after="0" w:line="185" w:lineRule="exact"/>
        <w:rPr>
          <w:sz w:val="20"/>
          <w:szCs w:val="20"/>
          <w:color w:val="auto"/>
        </w:rPr>
      </w:pPr>
    </w:p>
    <w:p>
      <w:pPr>
        <w:ind w:left="380" w:right="3520" w:firstLine="596"/>
        <w:spacing w:after="0" w:line="454" w:lineRule="auto"/>
        <w:tabs>
          <w:tab w:leader="none" w:pos="1300" w:val="left"/>
        </w:tabs>
        <w:numPr>
          <w:ilvl w:val="0"/>
          <w:numId w:val="68"/>
        </w:numPr>
        <w:rPr>
          <w:rFonts w:ascii="Arial" w:cs="Arial" w:eastAsia="Arial" w:hAnsi="Arial"/>
          <w:sz w:val="18"/>
          <w:szCs w:val="18"/>
          <w:color w:val="auto"/>
        </w:rPr>
      </w:pPr>
      <w:r>
        <w:rPr>
          <w:rFonts w:ascii="Arial" w:cs="Arial" w:eastAsia="Arial" w:hAnsi="Arial"/>
          <w:sz w:val="18"/>
          <w:szCs w:val="18"/>
          <w:color w:val="auto"/>
        </w:rPr>
        <w:t>Certification of CEO and CFO Pursuant to Section 906 of the Sarbanes-Oxley Act of 2002. 101.INS** XBRL Instance Document</w:t>
      </w:r>
    </w:p>
    <w:p>
      <w:pPr>
        <w:ind w:left="320"/>
        <w:spacing w:after="0"/>
        <w:rPr>
          <w:sz w:val="20"/>
          <w:szCs w:val="20"/>
          <w:color w:val="auto"/>
        </w:rPr>
      </w:pPr>
      <w:r>
        <w:rPr>
          <w:rFonts w:ascii="Arial" w:cs="Arial" w:eastAsia="Arial" w:hAnsi="Arial"/>
          <w:sz w:val="18"/>
          <w:szCs w:val="18"/>
          <w:color w:val="auto"/>
        </w:rPr>
        <w:t>101.SCH**  XBRL Taxonomy Extension Schema Document</w:t>
      </w:r>
    </w:p>
    <w:p>
      <w:pPr>
        <w:spacing w:after="0" w:line="185" w:lineRule="exact"/>
        <w:rPr>
          <w:sz w:val="20"/>
          <w:szCs w:val="20"/>
          <w:color w:val="auto"/>
        </w:rPr>
      </w:pPr>
    </w:p>
    <w:p>
      <w:pPr>
        <w:ind w:left="300"/>
        <w:spacing w:after="0"/>
        <w:rPr>
          <w:sz w:val="20"/>
          <w:szCs w:val="20"/>
          <w:color w:val="auto"/>
        </w:rPr>
      </w:pPr>
      <w:r>
        <w:rPr>
          <w:rFonts w:ascii="Arial" w:cs="Arial" w:eastAsia="Arial" w:hAnsi="Arial"/>
          <w:sz w:val="18"/>
          <w:szCs w:val="18"/>
          <w:color w:val="auto"/>
        </w:rPr>
        <w:t>101.CAL**  XBRL Taxonomy Extension Calculation Linkbase Document</w:t>
      </w:r>
    </w:p>
    <w:p>
      <w:pPr>
        <w:spacing w:after="0" w:line="185" w:lineRule="exact"/>
        <w:rPr>
          <w:sz w:val="20"/>
          <w:szCs w:val="20"/>
          <w:color w:val="auto"/>
        </w:rPr>
      </w:pPr>
    </w:p>
    <w:p>
      <w:pPr>
        <w:ind w:left="300"/>
        <w:spacing w:after="0"/>
        <w:rPr>
          <w:sz w:val="20"/>
          <w:szCs w:val="20"/>
          <w:color w:val="auto"/>
        </w:rPr>
      </w:pPr>
      <w:r>
        <w:rPr>
          <w:rFonts w:ascii="Arial" w:cs="Arial" w:eastAsia="Arial" w:hAnsi="Arial"/>
          <w:sz w:val="18"/>
          <w:szCs w:val="18"/>
          <w:color w:val="auto"/>
        </w:rPr>
        <w:t>101.LAB**  XBRL Taxonomy Extension Labels Linkbase Document</w:t>
      </w:r>
    </w:p>
    <w:p>
      <w:pPr>
        <w:spacing w:after="0" w:line="18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101.PRE**  XBRL Taxonomy Extension Presentation Linkbase Document</w:t>
      </w:r>
    </w:p>
    <w:p>
      <w:pPr>
        <w:spacing w:after="0" w:line="185" w:lineRule="exact"/>
        <w:rPr>
          <w:sz w:val="20"/>
          <w:szCs w:val="20"/>
          <w:color w:val="auto"/>
        </w:rPr>
      </w:pPr>
    </w:p>
    <w:p>
      <w:pPr>
        <w:ind w:left="320"/>
        <w:spacing w:after="0"/>
        <w:rPr>
          <w:sz w:val="20"/>
          <w:szCs w:val="20"/>
          <w:color w:val="auto"/>
        </w:rPr>
      </w:pPr>
      <w:r>
        <w:rPr>
          <w:rFonts w:ascii="Arial" w:cs="Arial" w:eastAsia="Arial" w:hAnsi="Arial"/>
          <w:sz w:val="18"/>
          <w:szCs w:val="18"/>
          <w:color w:val="auto"/>
        </w:rPr>
        <w:t>101.DEF**  XBRL Taxonomy Extension Definition Linkbase Document</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______________________</w:t>
      </w:r>
    </w:p>
    <w:p>
      <w:pPr>
        <w:spacing w:after="0" w:line="23" w:lineRule="exact"/>
        <w:rPr>
          <w:sz w:val="20"/>
          <w:szCs w:val="20"/>
          <w:color w:val="auto"/>
        </w:rPr>
      </w:pPr>
    </w:p>
    <w:p>
      <w:pPr>
        <w:spacing w:after="0"/>
        <w:tabs>
          <w:tab w:leader="none" w:pos="26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Previously filed</w:t>
      </w:r>
    </w:p>
    <w:p>
      <w:pPr>
        <w:spacing w:after="0" w:line="9" w:lineRule="exact"/>
        <w:rPr>
          <w:sz w:val="20"/>
          <w:szCs w:val="20"/>
          <w:color w:val="auto"/>
        </w:rPr>
      </w:pPr>
    </w:p>
    <w:p>
      <w:pPr>
        <w:ind w:left="660" w:hanging="652"/>
        <w:spacing w:after="0"/>
        <w:tabs>
          <w:tab w:leader="none" w:pos="660" w:val="left"/>
        </w:tabs>
        <w:numPr>
          <w:ilvl w:val="0"/>
          <w:numId w:val="69"/>
        </w:numPr>
        <w:rPr>
          <w:rFonts w:ascii="Arial" w:cs="Arial" w:eastAsia="Arial" w:hAnsi="Arial"/>
          <w:sz w:val="16"/>
          <w:szCs w:val="16"/>
          <w:color w:val="auto"/>
        </w:rPr>
      </w:pPr>
      <w:r>
        <w:rPr>
          <w:rFonts w:ascii="Arial" w:cs="Arial" w:eastAsia="Arial" w:hAnsi="Arial"/>
          <w:sz w:val="16"/>
          <w:szCs w:val="16"/>
          <w:color w:val="auto"/>
        </w:rPr>
        <w:t>This exhibit is being furnished rather than filed, and shall not be deemed incorporated by reference into any filing, in accordance with Item 601 of</w:t>
      </w:r>
    </w:p>
    <w:p>
      <w:pPr>
        <w:spacing w:after="0" w:line="234" w:lineRule="exact"/>
        <w:rPr>
          <w:sz w:val="20"/>
          <w:szCs w:val="20"/>
          <w:color w:val="auto"/>
        </w:rPr>
      </w:pPr>
    </w:p>
    <w:p>
      <w:pPr>
        <w:ind w:left="660" w:hanging="652"/>
        <w:spacing w:after="0"/>
        <w:tabs>
          <w:tab w:leader="none" w:pos="660" w:val="left"/>
        </w:tabs>
        <w:numPr>
          <w:ilvl w:val="0"/>
          <w:numId w:val="70"/>
        </w:numPr>
        <w:rPr>
          <w:rFonts w:ascii="Arial" w:cs="Arial" w:eastAsia="Arial" w:hAnsi="Arial"/>
          <w:sz w:val="18"/>
          <w:szCs w:val="18"/>
          <w:color w:val="auto"/>
        </w:rPr>
      </w:pPr>
      <w:r>
        <w:rPr>
          <w:rFonts w:ascii="Arial" w:cs="Arial" w:eastAsia="Arial" w:hAnsi="Arial"/>
          <w:sz w:val="18"/>
          <w:szCs w:val="18"/>
          <w:color w:val="auto"/>
        </w:rPr>
        <w:t>Management contract or compensatory plan or arrangement</w:t>
      </w:r>
    </w:p>
    <w:p>
      <w:pPr>
        <w:spacing w:after="0" w:line="200" w:lineRule="exact"/>
        <w:rPr>
          <w:rFonts w:ascii="Arial" w:cs="Arial" w:eastAsia="Arial" w:hAnsi="Arial"/>
          <w:sz w:val="18"/>
          <w:szCs w:val="18"/>
          <w:color w:val="auto"/>
        </w:rPr>
      </w:pPr>
    </w:p>
    <w:p>
      <w:pPr>
        <w:spacing w:after="0" w:line="241" w:lineRule="exact"/>
        <w:rPr>
          <w:rFonts w:ascii="Arial" w:cs="Arial" w:eastAsia="Arial" w:hAnsi="Arial"/>
          <w:sz w:val="18"/>
          <w:szCs w:val="18"/>
          <w:color w:val="auto"/>
        </w:rPr>
      </w:pPr>
    </w:p>
    <w:p>
      <w:pPr>
        <w:ind w:left="880" w:hanging="467"/>
        <w:spacing w:after="0"/>
        <w:tabs>
          <w:tab w:leader="none" w:pos="880" w:val="left"/>
        </w:tabs>
        <w:numPr>
          <w:ilvl w:val="1"/>
          <w:numId w:val="70"/>
        </w:numPr>
        <w:rPr>
          <w:rFonts w:ascii="Arial" w:cs="Arial" w:eastAsia="Arial" w:hAnsi="Arial"/>
          <w:sz w:val="18"/>
          <w:szCs w:val="18"/>
          <w:color w:val="auto"/>
        </w:rPr>
      </w:pPr>
      <w:r>
        <w:rPr>
          <w:rFonts w:ascii="Arial" w:cs="Arial" w:eastAsia="Arial" w:hAnsi="Arial"/>
          <w:sz w:val="18"/>
          <w:szCs w:val="18"/>
          <w:color w:val="auto"/>
        </w:rPr>
        <w:t>Exhibits</w:t>
      </w:r>
    </w:p>
    <w:p>
      <w:pPr>
        <w:spacing w:after="0" w:line="23" w:lineRule="exact"/>
        <w:rPr>
          <w:rFonts w:ascii="Arial" w:cs="Arial" w:eastAsia="Arial" w:hAnsi="Arial"/>
          <w:sz w:val="18"/>
          <w:szCs w:val="18"/>
          <w:color w:val="auto"/>
        </w:rPr>
      </w:pPr>
    </w:p>
    <w:p>
      <w:pPr>
        <w:ind w:left="880"/>
        <w:spacing w:after="0"/>
        <w:rPr>
          <w:rFonts w:ascii="Arial" w:cs="Arial" w:eastAsia="Arial" w:hAnsi="Arial"/>
          <w:sz w:val="18"/>
          <w:szCs w:val="18"/>
          <w:color w:val="auto"/>
        </w:rPr>
      </w:pPr>
      <w:r>
        <w:rPr>
          <w:rFonts w:ascii="Arial" w:cs="Arial" w:eastAsia="Arial" w:hAnsi="Arial"/>
          <w:sz w:val="18"/>
          <w:szCs w:val="18"/>
          <w:color w:val="auto"/>
        </w:rPr>
        <w:t>See the exhibits filed herewith.</w:t>
      </w:r>
    </w:p>
    <w:p>
      <w:pPr>
        <w:spacing w:after="0" w:line="210" w:lineRule="exact"/>
        <w:rPr>
          <w:rFonts w:ascii="Arial" w:cs="Arial" w:eastAsia="Arial" w:hAnsi="Arial"/>
          <w:sz w:val="18"/>
          <w:szCs w:val="18"/>
          <w:color w:val="auto"/>
        </w:rPr>
      </w:pPr>
    </w:p>
    <w:p>
      <w:pPr>
        <w:ind w:left="880" w:right="7580" w:hanging="467"/>
        <w:spacing w:after="0" w:line="277" w:lineRule="auto"/>
        <w:tabs>
          <w:tab w:leader="none" w:pos="880" w:val="left"/>
        </w:tabs>
        <w:numPr>
          <w:ilvl w:val="1"/>
          <w:numId w:val="70"/>
        </w:numPr>
        <w:rPr>
          <w:rFonts w:ascii="Arial" w:cs="Arial" w:eastAsia="Arial" w:hAnsi="Arial"/>
          <w:sz w:val="18"/>
          <w:szCs w:val="18"/>
          <w:color w:val="auto"/>
        </w:rPr>
      </w:pPr>
      <w:r>
        <w:rPr>
          <w:rFonts w:ascii="Arial" w:cs="Arial" w:eastAsia="Arial" w:hAnsi="Arial"/>
          <w:sz w:val="18"/>
          <w:szCs w:val="18"/>
          <w:color w:val="auto"/>
        </w:rPr>
        <w:t>Additional financial statement schedules None.</w:t>
      </w:r>
    </w:p>
    <w:p>
      <w:pPr>
        <w:spacing w:after="0" w:line="200" w:lineRule="exact"/>
        <w:rPr>
          <w:sz w:val="20"/>
          <w:szCs w:val="20"/>
          <w:color w:val="auto"/>
        </w:rPr>
      </w:pPr>
    </w:p>
    <w:p>
      <w:pPr>
        <w:spacing w:after="0" w:line="2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110</w:t>
      </w:r>
    </w:p>
    <w:p>
      <w:pPr>
        <w:sectPr>
          <w:pgSz w:w="11900" w:h="16838" w:orient="portrait"/>
          <w:cols w:equalWidth="0" w:num="1">
            <w:col w:w="11380"/>
          </w:cols>
          <w:pgMar w:left="240" w:top="746" w:right="279" w:bottom="1440" w:gutter="0" w:footer="0" w:header="0"/>
        </w:sectPr>
      </w:pPr>
    </w:p>
    <w:bookmarkStart w:id="111" w:name="page112"/>
    <w:bookmarkEnd w:id="111"/>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175" w:lineRule="exact"/>
        <w:rPr>
          <w:sz w:val="20"/>
          <w:szCs w:val="20"/>
          <w:color w:val="auto"/>
        </w:rPr>
      </w:pPr>
    </w:p>
    <w:p>
      <w:pPr>
        <w:ind w:right="40" w:firstLine="432"/>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the Company has duly caused this report to be signed on its behalf by the undersigned, thereunto duly authorized.</w:t>
      </w:r>
    </w:p>
    <w:p>
      <w:pPr>
        <w:spacing w:after="0" w:line="306"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A</w:t>
      </w:r>
      <w:r>
        <w:rPr>
          <w:rFonts w:ascii="Arial" w:cs="Arial" w:eastAsia="Arial" w:hAnsi="Arial"/>
          <w:sz w:val="14"/>
          <w:szCs w:val="14"/>
          <w:color w:val="auto"/>
        </w:rPr>
        <w:t>MERICAN</w:t>
      </w:r>
      <w:r>
        <w:rPr>
          <w:rFonts w:ascii="Arial" w:cs="Arial" w:eastAsia="Arial" w:hAnsi="Arial"/>
          <w:sz w:val="18"/>
          <w:szCs w:val="18"/>
          <w:color w:val="auto"/>
        </w:rPr>
        <w:t xml:space="preserve"> C</w:t>
      </w:r>
      <w:r>
        <w:rPr>
          <w:rFonts w:ascii="Arial" w:cs="Arial" w:eastAsia="Arial" w:hAnsi="Arial"/>
          <w:sz w:val="14"/>
          <w:szCs w:val="14"/>
          <w:color w:val="auto"/>
        </w:rPr>
        <w:t>APITAL</w:t>
      </w:r>
      <w:r>
        <w:rPr>
          <w:rFonts w:ascii="Arial" w:cs="Arial" w:eastAsia="Arial" w:hAnsi="Arial"/>
          <w:sz w:val="18"/>
          <w:szCs w:val="18"/>
          <w:color w:val="auto"/>
        </w:rPr>
        <w:t xml:space="preserve"> A</w:t>
      </w:r>
      <w:r>
        <w:rPr>
          <w:rFonts w:ascii="Arial" w:cs="Arial" w:eastAsia="Arial" w:hAnsi="Arial"/>
          <w:sz w:val="14"/>
          <w:szCs w:val="14"/>
          <w:color w:val="auto"/>
        </w:rPr>
        <w:t>GENCY</w:t>
      </w:r>
      <w:r>
        <w:rPr>
          <w:rFonts w:ascii="Arial" w:cs="Arial" w:eastAsia="Arial" w:hAnsi="Arial"/>
          <w:sz w:val="18"/>
          <w:szCs w:val="18"/>
          <w:color w:val="auto"/>
        </w:rPr>
        <w:t xml:space="preserve"> C</w:t>
      </w:r>
      <w:r>
        <w:rPr>
          <w:rFonts w:ascii="Arial" w:cs="Arial" w:eastAsia="Arial" w:hAnsi="Arial"/>
          <w:sz w:val="14"/>
          <w:szCs w:val="14"/>
          <w:color w:val="auto"/>
        </w:rPr>
        <w:t>ORP</w:t>
      </w:r>
      <w:r>
        <w:rPr>
          <w:rFonts w:ascii="Arial" w:cs="Arial" w:eastAsia="Arial" w:hAnsi="Arial"/>
          <w:sz w:val="18"/>
          <w:szCs w:val="18"/>
          <w:color w:val="auto"/>
        </w:rPr>
        <w:t>.</w:t>
      </w:r>
    </w:p>
    <w:p>
      <w:pPr>
        <w:spacing w:after="0" w:line="185" w:lineRule="exact"/>
        <w:rPr>
          <w:sz w:val="20"/>
          <w:szCs w:val="20"/>
          <w:color w:val="auto"/>
        </w:rPr>
      </w:pPr>
    </w:p>
    <w:p>
      <w:pPr>
        <w:ind w:left="5640"/>
        <w:spacing w:after="0"/>
        <w:tabs>
          <w:tab w:leader="none" w:pos="7860" w:val="left"/>
          <w:tab w:leader="none" w:pos="82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tab/>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31750</wp:posOffset>
            </wp:positionV>
            <wp:extent cx="332740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48" w:lineRule="exact"/>
        <w:rPr>
          <w:sz w:val="20"/>
          <w:szCs w:val="20"/>
          <w:color w:val="auto"/>
        </w:rPr>
      </w:pPr>
    </w:p>
    <w:p>
      <w:pPr>
        <w:jc w:val="center"/>
        <w:ind w:left="6180"/>
        <w:spacing w:after="0"/>
        <w:rPr>
          <w:sz w:val="20"/>
          <w:szCs w:val="20"/>
          <w:color w:val="auto"/>
        </w:rPr>
      </w:pPr>
      <w:r>
        <w:rPr>
          <w:rFonts w:ascii="Arial" w:cs="Arial" w:eastAsia="Arial" w:hAnsi="Arial"/>
          <w:sz w:val="14"/>
          <w:szCs w:val="14"/>
          <w:b w:val="1"/>
          <w:bCs w:val="1"/>
          <w:color w:val="auto"/>
        </w:rPr>
        <w:t>Malon Wilkus</w:t>
      </w:r>
    </w:p>
    <w:p>
      <w:pPr>
        <w:jc w:val="center"/>
        <w:ind w:left="6180"/>
        <w:spacing w:after="0" w:line="226" w:lineRule="auto"/>
        <w:rPr>
          <w:sz w:val="20"/>
          <w:szCs w:val="20"/>
          <w:color w:val="auto"/>
        </w:rPr>
      </w:pPr>
      <w:r>
        <w:rPr>
          <w:rFonts w:ascii="Arial" w:cs="Arial" w:eastAsia="Arial" w:hAnsi="Arial"/>
          <w:sz w:val="14"/>
          <w:szCs w:val="14"/>
          <w:b w:val="1"/>
          <w:bCs w:val="1"/>
          <w:color w:val="auto"/>
        </w:rPr>
        <w:t>Chair of the Board of Directors and</w:t>
      </w:r>
    </w:p>
    <w:p>
      <w:pPr>
        <w:spacing w:after="0" w:line="1" w:lineRule="exact"/>
        <w:rPr>
          <w:sz w:val="20"/>
          <w:szCs w:val="20"/>
          <w:color w:val="auto"/>
        </w:rPr>
      </w:pPr>
    </w:p>
    <w:p>
      <w:pPr>
        <w:jc w:val="center"/>
        <w:ind w:left="6180"/>
        <w:spacing w:after="0"/>
        <w:rPr>
          <w:sz w:val="20"/>
          <w:szCs w:val="20"/>
          <w:color w:val="auto"/>
        </w:rPr>
      </w:pPr>
      <w:r>
        <w:rPr>
          <w:rFonts w:ascii="Arial" w:cs="Arial" w:eastAsia="Arial" w:hAnsi="Arial"/>
          <w:sz w:val="14"/>
          <w:szCs w:val="14"/>
          <w:b w:val="1"/>
          <w:bCs w:val="1"/>
          <w:color w:val="auto"/>
        </w:rPr>
        <w:t>Chief Executive Officer</w:t>
      </w:r>
    </w:p>
    <w:p>
      <w:pPr>
        <w:spacing w:after="0" w:line="47" w:lineRule="exact"/>
        <w:rPr>
          <w:sz w:val="20"/>
          <w:szCs w:val="20"/>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Date:</w:t>
        <w:tab/>
        <w:t>February 23, 2016</w:t>
      </w:r>
    </w:p>
    <w:p>
      <w:pPr>
        <w:spacing w:after="0" w:line="252" w:lineRule="exact"/>
        <w:rPr>
          <w:sz w:val="20"/>
          <w:szCs w:val="20"/>
          <w:color w:val="auto"/>
        </w:rPr>
      </w:pPr>
    </w:p>
    <w:p>
      <w:pPr>
        <w:ind w:firstLine="450"/>
        <w:spacing w:after="0" w:line="293" w:lineRule="auto"/>
        <w:rPr>
          <w:sz w:val="20"/>
          <w:szCs w:val="20"/>
          <w:color w:val="auto"/>
        </w:rPr>
      </w:pPr>
      <w:r>
        <w:rPr>
          <w:rFonts w:ascii="Arial" w:cs="Arial" w:eastAsia="Arial" w:hAnsi="Arial"/>
          <w:sz w:val="18"/>
          <w:szCs w:val="18"/>
          <w:color w:val="auto"/>
        </w:rPr>
        <w:t>Pursuant to the requirements of the Securities Exchange Act of 1934, this report has been signed below by the following persons on behalf of the registrant and in the capacities and on the dates indicated.</w:t>
      </w:r>
    </w:p>
    <w:p>
      <w:pPr>
        <w:spacing w:after="0" w:line="318" w:lineRule="exact"/>
        <w:rPr>
          <w:sz w:val="20"/>
          <w:szCs w:val="20"/>
          <w:color w:val="auto"/>
        </w:rPr>
      </w:pPr>
    </w:p>
    <w:tbl>
      <w:tblPr>
        <w:tblLayout w:type="fixed"/>
        <w:tblInd w:w="1260" w:type="dxa"/>
        <w:tblCellMar>
          <w:top w:w="0" w:type="dxa"/>
          <w:left w:w="0" w:type="dxa"/>
          <w:bottom w:w="0" w:type="dxa"/>
          <w:right w:w="0" w:type="dxa"/>
        </w:tblCellMar>
      </w:tblPr>
      <w:tr>
        <w:trPr>
          <w:trHeight w:val="149"/>
        </w:trPr>
        <w:tc>
          <w:tcPr>
            <w:tcW w:w="5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860" w:type="dxa"/>
            <w:vAlign w:val="bottom"/>
            <w:gridSpan w:val="2"/>
          </w:tcPr>
          <w:p>
            <w:pPr>
              <w:jc w:val="center"/>
              <w:ind w:right="1560"/>
              <w:spacing w:after="0"/>
              <w:rPr>
                <w:sz w:val="20"/>
                <w:szCs w:val="20"/>
                <w:color w:val="auto"/>
              </w:rPr>
            </w:pPr>
            <w:r>
              <w:rPr>
                <w:rFonts w:ascii="Arial" w:cs="Arial" w:eastAsia="Arial" w:hAnsi="Arial"/>
                <w:sz w:val="13"/>
                <w:szCs w:val="13"/>
                <w:b w:val="1"/>
                <w:bCs w:val="1"/>
                <w:color w:val="auto"/>
                <w:w w:val="84"/>
              </w:rPr>
              <w:t>Name</w:t>
            </w:r>
          </w:p>
        </w:tc>
        <w:tc>
          <w:tcPr>
            <w:tcW w:w="1460" w:type="dxa"/>
            <w:vAlign w:val="bottom"/>
          </w:tcPr>
          <w:p>
            <w:pPr>
              <w:spacing w:after="0"/>
              <w:rPr>
                <w:sz w:val="13"/>
                <w:szCs w:val="13"/>
                <w:color w:val="auto"/>
              </w:rPr>
            </w:pPr>
          </w:p>
        </w:tc>
        <w:tc>
          <w:tcPr>
            <w:tcW w:w="1680" w:type="dxa"/>
            <w:vAlign w:val="bottom"/>
            <w:gridSpan w:val="2"/>
          </w:tcPr>
          <w:p>
            <w:pPr>
              <w:spacing w:after="0"/>
              <w:rPr>
                <w:sz w:val="20"/>
                <w:szCs w:val="20"/>
                <w:color w:val="auto"/>
              </w:rPr>
            </w:pPr>
            <w:r>
              <w:rPr>
                <w:rFonts w:ascii="Arial" w:cs="Arial" w:eastAsia="Arial" w:hAnsi="Arial"/>
                <w:sz w:val="13"/>
                <w:szCs w:val="13"/>
                <w:b w:val="1"/>
                <w:bCs w:val="1"/>
                <w:color w:val="auto"/>
              </w:rPr>
              <w:t>Title</w:t>
            </w:r>
          </w:p>
        </w:tc>
        <w:tc>
          <w:tcPr>
            <w:tcW w:w="820" w:type="dxa"/>
            <w:vAlign w:val="bottom"/>
          </w:tcPr>
          <w:p>
            <w:pPr>
              <w:spacing w:after="0"/>
              <w:rPr>
                <w:sz w:val="13"/>
                <w:szCs w:val="13"/>
                <w:color w:val="auto"/>
              </w:rPr>
            </w:pPr>
          </w:p>
        </w:tc>
        <w:tc>
          <w:tcPr>
            <w:tcW w:w="580" w:type="dxa"/>
            <w:vAlign w:val="bottom"/>
            <w:gridSpan w:val="2"/>
          </w:tcPr>
          <w:p>
            <w:pPr>
              <w:spacing w:after="0"/>
              <w:rPr>
                <w:sz w:val="20"/>
                <w:szCs w:val="20"/>
                <w:color w:val="auto"/>
              </w:rPr>
            </w:pPr>
            <w:r>
              <w:rPr>
                <w:rFonts w:ascii="Arial" w:cs="Arial" w:eastAsia="Arial" w:hAnsi="Arial"/>
                <w:sz w:val="13"/>
                <w:szCs w:val="13"/>
                <w:b w:val="1"/>
                <w:bCs w:val="1"/>
                <w:color w:val="auto"/>
              </w:rPr>
              <w:t>Date</w:t>
            </w:r>
          </w:p>
        </w:tc>
      </w:tr>
      <w:tr>
        <w:trPr>
          <w:trHeight w:val="20"/>
        </w:trPr>
        <w:tc>
          <w:tcPr>
            <w:tcW w:w="5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r>
      <w:tr>
        <w:trPr>
          <w:trHeight w:val="249"/>
        </w:trPr>
        <w:tc>
          <w:tcPr>
            <w:tcW w:w="5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560" w:type="dxa"/>
            <w:vAlign w:val="bottom"/>
          </w:tcPr>
          <w:p>
            <w:pPr>
              <w:spacing w:after="0"/>
              <w:rPr>
                <w:sz w:val="21"/>
                <w:szCs w:val="21"/>
                <w:color w:val="auto"/>
              </w:rPr>
            </w:pPr>
          </w:p>
        </w:tc>
        <w:tc>
          <w:tcPr>
            <w:tcW w:w="3140" w:type="dxa"/>
            <w:vAlign w:val="bottom"/>
            <w:gridSpan w:val="3"/>
          </w:tcPr>
          <w:p>
            <w:pPr>
              <w:ind w:left="20"/>
              <w:spacing w:after="0"/>
              <w:rPr>
                <w:sz w:val="20"/>
                <w:szCs w:val="20"/>
                <w:color w:val="auto"/>
              </w:rPr>
            </w:pPr>
            <w:r>
              <w:rPr>
                <w:rFonts w:ascii="Arial" w:cs="Arial" w:eastAsia="Arial" w:hAnsi="Arial"/>
                <w:sz w:val="18"/>
                <w:szCs w:val="18"/>
                <w:color w:val="auto"/>
                <w:w w:val="95"/>
              </w:rPr>
              <w:t>Chair of the Board of Directors and Chief</w:t>
            </w:r>
          </w:p>
        </w:tc>
        <w:tc>
          <w:tcPr>
            <w:tcW w:w="8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40" w:type="dxa"/>
            <w:vAlign w:val="bottom"/>
          </w:tcPr>
          <w:p>
            <w:pPr>
              <w:spacing w:after="0"/>
              <w:rPr>
                <w:sz w:val="21"/>
                <w:szCs w:val="21"/>
                <w:color w:val="auto"/>
              </w:rPr>
            </w:pPr>
          </w:p>
        </w:tc>
      </w:tr>
      <w:tr>
        <w:trPr>
          <w:trHeight w:val="216"/>
        </w:trPr>
        <w:tc>
          <w:tcPr>
            <w:tcW w:w="5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3140" w:type="dxa"/>
            <w:vAlign w:val="bottom"/>
            <w:gridSpan w:val="3"/>
          </w:tcPr>
          <w:p>
            <w:pPr>
              <w:ind w:left="20"/>
              <w:spacing w:after="0"/>
              <w:rPr>
                <w:sz w:val="20"/>
                <w:szCs w:val="20"/>
                <w:color w:val="auto"/>
              </w:rPr>
            </w:pPr>
            <w:r>
              <w:rPr>
                <w:rFonts w:ascii="Arial" w:cs="Arial" w:eastAsia="Arial" w:hAnsi="Arial"/>
                <w:sz w:val="18"/>
                <w:szCs w:val="18"/>
                <w:color w:val="auto"/>
              </w:rPr>
              <w:t>Executive Officer (Principal Executive</w:t>
            </w:r>
          </w:p>
        </w:tc>
        <w:tc>
          <w:tcPr>
            <w:tcW w:w="8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r>
      <w:tr>
        <w:trPr>
          <w:trHeight w:val="230"/>
        </w:trPr>
        <w:tc>
          <w:tcPr>
            <w:tcW w:w="5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480" w:type="dxa"/>
            <w:vAlign w:val="bottom"/>
            <w:gridSpan w:val="3"/>
          </w:tcPr>
          <w:p>
            <w:pPr>
              <w:jc w:val="center"/>
              <w:ind w:right="940"/>
              <w:spacing w:after="0"/>
              <w:rPr>
                <w:sz w:val="20"/>
                <w:szCs w:val="20"/>
                <w:color w:val="auto"/>
              </w:rPr>
            </w:pPr>
            <w:r>
              <w:rPr>
                <w:rFonts w:ascii="Arial" w:cs="Arial" w:eastAsia="Arial" w:hAnsi="Arial"/>
                <w:sz w:val="16"/>
                <w:szCs w:val="16"/>
                <w:color w:val="auto"/>
              </w:rPr>
              <w:t>/s/ MALON WILKUS</w:t>
            </w:r>
          </w:p>
        </w:tc>
        <w:tc>
          <w:tcPr>
            <w:tcW w:w="3140" w:type="dxa"/>
            <w:vAlign w:val="bottom"/>
            <w:gridSpan w:val="3"/>
          </w:tcPr>
          <w:p>
            <w:pPr>
              <w:ind w:left="20"/>
              <w:spacing w:after="0"/>
              <w:rPr>
                <w:sz w:val="20"/>
                <w:szCs w:val="20"/>
                <w:color w:val="auto"/>
              </w:rPr>
            </w:pPr>
            <w:r>
              <w:rPr>
                <w:rFonts w:ascii="Arial" w:cs="Arial" w:eastAsia="Arial" w:hAnsi="Arial"/>
                <w:sz w:val="18"/>
                <w:szCs w:val="18"/>
                <w:color w:val="auto"/>
              </w:rPr>
              <w:t>Officer)</w:t>
            </w:r>
          </w:p>
        </w:tc>
        <w:tc>
          <w:tcPr>
            <w:tcW w:w="1400" w:type="dxa"/>
            <w:vAlign w:val="bottom"/>
            <w:gridSpan w:val="3"/>
          </w:tcPr>
          <w:p>
            <w:pPr>
              <w:ind w:left="80"/>
              <w:spacing w:after="0"/>
              <w:rPr>
                <w:sz w:val="20"/>
                <w:szCs w:val="20"/>
                <w:color w:val="auto"/>
              </w:rPr>
            </w:pPr>
            <w:r>
              <w:rPr>
                <w:rFonts w:ascii="Arial" w:cs="Arial" w:eastAsia="Arial" w:hAnsi="Arial"/>
                <w:sz w:val="18"/>
                <w:szCs w:val="18"/>
                <w:color w:val="auto"/>
                <w:w w:val="88"/>
              </w:rPr>
              <w:t>February 23, 2016</w:t>
            </w:r>
          </w:p>
        </w:tc>
      </w:tr>
      <w:tr>
        <w:trPr>
          <w:trHeight w:val="27"/>
        </w:trPr>
        <w:tc>
          <w:tcPr>
            <w:tcW w:w="5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340" w:type="dxa"/>
            <w:vAlign w:val="bottom"/>
          </w:tcPr>
          <w:p>
            <w:pPr>
              <w:spacing w:after="0"/>
              <w:rPr>
                <w:sz w:val="2"/>
                <w:szCs w:val="2"/>
                <w:color w:val="auto"/>
              </w:rPr>
            </w:pPr>
          </w:p>
        </w:tc>
      </w:tr>
      <w:tr>
        <w:trPr>
          <w:trHeight w:val="234"/>
        </w:trPr>
        <w:tc>
          <w:tcPr>
            <w:tcW w:w="5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480" w:type="dxa"/>
            <w:vAlign w:val="bottom"/>
            <w:gridSpan w:val="3"/>
          </w:tcPr>
          <w:p>
            <w:pPr>
              <w:jc w:val="center"/>
              <w:ind w:right="920"/>
              <w:spacing w:after="0"/>
              <w:rPr>
                <w:sz w:val="20"/>
                <w:szCs w:val="20"/>
                <w:color w:val="auto"/>
              </w:rPr>
            </w:pPr>
            <w:r>
              <w:rPr>
                <w:rFonts w:ascii="Arial" w:cs="Arial" w:eastAsia="Arial" w:hAnsi="Arial"/>
                <w:sz w:val="13"/>
                <w:szCs w:val="13"/>
                <w:b w:val="1"/>
                <w:bCs w:val="1"/>
                <w:color w:val="auto"/>
                <w:w w:val="91"/>
              </w:rPr>
              <w:t>Malon Wilkus</w:t>
            </w:r>
          </w:p>
        </w:tc>
        <w:tc>
          <w:tcPr>
            <w:tcW w:w="14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40" w:type="dxa"/>
            <w:vAlign w:val="bottom"/>
          </w:tcPr>
          <w:p>
            <w:pPr>
              <w:spacing w:after="0"/>
              <w:rPr>
                <w:sz w:val="20"/>
                <w:szCs w:val="20"/>
                <w:color w:val="auto"/>
              </w:rPr>
            </w:pPr>
          </w:p>
        </w:tc>
      </w:tr>
      <w:tr>
        <w:trPr>
          <w:trHeight w:val="528"/>
        </w:trPr>
        <w:tc>
          <w:tcPr>
            <w:tcW w:w="5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3140" w:type="dxa"/>
            <w:vAlign w:val="bottom"/>
            <w:gridSpan w:val="3"/>
          </w:tcPr>
          <w:p>
            <w:pPr>
              <w:ind w:left="20"/>
              <w:spacing w:after="0"/>
              <w:rPr>
                <w:sz w:val="20"/>
                <w:szCs w:val="20"/>
                <w:color w:val="auto"/>
              </w:rPr>
            </w:pPr>
            <w:r>
              <w:rPr>
                <w:rFonts w:ascii="Arial" w:cs="Arial" w:eastAsia="Arial" w:hAnsi="Arial"/>
                <w:sz w:val="18"/>
                <w:szCs w:val="18"/>
                <w:color w:val="auto"/>
              </w:rPr>
              <w:t>Director, Chief Financial Officer and</w:t>
            </w:r>
          </w:p>
        </w:tc>
        <w:tc>
          <w:tcPr>
            <w:tcW w:w="8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r>
      <w:tr>
        <w:trPr>
          <w:trHeight w:val="216"/>
        </w:trPr>
        <w:tc>
          <w:tcPr>
            <w:tcW w:w="5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3140" w:type="dxa"/>
            <w:vAlign w:val="bottom"/>
            <w:gridSpan w:val="3"/>
          </w:tcPr>
          <w:p>
            <w:pPr>
              <w:ind w:left="20"/>
              <w:spacing w:after="0"/>
              <w:rPr>
                <w:sz w:val="20"/>
                <w:szCs w:val="20"/>
                <w:color w:val="auto"/>
              </w:rPr>
            </w:pPr>
            <w:r>
              <w:rPr>
                <w:rFonts w:ascii="Arial" w:cs="Arial" w:eastAsia="Arial" w:hAnsi="Arial"/>
                <w:sz w:val="18"/>
                <w:szCs w:val="18"/>
                <w:color w:val="auto"/>
              </w:rPr>
              <w:t>Executive Vice President (Principal</w:t>
            </w:r>
          </w:p>
        </w:tc>
        <w:tc>
          <w:tcPr>
            <w:tcW w:w="8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r>
      <w:tr>
        <w:trPr>
          <w:trHeight w:val="230"/>
        </w:trPr>
        <w:tc>
          <w:tcPr>
            <w:tcW w:w="540" w:type="dxa"/>
            <w:vAlign w:val="bottom"/>
          </w:tcPr>
          <w:p>
            <w:pPr>
              <w:spacing w:after="0"/>
              <w:rPr>
                <w:sz w:val="20"/>
                <w:szCs w:val="20"/>
                <w:color w:val="auto"/>
              </w:rPr>
            </w:pPr>
          </w:p>
        </w:tc>
        <w:tc>
          <w:tcPr>
            <w:tcW w:w="920" w:type="dxa"/>
            <w:vAlign w:val="bottom"/>
          </w:tcPr>
          <w:p>
            <w:pPr>
              <w:ind w:left="760"/>
              <w:spacing w:after="0"/>
              <w:rPr>
                <w:sz w:val="20"/>
                <w:szCs w:val="20"/>
                <w:color w:val="auto"/>
              </w:rPr>
            </w:pPr>
            <w:r>
              <w:rPr>
                <w:rFonts w:ascii="Arial" w:cs="Arial" w:eastAsia="Arial" w:hAnsi="Arial"/>
                <w:sz w:val="16"/>
                <w:szCs w:val="16"/>
                <w:color w:val="auto"/>
                <w:w w:val="82"/>
              </w:rPr>
              <w:t>/s/</w:t>
            </w:r>
          </w:p>
        </w:tc>
        <w:tc>
          <w:tcPr>
            <w:tcW w:w="2480" w:type="dxa"/>
            <w:vAlign w:val="bottom"/>
            <w:gridSpan w:val="3"/>
          </w:tcPr>
          <w:p>
            <w:pPr>
              <w:ind w:left="160"/>
              <w:spacing w:after="0"/>
              <w:rPr>
                <w:sz w:val="20"/>
                <w:szCs w:val="20"/>
                <w:color w:val="auto"/>
              </w:rPr>
            </w:pPr>
            <w:r>
              <w:rPr>
                <w:rFonts w:ascii="Arial" w:cs="Arial" w:eastAsia="Arial" w:hAnsi="Arial"/>
                <w:sz w:val="16"/>
                <w:szCs w:val="16"/>
                <w:color w:val="auto"/>
              </w:rPr>
              <w:t>JOHN R. ERICKSON</w:t>
            </w:r>
          </w:p>
        </w:tc>
        <w:tc>
          <w:tcPr>
            <w:tcW w:w="3140" w:type="dxa"/>
            <w:vAlign w:val="bottom"/>
            <w:gridSpan w:val="3"/>
          </w:tcPr>
          <w:p>
            <w:pPr>
              <w:ind w:left="20"/>
              <w:spacing w:after="0"/>
              <w:rPr>
                <w:sz w:val="20"/>
                <w:szCs w:val="20"/>
                <w:color w:val="auto"/>
              </w:rPr>
            </w:pPr>
            <w:r>
              <w:rPr>
                <w:rFonts w:ascii="Arial" w:cs="Arial" w:eastAsia="Arial" w:hAnsi="Arial"/>
                <w:sz w:val="18"/>
                <w:szCs w:val="18"/>
                <w:color w:val="auto"/>
              </w:rPr>
              <w:t>Financial Officer)</w:t>
            </w:r>
          </w:p>
        </w:tc>
        <w:tc>
          <w:tcPr>
            <w:tcW w:w="1400" w:type="dxa"/>
            <w:vAlign w:val="bottom"/>
            <w:gridSpan w:val="3"/>
          </w:tcPr>
          <w:p>
            <w:pPr>
              <w:ind w:left="80"/>
              <w:spacing w:after="0"/>
              <w:rPr>
                <w:sz w:val="20"/>
                <w:szCs w:val="20"/>
                <w:color w:val="auto"/>
              </w:rPr>
            </w:pPr>
            <w:r>
              <w:rPr>
                <w:rFonts w:ascii="Arial" w:cs="Arial" w:eastAsia="Arial" w:hAnsi="Arial"/>
                <w:sz w:val="18"/>
                <w:szCs w:val="18"/>
                <w:color w:val="auto"/>
                <w:w w:val="88"/>
              </w:rPr>
              <w:t>February 23, 2016</w:t>
            </w:r>
          </w:p>
        </w:tc>
      </w:tr>
      <w:tr>
        <w:trPr>
          <w:trHeight w:val="27"/>
        </w:trPr>
        <w:tc>
          <w:tcPr>
            <w:tcW w:w="5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340" w:type="dxa"/>
            <w:vAlign w:val="bottom"/>
          </w:tcPr>
          <w:p>
            <w:pPr>
              <w:spacing w:after="0"/>
              <w:rPr>
                <w:sz w:val="2"/>
                <w:szCs w:val="2"/>
                <w:color w:val="auto"/>
              </w:rPr>
            </w:pPr>
          </w:p>
        </w:tc>
      </w:tr>
      <w:tr>
        <w:trPr>
          <w:trHeight w:val="248"/>
        </w:trPr>
        <w:tc>
          <w:tcPr>
            <w:tcW w:w="5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480" w:type="dxa"/>
            <w:vAlign w:val="bottom"/>
            <w:gridSpan w:val="3"/>
          </w:tcPr>
          <w:p>
            <w:pPr>
              <w:jc w:val="center"/>
              <w:ind w:right="940"/>
              <w:spacing w:after="0"/>
              <w:rPr>
                <w:sz w:val="20"/>
                <w:szCs w:val="20"/>
                <w:color w:val="auto"/>
              </w:rPr>
            </w:pPr>
            <w:r>
              <w:rPr>
                <w:rFonts w:ascii="Arial" w:cs="Arial" w:eastAsia="Arial" w:hAnsi="Arial"/>
                <w:sz w:val="13"/>
                <w:szCs w:val="13"/>
                <w:b w:val="1"/>
                <w:bCs w:val="1"/>
                <w:color w:val="auto"/>
                <w:w w:val="88"/>
              </w:rPr>
              <w:t>John R. Erickson</w:t>
            </w:r>
          </w:p>
        </w:tc>
        <w:tc>
          <w:tcPr>
            <w:tcW w:w="14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40" w:type="dxa"/>
            <w:vAlign w:val="bottom"/>
          </w:tcPr>
          <w:p>
            <w:pPr>
              <w:spacing w:after="0"/>
              <w:rPr>
                <w:sz w:val="21"/>
                <w:szCs w:val="21"/>
                <w:color w:val="auto"/>
              </w:rPr>
            </w:pPr>
          </w:p>
        </w:tc>
      </w:tr>
      <w:tr>
        <w:trPr>
          <w:trHeight w:val="515"/>
        </w:trPr>
        <w:tc>
          <w:tcPr>
            <w:tcW w:w="5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3140" w:type="dxa"/>
            <w:vAlign w:val="bottom"/>
            <w:gridSpan w:val="3"/>
          </w:tcPr>
          <w:p>
            <w:pPr>
              <w:ind w:left="20"/>
              <w:spacing w:after="0"/>
              <w:rPr>
                <w:sz w:val="20"/>
                <w:szCs w:val="20"/>
                <w:color w:val="auto"/>
              </w:rPr>
            </w:pPr>
            <w:r>
              <w:rPr>
                <w:rFonts w:ascii="Arial" w:cs="Arial" w:eastAsia="Arial" w:hAnsi="Arial"/>
                <w:sz w:val="18"/>
                <w:szCs w:val="18"/>
                <w:color w:val="auto"/>
              </w:rPr>
              <w:t>Senior Vice President and Chief</w:t>
            </w:r>
          </w:p>
        </w:tc>
        <w:tc>
          <w:tcPr>
            <w:tcW w:w="8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r>
      <w:tr>
        <w:trPr>
          <w:trHeight w:val="216"/>
        </w:trPr>
        <w:tc>
          <w:tcPr>
            <w:tcW w:w="5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3140" w:type="dxa"/>
            <w:vAlign w:val="bottom"/>
            <w:gridSpan w:val="3"/>
          </w:tcPr>
          <w:p>
            <w:pPr>
              <w:ind w:left="20"/>
              <w:spacing w:after="0"/>
              <w:rPr>
                <w:sz w:val="20"/>
                <w:szCs w:val="20"/>
                <w:color w:val="auto"/>
              </w:rPr>
            </w:pPr>
            <w:r>
              <w:rPr>
                <w:rFonts w:ascii="Arial" w:cs="Arial" w:eastAsia="Arial" w:hAnsi="Arial"/>
                <w:sz w:val="18"/>
                <w:szCs w:val="18"/>
                <w:color w:val="auto"/>
                <w:w w:val="96"/>
              </w:rPr>
              <w:t>Accounting Officer (Principal Accounting</w:t>
            </w:r>
          </w:p>
        </w:tc>
        <w:tc>
          <w:tcPr>
            <w:tcW w:w="8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r>
      <w:tr>
        <w:trPr>
          <w:trHeight w:val="230"/>
        </w:trPr>
        <w:tc>
          <w:tcPr>
            <w:tcW w:w="5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480" w:type="dxa"/>
            <w:vAlign w:val="bottom"/>
            <w:gridSpan w:val="3"/>
          </w:tcPr>
          <w:p>
            <w:pPr>
              <w:jc w:val="center"/>
              <w:ind w:right="940"/>
              <w:spacing w:after="0"/>
              <w:rPr>
                <w:sz w:val="20"/>
                <w:szCs w:val="20"/>
                <w:color w:val="auto"/>
              </w:rPr>
            </w:pPr>
            <w:r>
              <w:rPr>
                <w:rFonts w:ascii="Arial" w:cs="Arial" w:eastAsia="Arial" w:hAnsi="Arial"/>
                <w:sz w:val="16"/>
                <w:szCs w:val="16"/>
                <w:color w:val="auto"/>
                <w:w w:val="96"/>
              </w:rPr>
              <w:t>/s/ BERNICE E. BELL</w:t>
            </w:r>
          </w:p>
        </w:tc>
        <w:tc>
          <w:tcPr>
            <w:tcW w:w="3140" w:type="dxa"/>
            <w:vAlign w:val="bottom"/>
            <w:gridSpan w:val="3"/>
          </w:tcPr>
          <w:p>
            <w:pPr>
              <w:ind w:left="20"/>
              <w:spacing w:after="0"/>
              <w:rPr>
                <w:sz w:val="20"/>
                <w:szCs w:val="20"/>
                <w:color w:val="auto"/>
              </w:rPr>
            </w:pPr>
            <w:r>
              <w:rPr>
                <w:rFonts w:ascii="Arial" w:cs="Arial" w:eastAsia="Arial" w:hAnsi="Arial"/>
                <w:sz w:val="18"/>
                <w:szCs w:val="18"/>
                <w:color w:val="auto"/>
              </w:rPr>
              <w:t>Officer)</w:t>
            </w:r>
          </w:p>
        </w:tc>
        <w:tc>
          <w:tcPr>
            <w:tcW w:w="1400" w:type="dxa"/>
            <w:vAlign w:val="bottom"/>
            <w:gridSpan w:val="3"/>
          </w:tcPr>
          <w:p>
            <w:pPr>
              <w:ind w:left="80"/>
              <w:spacing w:after="0"/>
              <w:rPr>
                <w:sz w:val="20"/>
                <w:szCs w:val="20"/>
                <w:color w:val="auto"/>
              </w:rPr>
            </w:pPr>
            <w:r>
              <w:rPr>
                <w:rFonts w:ascii="Arial" w:cs="Arial" w:eastAsia="Arial" w:hAnsi="Arial"/>
                <w:sz w:val="18"/>
                <w:szCs w:val="18"/>
                <w:color w:val="auto"/>
                <w:w w:val="88"/>
              </w:rPr>
              <w:t>February 23, 2016</w:t>
            </w:r>
          </w:p>
        </w:tc>
      </w:tr>
      <w:tr>
        <w:trPr>
          <w:trHeight w:val="27"/>
        </w:trPr>
        <w:tc>
          <w:tcPr>
            <w:tcW w:w="5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340" w:type="dxa"/>
            <w:vAlign w:val="bottom"/>
          </w:tcPr>
          <w:p>
            <w:pPr>
              <w:spacing w:after="0"/>
              <w:rPr>
                <w:sz w:val="2"/>
                <w:szCs w:val="2"/>
                <w:color w:val="auto"/>
              </w:rPr>
            </w:pPr>
          </w:p>
        </w:tc>
      </w:tr>
      <w:tr>
        <w:trPr>
          <w:trHeight w:val="248"/>
        </w:trPr>
        <w:tc>
          <w:tcPr>
            <w:tcW w:w="5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480" w:type="dxa"/>
            <w:vAlign w:val="bottom"/>
            <w:gridSpan w:val="3"/>
          </w:tcPr>
          <w:p>
            <w:pPr>
              <w:jc w:val="center"/>
              <w:ind w:right="920"/>
              <w:spacing w:after="0"/>
              <w:rPr>
                <w:sz w:val="20"/>
                <w:szCs w:val="20"/>
                <w:color w:val="auto"/>
              </w:rPr>
            </w:pPr>
            <w:r>
              <w:rPr>
                <w:rFonts w:ascii="Arial" w:cs="Arial" w:eastAsia="Arial" w:hAnsi="Arial"/>
                <w:sz w:val="13"/>
                <w:szCs w:val="13"/>
                <w:b w:val="1"/>
                <w:bCs w:val="1"/>
                <w:color w:val="auto"/>
                <w:w w:val="87"/>
              </w:rPr>
              <w:t>Bernice E. Bell</w:t>
            </w:r>
          </w:p>
        </w:tc>
        <w:tc>
          <w:tcPr>
            <w:tcW w:w="14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40" w:type="dxa"/>
            <w:vAlign w:val="bottom"/>
          </w:tcPr>
          <w:p>
            <w:pPr>
              <w:spacing w:after="0"/>
              <w:rPr>
                <w:sz w:val="21"/>
                <w:szCs w:val="21"/>
                <w:color w:val="auto"/>
              </w:rPr>
            </w:pPr>
          </w:p>
        </w:tc>
      </w:tr>
      <w:tr>
        <w:trPr>
          <w:trHeight w:val="529"/>
        </w:trPr>
        <w:tc>
          <w:tcPr>
            <w:tcW w:w="5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920" w:type="dxa"/>
            <w:vAlign w:val="bottom"/>
            <w:gridSpan w:val="2"/>
          </w:tcPr>
          <w:p>
            <w:pPr>
              <w:jc w:val="center"/>
              <w:ind w:left="546"/>
              <w:spacing w:after="0"/>
              <w:rPr>
                <w:sz w:val="20"/>
                <w:szCs w:val="20"/>
                <w:color w:val="auto"/>
              </w:rPr>
            </w:pPr>
            <w:r>
              <w:rPr>
                <w:rFonts w:ascii="Arial" w:cs="Arial" w:eastAsia="Arial" w:hAnsi="Arial"/>
                <w:sz w:val="18"/>
                <w:szCs w:val="18"/>
                <w:color w:val="auto"/>
              </w:rPr>
              <w:t>*</w:t>
            </w:r>
          </w:p>
        </w:tc>
        <w:tc>
          <w:tcPr>
            <w:tcW w:w="1560" w:type="dxa"/>
            <w:vAlign w:val="bottom"/>
          </w:tcPr>
          <w:p>
            <w:pPr>
              <w:spacing w:after="0"/>
              <w:rPr>
                <w:sz w:val="24"/>
                <w:szCs w:val="24"/>
                <w:color w:val="auto"/>
              </w:rPr>
            </w:pPr>
          </w:p>
        </w:tc>
        <w:tc>
          <w:tcPr>
            <w:tcW w:w="3140" w:type="dxa"/>
            <w:vAlign w:val="bottom"/>
            <w:gridSpan w:val="3"/>
          </w:tcPr>
          <w:p>
            <w:pPr>
              <w:ind w:left="20"/>
              <w:spacing w:after="0"/>
              <w:rPr>
                <w:sz w:val="20"/>
                <w:szCs w:val="20"/>
                <w:color w:val="auto"/>
              </w:rPr>
            </w:pPr>
            <w:r>
              <w:rPr>
                <w:rFonts w:ascii="Arial" w:cs="Arial" w:eastAsia="Arial" w:hAnsi="Arial"/>
                <w:sz w:val="18"/>
                <w:szCs w:val="18"/>
                <w:color w:val="auto"/>
              </w:rPr>
              <w:t>Director</w:t>
            </w:r>
          </w:p>
        </w:tc>
        <w:tc>
          <w:tcPr>
            <w:tcW w:w="1400" w:type="dxa"/>
            <w:vAlign w:val="bottom"/>
            <w:gridSpan w:val="3"/>
          </w:tcPr>
          <w:p>
            <w:pPr>
              <w:ind w:left="80"/>
              <w:spacing w:after="0"/>
              <w:rPr>
                <w:sz w:val="20"/>
                <w:szCs w:val="20"/>
                <w:color w:val="auto"/>
              </w:rPr>
            </w:pPr>
            <w:r>
              <w:rPr>
                <w:rFonts w:ascii="Arial" w:cs="Arial" w:eastAsia="Arial" w:hAnsi="Arial"/>
                <w:sz w:val="18"/>
                <w:szCs w:val="18"/>
                <w:color w:val="auto"/>
                <w:w w:val="88"/>
              </w:rPr>
              <w:t>February 23, 2016</w:t>
            </w:r>
          </w:p>
        </w:tc>
      </w:tr>
      <w:tr>
        <w:trPr>
          <w:trHeight w:val="27"/>
        </w:trPr>
        <w:tc>
          <w:tcPr>
            <w:tcW w:w="5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340" w:type="dxa"/>
            <w:vAlign w:val="bottom"/>
          </w:tcPr>
          <w:p>
            <w:pPr>
              <w:spacing w:after="0"/>
              <w:rPr>
                <w:sz w:val="2"/>
                <w:szCs w:val="2"/>
                <w:color w:val="auto"/>
              </w:rPr>
            </w:pPr>
          </w:p>
        </w:tc>
      </w:tr>
      <w:tr>
        <w:trPr>
          <w:trHeight w:val="234"/>
        </w:trPr>
        <w:tc>
          <w:tcPr>
            <w:tcW w:w="5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480" w:type="dxa"/>
            <w:vAlign w:val="bottom"/>
            <w:gridSpan w:val="3"/>
          </w:tcPr>
          <w:p>
            <w:pPr>
              <w:jc w:val="center"/>
              <w:ind w:right="940"/>
              <w:spacing w:after="0"/>
              <w:rPr>
                <w:sz w:val="20"/>
                <w:szCs w:val="20"/>
                <w:color w:val="auto"/>
              </w:rPr>
            </w:pPr>
            <w:r>
              <w:rPr>
                <w:rFonts w:ascii="Arial" w:cs="Arial" w:eastAsia="Arial" w:hAnsi="Arial"/>
                <w:sz w:val="13"/>
                <w:szCs w:val="13"/>
                <w:b w:val="1"/>
                <w:bCs w:val="1"/>
                <w:color w:val="auto"/>
                <w:w w:val="90"/>
              </w:rPr>
              <w:t>Robert M. Couch</w:t>
            </w:r>
          </w:p>
        </w:tc>
        <w:tc>
          <w:tcPr>
            <w:tcW w:w="14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40" w:type="dxa"/>
            <w:vAlign w:val="bottom"/>
          </w:tcPr>
          <w:p>
            <w:pPr>
              <w:spacing w:after="0"/>
              <w:rPr>
                <w:sz w:val="20"/>
                <w:szCs w:val="20"/>
                <w:color w:val="auto"/>
              </w:rPr>
            </w:pPr>
          </w:p>
        </w:tc>
      </w:tr>
      <w:tr>
        <w:trPr>
          <w:trHeight w:val="543"/>
        </w:trPr>
        <w:tc>
          <w:tcPr>
            <w:tcW w:w="5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920" w:type="dxa"/>
            <w:vAlign w:val="bottom"/>
            <w:gridSpan w:val="2"/>
          </w:tcPr>
          <w:p>
            <w:pPr>
              <w:jc w:val="center"/>
              <w:ind w:left="546"/>
              <w:spacing w:after="0"/>
              <w:rPr>
                <w:sz w:val="20"/>
                <w:szCs w:val="20"/>
                <w:color w:val="auto"/>
              </w:rPr>
            </w:pPr>
            <w:r>
              <w:rPr>
                <w:rFonts w:ascii="Arial" w:cs="Arial" w:eastAsia="Arial" w:hAnsi="Arial"/>
                <w:sz w:val="18"/>
                <w:szCs w:val="18"/>
                <w:color w:val="auto"/>
              </w:rPr>
              <w:t>*</w:t>
            </w:r>
          </w:p>
        </w:tc>
        <w:tc>
          <w:tcPr>
            <w:tcW w:w="1560" w:type="dxa"/>
            <w:vAlign w:val="bottom"/>
          </w:tcPr>
          <w:p>
            <w:pPr>
              <w:spacing w:after="0"/>
              <w:rPr>
                <w:sz w:val="24"/>
                <w:szCs w:val="24"/>
                <w:color w:val="auto"/>
              </w:rPr>
            </w:pPr>
          </w:p>
        </w:tc>
        <w:tc>
          <w:tcPr>
            <w:tcW w:w="3140" w:type="dxa"/>
            <w:vAlign w:val="bottom"/>
            <w:gridSpan w:val="3"/>
          </w:tcPr>
          <w:p>
            <w:pPr>
              <w:ind w:left="20"/>
              <w:spacing w:after="0"/>
              <w:rPr>
                <w:sz w:val="20"/>
                <w:szCs w:val="20"/>
                <w:color w:val="auto"/>
              </w:rPr>
            </w:pPr>
            <w:r>
              <w:rPr>
                <w:rFonts w:ascii="Arial" w:cs="Arial" w:eastAsia="Arial" w:hAnsi="Arial"/>
                <w:sz w:val="18"/>
                <w:szCs w:val="18"/>
                <w:color w:val="auto"/>
              </w:rPr>
              <w:t>Director</w:t>
            </w:r>
          </w:p>
        </w:tc>
        <w:tc>
          <w:tcPr>
            <w:tcW w:w="1400" w:type="dxa"/>
            <w:vAlign w:val="bottom"/>
            <w:gridSpan w:val="3"/>
          </w:tcPr>
          <w:p>
            <w:pPr>
              <w:ind w:left="80"/>
              <w:spacing w:after="0"/>
              <w:rPr>
                <w:sz w:val="20"/>
                <w:szCs w:val="20"/>
                <w:color w:val="auto"/>
              </w:rPr>
            </w:pPr>
            <w:r>
              <w:rPr>
                <w:rFonts w:ascii="Arial" w:cs="Arial" w:eastAsia="Arial" w:hAnsi="Arial"/>
                <w:sz w:val="18"/>
                <w:szCs w:val="18"/>
                <w:color w:val="auto"/>
                <w:w w:val="88"/>
              </w:rPr>
              <w:t>February 23, 2016</w:t>
            </w:r>
          </w:p>
        </w:tc>
      </w:tr>
      <w:tr>
        <w:trPr>
          <w:trHeight w:val="27"/>
        </w:trPr>
        <w:tc>
          <w:tcPr>
            <w:tcW w:w="5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340" w:type="dxa"/>
            <w:vAlign w:val="bottom"/>
          </w:tcPr>
          <w:p>
            <w:pPr>
              <w:spacing w:after="0"/>
              <w:rPr>
                <w:sz w:val="2"/>
                <w:szCs w:val="2"/>
                <w:color w:val="auto"/>
              </w:rPr>
            </w:pPr>
          </w:p>
        </w:tc>
      </w:tr>
      <w:tr>
        <w:trPr>
          <w:trHeight w:val="234"/>
        </w:trPr>
        <w:tc>
          <w:tcPr>
            <w:tcW w:w="5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480" w:type="dxa"/>
            <w:vAlign w:val="bottom"/>
            <w:gridSpan w:val="3"/>
          </w:tcPr>
          <w:p>
            <w:pPr>
              <w:jc w:val="center"/>
              <w:ind w:right="940"/>
              <w:spacing w:after="0"/>
              <w:rPr>
                <w:sz w:val="20"/>
                <w:szCs w:val="20"/>
                <w:color w:val="auto"/>
              </w:rPr>
            </w:pPr>
            <w:r>
              <w:rPr>
                <w:rFonts w:ascii="Arial" w:cs="Arial" w:eastAsia="Arial" w:hAnsi="Arial"/>
                <w:sz w:val="13"/>
                <w:szCs w:val="13"/>
                <w:b w:val="1"/>
                <w:bCs w:val="1"/>
                <w:color w:val="auto"/>
                <w:w w:val="90"/>
              </w:rPr>
              <w:t>Morris A. Davis</w:t>
            </w:r>
          </w:p>
        </w:tc>
        <w:tc>
          <w:tcPr>
            <w:tcW w:w="14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40" w:type="dxa"/>
            <w:vAlign w:val="bottom"/>
          </w:tcPr>
          <w:p>
            <w:pPr>
              <w:spacing w:after="0"/>
              <w:rPr>
                <w:sz w:val="20"/>
                <w:szCs w:val="20"/>
                <w:color w:val="auto"/>
              </w:rPr>
            </w:pPr>
          </w:p>
        </w:tc>
      </w:tr>
      <w:tr>
        <w:trPr>
          <w:trHeight w:val="543"/>
        </w:trPr>
        <w:tc>
          <w:tcPr>
            <w:tcW w:w="5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920" w:type="dxa"/>
            <w:vAlign w:val="bottom"/>
            <w:gridSpan w:val="2"/>
          </w:tcPr>
          <w:p>
            <w:pPr>
              <w:jc w:val="center"/>
              <w:ind w:left="546"/>
              <w:spacing w:after="0"/>
              <w:rPr>
                <w:sz w:val="20"/>
                <w:szCs w:val="20"/>
                <w:color w:val="auto"/>
              </w:rPr>
            </w:pPr>
            <w:r>
              <w:rPr>
                <w:rFonts w:ascii="Arial" w:cs="Arial" w:eastAsia="Arial" w:hAnsi="Arial"/>
                <w:sz w:val="18"/>
                <w:szCs w:val="18"/>
                <w:color w:val="auto"/>
              </w:rPr>
              <w:t>*</w:t>
            </w:r>
          </w:p>
        </w:tc>
        <w:tc>
          <w:tcPr>
            <w:tcW w:w="1560" w:type="dxa"/>
            <w:vAlign w:val="bottom"/>
          </w:tcPr>
          <w:p>
            <w:pPr>
              <w:spacing w:after="0"/>
              <w:rPr>
                <w:sz w:val="24"/>
                <w:szCs w:val="24"/>
                <w:color w:val="auto"/>
              </w:rPr>
            </w:pPr>
          </w:p>
        </w:tc>
        <w:tc>
          <w:tcPr>
            <w:tcW w:w="3140" w:type="dxa"/>
            <w:vAlign w:val="bottom"/>
            <w:gridSpan w:val="3"/>
          </w:tcPr>
          <w:p>
            <w:pPr>
              <w:ind w:left="20"/>
              <w:spacing w:after="0"/>
              <w:rPr>
                <w:sz w:val="20"/>
                <w:szCs w:val="20"/>
                <w:color w:val="auto"/>
              </w:rPr>
            </w:pPr>
            <w:r>
              <w:rPr>
                <w:rFonts w:ascii="Arial" w:cs="Arial" w:eastAsia="Arial" w:hAnsi="Arial"/>
                <w:sz w:val="18"/>
                <w:szCs w:val="18"/>
                <w:color w:val="auto"/>
              </w:rPr>
              <w:t>Director</w:t>
            </w:r>
          </w:p>
        </w:tc>
        <w:tc>
          <w:tcPr>
            <w:tcW w:w="1400" w:type="dxa"/>
            <w:vAlign w:val="bottom"/>
            <w:gridSpan w:val="3"/>
          </w:tcPr>
          <w:p>
            <w:pPr>
              <w:ind w:left="80"/>
              <w:spacing w:after="0"/>
              <w:rPr>
                <w:sz w:val="20"/>
                <w:szCs w:val="20"/>
                <w:color w:val="auto"/>
              </w:rPr>
            </w:pPr>
            <w:r>
              <w:rPr>
                <w:rFonts w:ascii="Arial" w:cs="Arial" w:eastAsia="Arial" w:hAnsi="Arial"/>
                <w:sz w:val="18"/>
                <w:szCs w:val="18"/>
                <w:color w:val="auto"/>
                <w:w w:val="88"/>
              </w:rPr>
              <w:t>February 23, 2016</w:t>
            </w:r>
          </w:p>
        </w:tc>
      </w:tr>
      <w:tr>
        <w:trPr>
          <w:trHeight w:val="27"/>
        </w:trPr>
        <w:tc>
          <w:tcPr>
            <w:tcW w:w="5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340" w:type="dxa"/>
            <w:vAlign w:val="bottom"/>
          </w:tcPr>
          <w:p>
            <w:pPr>
              <w:spacing w:after="0"/>
              <w:rPr>
                <w:sz w:val="2"/>
                <w:szCs w:val="2"/>
                <w:color w:val="auto"/>
              </w:rPr>
            </w:pPr>
          </w:p>
        </w:tc>
      </w:tr>
      <w:tr>
        <w:trPr>
          <w:trHeight w:val="234"/>
        </w:trPr>
        <w:tc>
          <w:tcPr>
            <w:tcW w:w="5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480" w:type="dxa"/>
            <w:vAlign w:val="bottom"/>
            <w:gridSpan w:val="3"/>
          </w:tcPr>
          <w:p>
            <w:pPr>
              <w:jc w:val="center"/>
              <w:ind w:right="940"/>
              <w:spacing w:after="0"/>
              <w:rPr>
                <w:sz w:val="20"/>
                <w:szCs w:val="20"/>
                <w:color w:val="auto"/>
              </w:rPr>
            </w:pPr>
            <w:r>
              <w:rPr>
                <w:rFonts w:ascii="Arial" w:cs="Arial" w:eastAsia="Arial" w:hAnsi="Arial"/>
                <w:sz w:val="13"/>
                <w:szCs w:val="13"/>
                <w:b w:val="1"/>
                <w:bCs w:val="1"/>
                <w:color w:val="auto"/>
                <w:w w:val="88"/>
              </w:rPr>
              <w:t>Randolph E. Dobbs</w:t>
            </w:r>
          </w:p>
        </w:tc>
        <w:tc>
          <w:tcPr>
            <w:tcW w:w="14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40" w:type="dxa"/>
            <w:vAlign w:val="bottom"/>
          </w:tcPr>
          <w:p>
            <w:pPr>
              <w:spacing w:after="0"/>
              <w:rPr>
                <w:sz w:val="20"/>
                <w:szCs w:val="20"/>
                <w:color w:val="auto"/>
              </w:rPr>
            </w:pPr>
          </w:p>
        </w:tc>
      </w:tr>
      <w:tr>
        <w:trPr>
          <w:trHeight w:val="543"/>
        </w:trPr>
        <w:tc>
          <w:tcPr>
            <w:tcW w:w="5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920" w:type="dxa"/>
            <w:vAlign w:val="bottom"/>
            <w:gridSpan w:val="2"/>
          </w:tcPr>
          <w:p>
            <w:pPr>
              <w:jc w:val="center"/>
              <w:ind w:left="546"/>
              <w:spacing w:after="0"/>
              <w:rPr>
                <w:sz w:val="20"/>
                <w:szCs w:val="20"/>
                <w:color w:val="auto"/>
              </w:rPr>
            </w:pPr>
            <w:r>
              <w:rPr>
                <w:rFonts w:ascii="Arial" w:cs="Arial" w:eastAsia="Arial" w:hAnsi="Arial"/>
                <w:sz w:val="18"/>
                <w:szCs w:val="18"/>
                <w:color w:val="auto"/>
              </w:rPr>
              <w:t>*</w:t>
            </w:r>
          </w:p>
        </w:tc>
        <w:tc>
          <w:tcPr>
            <w:tcW w:w="1560" w:type="dxa"/>
            <w:vAlign w:val="bottom"/>
          </w:tcPr>
          <w:p>
            <w:pPr>
              <w:spacing w:after="0"/>
              <w:rPr>
                <w:sz w:val="24"/>
                <w:szCs w:val="24"/>
                <w:color w:val="auto"/>
              </w:rPr>
            </w:pPr>
          </w:p>
        </w:tc>
        <w:tc>
          <w:tcPr>
            <w:tcW w:w="3140" w:type="dxa"/>
            <w:vAlign w:val="bottom"/>
            <w:gridSpan w:val="3"/>
          </w:tcPr>
          <w:p>
            <w:pPr>
              <w:ind w:left="20"/>
              <w:spacing w:after="0"/>
              <w:rPr>
                <w:sz w:val="20"/>
                <w:szCs w:val="20"/>
                <w:color w:val="auto"/>
              </w:rPr>
            </w:pPr>
            <w:r>
              <w:rPr>
                <w:rFonts w:ascii="Arial" w:cs="Arial" w:eastAsia="Arial" w:hAnsi="Arial"/>
                <w:sz w:val="18"/>
                <w:szCs w:val="18"/>
                <w:color w:val="auto"/>
              </w:rPr>
              <w:t>Director</w:t>
            </w:r>
          </w:p>
        </w:tc>
        <w:tc>
          <w:tcPr>
            <w:tcW w:w="1400" w:type="dxa"/>
            <w:vAlign w:val="bottom"/>
            <w:gridSpan w:val="3"/>
          </w:tcPr>
          <w:p>
            <w:pPr>
              <w:ind w:left="80"/>
              <w:spacing w:after="0"/>
              <w:rPr>
                <w:sz w:val="20"/>
                <w:szCs w:val="20"/>
                <w:color w:val="auto"/>
              </w:rPr>
            </w:pPr>
            <w:r>
              <w:rPr>
                <w:rFonts w:ascii="Arial" w:cs="Arial" w:eastAsia="Arial" w:hAnsi="Arial"/>
                <w:sz w:val="18"/>
                <w:szCs w:val="18"/>
                <w:color w:val="auto"/>
                <w:w w:val="88"/>
              </w:rPr>
              <w:t>February 23, 2016</w:t>
            </w:r>
          </w:p>
        </w:tc>
      </w:tr>
      <w:tr>
        <w:trPr>
          <w:trHeight w:val="27"/>
        </w:trPr>
        <w:tc>
          <w:tcPr>
            <w:tcW w:w="5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340" w:type="dxa"/>
            <w:vAlign w:val="bottom"/>
          </w:tcPr>
          <w:p>
            <w:pPr>
              <w:spacing w:after="0"/>
              <w:rPr>
                <w:sz w:val="2"/>
                <w:szCs w:val="2"/>
                <w:color w:val="auto"/>
              </w:rPr>
            </w:pPr>
          </w:p>
        </w:tc>
      </w:tr>
      <w:tr>
        <w:trPr>
          <w:trHeight w:val="234"/>
        </w:trPr>
        <w:tc>
          <w:tcPr>
            <w:tcW w:w="5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480" w:type="dxa"/>
            <w:vAlign w:val="bottom"/>
            <w:gridSpan w:val="3"/>
          </w:tcPr>
          <w:p>
            <w:pPr>
              <w:jc w:val="center"/>
              <w:ind w:right="940"/>
              <w:spacing w:after="0"/>
              <w:rPr>
                <w:sz w:val="20"/>
                <w:szCs w:val="20"/>
                <w:color w:val="auto"/>
              </w:rPr>
            </w:pPr>
            <w:r>
              <w:rPr>
                <w:rFonts w:ascii="Arial" w:cs="Arial" w:eastAsia="Arial" w:hAnsi="Arial"/>
                <w:sz w:val="13"/>
                <w:szCs w:val="13"/>
                <w:b w:val="1"/>
                <w:bCs w:val="1"/>
                <w:color w:val="auto"/>
                <w:w w:val="88"/>
              </w:rPr>
              <w:t>Samuel A. Flax</w:t>
            </w:r>
          </w:p>
        </w:tc>
        <w:tc>
          <w:tcPr>
            <w:tcW w:w="14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40" w:type="dxa"/>
            <w:vAlign w:val="bottom"/>
          </w:tcPr>
          <w:p>
            <w:pPr>
              <w:spacing w:after="0"/>
              <w:rPr>
                <w:sz w:val="20"/>
                <w:szCs w:val="20"/>
                <w:color w:val="auto"/>
              </w:rPr>
            </w:pPr>
          </w:p>
        </w:tc>
      </w:tr>
      <w:tr>
        <w:trPr>
          <w:trHeight w:val="543"/>
        </w:trPr>
        <w:tc>
          <w:tcPr>
            <w:tcW w:w="5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920" w:type="dxa"/>
            <w:vAlign w:val="bottom"/>
            <w:gridSpan w:val="2"/>
          </w:tcPr>
          <w:p>
            <w:pPr>
              <w:jc w:val="center"/>
              <w:ind w:left="546"/>
              <w:spacing w:after="0"/>
              <w:rPr>
                <w:sz w:val="20"/>
                <w:szCs w:val="20"/>
                <w:color w:val="auto"/>
              </w:rPr>
            </w:pPr>
            <w:r>
              <w:rPr>
                <w:rFonts w:ascii="Arial" w:cs="Arial" w:eastAsia="Arial" w:hAnsi="Arial"/>
                <w:sz w:val="18"/>
                <w:szCs w:val="18"/>
                <w:color w:val="auto"/>
              </w:rPr>
              <w:t>*</w:t>
            </w:r>
          </w:p>
        </w:tc>
        <w:tc>
          <w:tcPr>
            <w:tcW w:w="1560" w:type="dxa"/>
            <w:vAlign w:val="bottom"/>
          </w:tcPr>
          <w:p>
            <w:pPr>
              <w:spacing w:after="0"/>
              <w:rPr>
                <w:sz w:val="24"/>
                <w:szCs w:val="24"/>
                <w:color w:val="auto"/>
              </w:rPr>
            </w:pPr>
          </w:p>
        </w:tc>
        <w:tc>
          <w:tcPr>
            <w:tcW w:w="3140" w:type="dxa"/>
            <w:vAlign w:val="bottom"/>
            <w:gridSpan w:val="3"/>
          </w:tcPr>
          <w:p>
            <w:pPr>
              <w:ind w:left="20"/>
              <w:spacing w:after="0"/>
              <w:rPr>
                <w:sz w:val="20"/>
                <w:szCs w:val="20"/>
                <w:color w:val="auto"/>
              </w:rPr>
            </w:pPr>
            <w:r>
              <w:rPr>
                <w:rFonts w:ascii="Arial" w:cs="Arial" w:eastAsia="Arial" w:hAnsi="Arial"/>
                <w:sz w:val="18"/>
                <w:szCs w:val="18"/>
                <w:color w:val="auto"/>
              </w:rPr>
              <w:t>Director</w:t>
            </w:r>
          </w:p>
        </w:tc>
        <w:tc>
          <w:tcPr>
            <w:tcW w:w="1400" w:type="dxa"/>
            <w:vAlign w:val="bottom"/>
            <w:gridSpan w:val="3"/>
          </w:tcPr>
          <w:p>
            <w:pPr>
              <w:ind w:left="80"/>
              <w:spacing w:after="0"/>
              <w:rPr>
                <w:sz w:val="20"/>
                <w:szCs w:val="20"/>
                <w:color w:val="auto"/>
              </w:rPr>
            </w:pPr>
            <w:r>
              <w:rPr>
                <w:rFonts w:ascii="Arial" w:cs="Arial" w:eastAsia="Arial" w:hAnsi="Arial"/>
                <w:sz w:val="18"/>
                <w:szCs w:val="18"/>
                <w:color w:val="auto"/>
                <w:w w:val="88"/>
              </w:rPr>
              <w:t>February 23, 2016</w:t>
            </w:r>
          </w:p>
        </w:tc>
      </w:tr>
      <w:tr>
        <w:trPr>
          <w:trHeight w:val="27"/>
        </w:trPr>
        <w:tc>
          <w:tcPr>
            <w:tcW w:w="5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340" w:type="dxa"/>
            <w:vAlign w:val="bottom"/>
          </w:tcPr>
          <w:p>
            <w:pPr>
              <w:spacing w:after="0"/>
              <w:rPr>
                <w:sz w:val="2"/>
                <w:szCs w:val="2"/>
                <w:color w:val="auto"/>
              </w:rPr>
            </w:pPr>
          </w:p>
        </w:tc>
      </w:tr>
      <w:tr>
        <w:trPr>
          <w:trHeight w:val="234"/>
        </w:trPr>
        <w:tc>
          <w:tcPr>
            <w:tcW w:w="5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480" w:type="dxa"/>
            <w:vAlign w:val="bottom"/>
            <w:gridSpan w:val="3"/>
          </w:tcPr>
          <w:p>
            <w:pPr>
              <w:jc w:val="center"/>
              <w:ind w:right="940"/>
              <w:spacing w:after="0"/>
              <w:rPr>
                <w:sz w:val="20"/>
                <w:szCs w:val="20"/>
                <w:color w:val="auto"/>
              </w:rPr>
            </w:pPr>
            <w:r>
              <w:rPr>
                <w:rFonts w:ascii="Arial" w:cs="Arial" w:eastAsia="Arial" w:hAnsi="Arial"/>
                <w:sz w:val="13"/>
                <w:szCs w:val="13"/>
                <w:b w:val="1"/>
                <w:bCs w:val="1"/>
                <w:color w:val="auto"/>
                <w:w w:val="93"/>
              </w:rPr>
              <w:t>Larry K. Harvey</w:t>
            </w:r>
          </w:p>
        </w:tc>
        <w:tc>
          <w:tcPr>
            <w:tcW w:w="14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40" w:type="dxa"/>
            <w:vAlign w:val="bottom"/>
          </w:tcPr>
          <w:p>
            <w:pPr>
              <w:spacing w:after="0"/>
              <w:rPr>
                <w:sz w:val="20"/>
                <w:szCs w:val="20"/>
                <w:color w:val="auto"/>
              </w:rPr>
            </w:pPr>
          </w:p>
        </w:tc>
      </w:tr>
      <w:tr>
        <w:trPr>
          <w:trHeight w:val="543"/>
        </w:trPr>
        <w:tc>
          <w:tcPr>
            <w:tcW w:w="5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920" w:type="dxa"/>
            <w:vAlign w:val="bottom"/>
            <w:gridSpan w:val="2"/>
          </w:tcPr>
          <w:p>
            <w:pPr>
              <w:jc w:val="center"/>
              <w:ind w:left="546"/>
              <w:spacing w:after="0"/>
              <w:rPr>
                <w:sz w:val="20"/>
                <w:szCs w:val="20"/>
                <w:color w:val="auto"/>
              </w:rPr>
            </w:pPr>
            <w:r>
              <w:rPr>
                <w:rFonts w:ascii="Arial" w:cs="Arial" w:eastAsia="Arial" w:hAnsi="Arial"/>
                <w:sz w:val="18"/>
                <w:szCs w:val="18"/>
                <w:color w:val="auto"/>
              </w:rPr>
              <w:t>*</w:t>
            </w:r>
          </w:p>
        </w:tc>
        <w:tc>
          <w:tcPr>
            <w:tcW w:w="1560" w:type="dxa"/>
            <w:vAlign w:val="bottom"/>
          </w:tcPr>
          <w:p>
            <w:pPr>
              <w:spacing w:after="0"/>
              <w:rPr>
                <w:sz w:val="24"/>
                <w:szCs w:val="24"/>
                <w:color w:val="auto"/>
              </w:rPr>
            </w:pPr>
          </w:p>
        </w:tc>
        <w:tc>
          <w:tcPr>
            <w:tcW w:w="3140" w:type="dxa"/>
            <w:vAlign w:val="bottom"/>
            <w:gridSpan w:val="3"/>
          </w:tcPr>
          <w:p>
            <w:pPr>
              <w:ind w:left="20"/>
              <w:spacing w:after="0"/>
              <w:rPr>
                <w:sz w:val="20"/>
                <w:szCs w:val="20"/>
                <w:color w:val="auto"/>
              </w:rPr>
            </w:pPr>
            <w:r>
              <w:rPr>
                <w:rFonts w:ascii="Arial" w:cs="Arial" w:eastAsia="Arial" w:hAnsi="Arial"/>
                <w:sz w:val="18"/>
                <w:szCs w:val="18"/>
                <w:color w:val="auto"/>
              </w:rPr>
              <w:t>Director</w:t>
            </w:r>
          </w:p>
        </w:tc>
        <w:tc>
          <w:tcPr>
            <w:tcW w:w="1400" w:type="dxa"/>
            <w:vAlign w:val="bottom"/>
            <w:gridSpan w:val="3"/>
          </w:tcPr>
          <w:p>
            <w:pPr>
              <w:ind w:left="80"/>
              <w:spacing w:after="0"/>
              <w:rPr>
                <w:sz w:val="20"/>
                <w:szCs w:val="20"/>
                <w:color w:val="auto"/>
              </w:rPr>
            </w:pPr>
            <w:r>
              <w:rPr>
                <w:rFonts w:ascii="Arial" w:cs="Arial" w:eastAsia="Arial" w:hAnsi="Arial"/>
                <w:sz w:val="18"/>
                <w:szCs w:val="18"/>
                <w:color w:val="auto"/>
                <w:w w:val="88"/>
              </w:rPr>
              <w:t>February 23, 2016</w:t>
            </w:r>
          </w:p>
        </w:tc>
      </w:tr>
      <w:tr>
        <w:trPr>
          <w:trHeight w:val="27"/>
        </w:trPr>
        <w:tc>
          <w:tcPr>
            <w:tcW w:w="5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340" w:type="dxa"/>
            <w:vAlign w:val="bottom"/>
          </w:tcPr>
          <w:p>
            <w:pPr>
              <w:spacing w:after="0"/>
              <w:rPr>
                <w:sz w:val="2"/>
                <w:szCs w:val="2"/>
                <w:color w:val="auto"/>
              </w:rPr>
            </w:pPr>
          </w:p>
        </w:tc>
      </w:tr>
      <w:tr>
        <w:trPr>
          <w:trHeight w:val="234"/>
        </w:trPr>
        <w:tc>
          <w:tcPr>
            <w:tcW w:w="5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480" w:type="dxa"/>
            <w:vAlign w:val="bottom"/>
            <w:gridSpan w:val="3"/>
          </w:tcPr>
          <w:p>
            <w:pPr>
              <w:jc w:val="center"/>
              <w:ind w:right="920"/>
              <w:spacing w:after="0"/>
              <w:rPr>
                <w:sz w:val="20"/>
                <w:szCs w:val="20"/>
                <w:color w:val="auto"/>
              </w:rPr>
            </w:pPr>
            <w:r>
              <w:rPr>
                <w:rFonts w:ascii="Arial" w:cs="Arial" w:eastAsia="Arial" w:hAnsi="Arial"/>
                <w:sz w:val="13"/>
                <w:szCs w:val="13"/>
                <w:b w:val="1"/>
                <w:bCs w:val="1"/>
                <w:color w:val="auto"/>
                <w:w w:val="88"/>
              </w:rPr>
              <w:t>Prue B. Larocca</w:t>
            </w:r>
          </w:p>
        </w:tc>
        <w:tc>
          <w:tcPr>
            <w:tcW w:w="14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40" w:type="dxa"/>
            <w:vAlign w:val="bottom"/>
          </w:tcPr>
          <w:p>
            <w:pPr>
              <w:spacing w:after="0"/>
              <w:rPr>
                <w:sz w:val="20"/>
                <w:szCs w:val="20"/>
                <w:color w:val="auto"/>
              </w:rPr>
            </w:pPr>
          </w:p>
        </w:tc>
      </w:tr>
      <w:tr>
        <w:trPr>
          <w:trHeight w:val="543"/>
        </w:trPr>
        <w:tc>
          <w:tcPr>
            <w:tcW w:w="5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920" w:type="dxa"/>
            <w:vAlign w:val="bottom"/>
            <w:gridSpan w:val="2"/>
          </w:tcPr>
          <w:p>
            <w:pPr>
              <w:jc w:val="center"/>
              <w:ind w:left="546"/>
              <w:spacing w:after="0"/>
              <w:rPr>
                <w:sz w:val="20"/>
                <w:szCs w:val="20"/>
                <w:color w:val="auto"/>
              </w:rPr>
            </w:pPr>
            <w:r>
              <w:rPr>
                <w:rFonts w:ascii="Arial" w:cs="Arial" w:eastAsia="Arial" w:hAnsi="Arial"/>
                <w:sz w:val="18"/>
                <w:szCs w:val="18"/>
                <w:color w:val="auto"/>
              </w:rPr>
              <w:t>*</w:t>
            </w:r>
          </w:p>
        </w:tc>
        <w:tc>
          <w:tcPr>
            <w:tcW w:w="1560" w:type="dxa"/>
            <w:vAlign w:val="bottom"/>
          </w:tcPr>
          <w:p>
            <w:pPr>
              <w:spacing w:after="0"/>
              <w:rPr>
                <w:sz w:val="24"/>
                <w:szCs w:val="24"/>
                <w:color w:val="auto"/>
              </w:rPr>
            </w:pPr>
          </w:p>
        </w:tc>
        <w:tc>
          <w:tcPr>
            <w:tcW w:w="3140" w:type="dxa"/>
            <w:vAlign w:val="bottom"/>
            <w:gridSpan w:val="3"/>
          </w:tcPr>
          <w:p>
            <w:pPr>
              <w:ind w:left="20"/>
              <w:spacing w:after="0"/>
              <w:rPr>
                <w:sz w:val="20"/>
                <w:szCs w:val="20"/>
                <w:color w:val="auto"/>
              </w:rPr>
            </w:pPr>
            <w:r>
              <w:rPr>
                <w:rFonts w:ascii="Arial" w:cs="Arial" w:eastAsia="Arial" w:hAnsi="Arial"/>
                <w:sz w:val="18"/>
                <w:szCs w:val="18"/>
                <w:color w:val="auto"/>
              </w:rPr>
              <w:t>Director</w:t>
            </w:r>
          </w:p>
        </w:tc>
        <w:tc>
          <w:tcPr>
            <w:tcW w:w="1400" w:type="dxa"/>
            <w:vAlign w:val="bottom"/>
            <w:gridSpan w:val="3"/>
          </w:tcPr>
          <w:p>
            <w:pPr>
              <w:ind w:left="80"/>
              <w:spacing w:after="0"/>
              <w:rPr>
                <w:sz w:val="20"/>
                <w:szCs w:val="20"/>
                <w:color w:val="auto"/>
              </w:rPr>
            </w:pPr>
            <w:r>
              <w:rPr>
                <w:rFonts w:ascii="Arial" w:cs="Arial" w:eastAsia="Arial" w:hAnsi="Arial"/>
                <w:sz w:val="18"/>
                <w:szCs w:val="18"/>
                <w:color w:val="auto"/>
                <w:w w:val="88"/>
              </w:rPr>
              <w:t>February 23, 2016</w:t>
            </w:r>
          </w:p>
        </w:tc>
      </w:tr>
      <w:tr>
        <w:trPr>
          <w:trHeight w:val="27"/>
        </w:trPr>
        <w:tc>
          <w:tcPr>
            <w:tcW w:w="5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340" w:type="dxa"/>
            <w:vAlign w:val="bottom"/>
          </w:tcPr>
          <w:p>
            <w:pPr>
              <w:spacing w:after="0"/>
              <w:rPr>
                <w:sz w:val="2"/>
                <w:szCs w:val="2"/>
                <w:color w:val="auto"/>
              </w:rPr>
            </w:pPr>
          </w:p>
        </w:tc>
      </w:tr>
      <w:tr>
        <w:trPr>
          <w:trHeight w:val="234"/>
        </w:trPr>
        <w:tc>
          <w:tcPr>
            <w:tcW w:w="5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480" w:type="dxa"/>
            <w:vAlign w:val="bottom"/>
            <w:gridSpan w:val="3"/>
          </w:tcPr>
          <w:p>
            <w:pPr>
              <w:jc w:val="center"/>
              <w:ind w:right="920"/>
              <w:spacing w:after="0"/>
              <w:rPr>
                <w:sz w:val="20"/>
                <w:szCs w:val="20"/>
                <w:color w:val="auto"/>
              </w:rPr>
            </w:pPr>
            <w:r>
              <w:rPr>
                <w:rFonts w:ascii="Arial" w:cs="Arial" w:eastAsia="Arial" w:hAnsi="Arial"/>
                <w:sz w:val="13"/>
                <w:szCs w:val="13"/>
                <w:b w:val="1"/>
                <w:bCs w:val="1"/>
                <w:color w:val="auto"/>
                <w:w w:val="91"/>
              </w:rPr>
              <w:t>Alvin N. Puryear</w:t>
            </w:r>
          </w:p>
        </w:tc>
        <w:tc>
          <w:tcPr>
            <w:tcW w:w="14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40" w:type="dxa"/>
            <w:vAlign w:val="bottom"/>
          </w:tcPr>
          <w:p>
            <w:pPr>
              <w:spacing w:after="0"/>
              <w:rPr>
                <w:sz w:val="20"/>
                <w:szCs w:val="20"/>
                <w:color w:val="auto"/>
              </w:rPr>
            </w:pPr>
          </w:p>
        </w:tc>
      </w:tr>
      <w:tr>
        <w:trPr>
          <w:trHeight w:val="537"/>
        </w:trPr>
        <w:tc>
          <w:tcPr>
            <w:tcW w:w="540" w:type="dxa"/>
            <w:vAlign w:val="bottom"/>
          </w:tcPr>
          <w:p>
            <w:pPr>
              <w:ind w:left="100"/>
              <w:spacing w:after="0"/>
              <w:rPr>
                <w:sz w:val="20"/>
                <w:szCs w:val="20"/>
                <w:color w:val="auto"/>
              </w:rPr>
            </w:pPr>
            <w:r>
              <w:rPr>
                <w:rFonts w:ascii="Arial" w:cs="Arial" w:eastAsia="Arial" w:hAnsi="Arial"/>
                <w:sz w:val="16"/>
                <w:szCs w:val="16"/>
                <w:color w:val="auto"/>
              </w:rPr>
              <w:t>*By:</w:t>
            </w:r>
          </w:p>
        </w:tc>
        <w:tc>
          <w:tcPr>
            <w:tcW w:w="920" w:type="dxa"/>
            <w:vAlign w:val="bottom"/>
          </w:tcPr>
          <w:p>
            <w:pPr>
              <w:ind w:left="760"/>
              <w:spacing w:after="0"/>
              <w:rPr>
                <w:sz w:val="20"/>
                <w:szCs w:val="20"/>
                <w:color w:val="auto"/>
              </w:rPr>
            </w:pPr>
            <w:r>
              <w:rPr>
                <w:rFonts w:ascii="Arial" w:cs="Arial" w:eastAsia="Arial" w:hAnsi="Arial"/>
                <w:sz w:val="16"/>
                <w:szCs w:val="16"/>
                <w:color w:val="auto"/>
                <w:w w:val="82"/>
              </w:rPr>
              <w:t>/s/</w:t>
            </w:r>
          </w:p>
        </w:tc>
        <w:tc>
          <w:tcPr>
            <w:tcW w:w="2480" w:type="dxa"/>
            <w:vAlign w:val="bottom"/>
            <w:gridSpan w:val="3"/>
          </w:tcPr>
          <w:p>
            <w:pPr>
              <w:ind w:left="160"/>
              <w:spacing w:after="0"/>
              <w:rPr>
                <w:sz w:val="20"/>
                <w:szCs w:val="20"/>
                <w:color w:val="auto"/>
              </w:rPr>
            </w:pPr>
            <w:r>
              <w:rPr>
                <w:rFonts w:ascii="Arial" w:cs="Arial" w:eastAsia="Arial" w:hAnsi="Arial"/>
                <w:sz w:val="16"/>
                <w:szCs w:val="16"/>
                <w:color w:val="auto"/>
              </w:rPr>
              <w:t>JOHN R. ERICKSON</w:t>
            </w:r>
          </w:p>
        </w:tc>
        <w:tc>
          <w:tcPr>
            <w:tcW w:w="14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r>
      <w:tr>
        <w:trPr>
          <w:trHeight w:val="33"/>
        </w:trPr>
        <w:tc>
          <w:tcPr>
            <w:tcW w:w="54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340" w:type="dxa"/>
            <w:vAlign w:val="bottom"/>
          </w:tcPr>
          <w:p>
            <w:pPr>
              <w:spacing w:after="0"/>
              <w:rPr>
                <w:sz w:val="2"/>
                <w:szCs w:val="2"/>
                <w:color w:val="auto"/>
              </w:rPr>
            </w:pPr>
          </w:p>
        </w:tc>
      </w:tr>
      <w:tr>
        <w:trPr>
          <w:trHeight w:val="234"/>
        </w:trPr>
        <w:tc>
          <w:tcPr>
            <w:tcW w:w="5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480" w:type="dxa"/>
            <w:vAlign w:val="bottom"/>
            <w:gridSpan w:val="3"/>
          </w:tcPr>
          <w:p>
            <w:pPr>
              <w:jc w:val="center"/>
              <w:ind w:right="940"/>
              <w:spacing w:after="0"/>
              <w:rPr>
                <w:sz w:val="20"/>
                <w:szCs w:val="20"/>
                <w:color w:val="auto"/>
              </w:rPr>
            </w:pPr>
            <w:r>
              <w:rPr>
                <w:rFonts w:ascii="Arial" w:cs="Arial" w:eastAsia="Arial" w:hAnsi="Arial"/>
                <w:sz w:val="13"/>
                <w:szCs w:val="13"/>
                <w:b w:val="1"/>
                <w:bCs w:val="1"/>
                <w:color w:val="auto"/>
                <w:w w:val="88"/>
              </w:rPr>
              <w:t>John R. Erickson</w:t>
            </w:r>
          </w:p>
        </w:tc>
        <w:tc>
          <w:tcPr>
            <w:tcW w:w="14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40" w:type="dxa"/>
            <w:vAlign w:val="bottom"/>
          </w:tcPr>
          <w:p>
            <w:pPr>
              <w:spacing w:after="0"/>
              <w:rPr>
                <w:sz w:val="20"/>
                <w:szCs w:val="20"/>
                <w:color w:val="auto"/>
              </w:rPr>
            </w:pPr>
          </w:p>
        </w:tc>
      </w:tr>
      <w:tr>
        <w:trPr>
          <w:trHeight w:val="270"/>
        </w:trPr>
        <w:tc>
          <w:tcPr>
            <w:tcW w:w="54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2480" w:type="dxa"/>
            <w:vAlign w:val="bottom"/>
            <w:gridSpan w:val="3"/>
          </w:tcPr>
          <w:p>
            <w:pPr>
              <w:jc w:val="center"/>
              <w:ind w:right="920"/>
              <w:spacing w:after="0"/>
              <w:rPr>
                <w:sz w:val="20"/>
                <w:szCs w:val="20"/>
                <w:color w:val="auto"/>
              </w:rPr>
            </w:pPr>
            <w:r>
              <w:rPr>
                <w:rFonts w:ascii="Arial" w:cs="Arial" w:eastAsia="Arial" w:hAnsi="Arial"/>
                <w:sz w:val="13"/>
                <w:szCs w:val="13"/>
                <w:b w:val="1"/>
                <w:bCs w:val="1"/>
                <w:i w:val="1"/>
                <w:iCs w:val="1"/>
                <w:color w:val="auto"/>
                <w:w w:val="86"/>
              </w:rPr>
              <w:t>Attorney-in-fact</w:t>
            </w:r>
          </w:p>
        </w:tc>
        <w:tc>
          <w:tcPr>
            <w:tcW w:w="146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42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340" w:type="dxa"/>
            <w:vAlign w:val="bottom"/>
          </w:tcPr>
          <w:p>
            <w:pPr>
              <w:spacing w:after="0"/>
              <w:rPr>
                <w:sz w:val="23"/>
                <w:szCs w:val="23"/>
                <w:color w:val="auto"/>
              </w:rPr>
            </w:pPr>
          </w:p>
        </w:tc>
      </w:tr>
    </w:tbl>
    <w:p>
      <w:pPr>
        <w:spacing w:after="0" w:line="200" w:lineRule="exact"/>
        <w:rPr>
          <w:sz w:val="20"/>
          <w:szCs w:val="20"/>
          <w:color w:val="auto"/>
        </w:rPr>
      </w:pPr>
    </w:p>
    <w:p>
      <w:pPr>
        <w:sectPr>
          <w:pgSz w:w="11900" w:h="16838" w:orient="portrait"/>
          <w:cols w:equalWidth="0" w:num="1">
            <w:col w:w="11420"/>
          </w:cols>
          <w:pgMar w:left="240" w:top="580" w:right="239" w:bottom="904" w:gutter="0" w:footer="0" w:header="0"/>
        </w:sectPr>
      </w:pPr>
    </w:p>
    <w:p>
      <w:pPr>
        <w:spacing w:after="0" w:line="261"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111</w:t>
      </w:r>
    </w:p>
    <w:p>
      <w:pPr>
        <w:sectPr>
          <w:pgSz w:w="11900" w:h="16838" w:orient="portrait"/>
          <w:cols w:equalWidth="0" w:num="1">
            <w:col w:w="11420"/>
          </w:cols>
          <w:pgMar w:left="240" w:top="580" w:right="239" w:bottom="904" w:gutter="0" w:footer="0" w:header="0"/>
          <w:type w:val="continuous"/>
        </w:sectPr>
      </w:pPr>
    </w:p>
    <w:bookmarkStart w:id="112" w:name="page113"/>
    <w:bookmarkEnd w:id="112"/>
    <w:p>
      <w:pPr>
        <w:jc w:val="right"/>
        <w:spacing w:after="0"/>
        <w:rPr>
          <w:sz w:val="20"/>
          <w:szCs w:val="20"/>
          <w:color w:val="auto"/>
        </w:rPr>
      </w:pPr>
      <w:r>
        <w:rPr>
          <w:rFonts w:ascii="Arial" w:cs="Arial" w:eastAsia="Arial" w:hAnsi="Arial"/>
          <w:sz w:val="18"/>
          <w:szCs w:val="18"/>
          <w:b w:val="1"/>
          <w:bCs w:val="1"/>
          <w:color w:val="auto"/>
        </w:rPr>
        <w:t>Exhibit 12.1</w:t>
      </w: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Ratio of Earnings to Fixed Charges and Ratio of Earnings to Combined Fixed Charges and Preferred Stock Dividends</w:t>
      </w:r>
    </w:p>
    <w:p>
      <w:pPr>
        <w:spacing w:after="0" w:line="200" w:lineRule="exact"/>
        <w:rPr>
          <w:sz w:val="20"/>
          <w:szCs w:val="20"/>
          <w:color w:val="auto"/>
        </w:rPr>
      </w:pPr>
    </w:p>
    <w:p>
      <w:pPr>
        <w:spacing w:after="0" w:line="286"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The following table sets forth the calculation of our ratio of earnings to fixed charges and our ratio of earnings to combined fixed charges and preferred stock dividends for the periods shown (in millions):</w:t>
      </w:r>
    </w:p>
    <w:p>
      <w:pPr>
        <w:spacing w:after="0" w:line="200" w:lineRule="exact"/>
        <w:rPr>
          <w:sz w:val="20"/>
          <w:szCs w:val="20"/>
          <w:color w:val="auto"/>
        </w:rPr>
      </w:pPr>
    </w:p>
    <w:p>
      <w:pPr>
        <w:spacing w:after="0" w:line="309"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5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ind w:left="20"/>
              <w:spacing w:after="0"/>
              <w:rPr>
                <w:sz w:val="20"/>
                <w:szCs w:val="20"/>
                <w:color w:val="auto"/>
              </w:rPr>
            </w:pPr>
            <w:r>
              <w:rPr>
                <w:rFonts w:ascii="Arial" w:cs="Arial" w:eastAsia="Arial" w:hAnsi="Arial"/>
                <w:sz w:val="16"/>
                <w:szCs w:val="16"/>
                <w:b w:val="1"/>
                <w:bCs w:val="1"/>
                <w:color w:val="auto"/>
              </w:rPr>
              <w:t>Fiscal Year</w:t>
            </w: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tcPr>
          <w:p>
            <w:pPr>
              <w:spacing w:after="0"/>
              <w:rPr>
                <w:sz w:val="18"/>
                <w:szCs w:val="18"/>
                <w:color w:val="auto"/>
              </w:rPr>
            </w:pPr>
          </w:p>
        </w:tc>
      </w:tr>
      <w:tr>
        <w:trPr>
          <w:trHeight w:val="33"/>
        </w:trPr>
        <w:tc>
          <w:tcPr>
            <w:tcW w:w="558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31"/>
        </w:trPr>
        <w:tc>
          <w:tcPr>
            <w:tcW w:w="55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0" w:type="dxa"/>
            <w:vAlign w:val="bottom"/>
          </w:tcPr>
          <w:p>
            <w:pPr>
              <w:jc w:val="right"/>
              <w:ind w:right="299"/>
              <w:spacing w:after="0"/>
              <w:rPr>
                <w:sz w:val="20"/>
                <w:szCs w:val="20"/>
                <w:color w:val="auto"/>
              </w:rPr>
            </w:pPr>
            <w:r>
              <w:rPr>
                <w:rFonts w:ascii="Arial" w:cs="Arial" w:eastAsia="Arial" w:hAnsi="Arial"/>
                <w:sz w:val="16"/>
                <w:szCs w:val="16"/>
                <w:b w:val="1"/>
                <w:bCs w:val="1"/>
                <w:color w:val="auto"/>
              </w:rPr>
              <w:t>2015</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0" w:type="dxa"/>
            <w:vAlign w:val="bottom"/>
          </w:tcPr>
          <w:p>
            <w:pPr>
              <w:jc w:val="right"/>
              <w:ind w:right="299"/>
              <w:spacing w:after="0"/>
              <w:rPr>
                <w:sz w:val="20"/>
                <w:szCs w:val="20"/>
                <w:color w:val="auto"/>
              </w:rPr>
            </w:pPr>
            <w:r>
              <w:rPr>
                <w:rFonts w:ascii="Arial" w:cs="Arial" w:eastAsia="Arial" w:hAnsi="Arial"/>
                <w:sz w:val="16"/>
                <w:szCs w:val="16"/>
                <w:b w:val="1"/>
                <w:bCs w:val="1"/>
                <w:color w:val="auto"/>
              </w:rPr>
              <w:t>2014</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80" w:type="dxa"/>
            <w:vAlign w:val="bottom"/>
          </w:tcPr>
          <w:p>
            <w:pPr>
              <w:jc w:val="right"/>
              <w:ind w:right="299"/>
              <w:spacing w:after="0"/>
              <w:rPr>
                <w:sz w:val="20"/>
                <w:szCs w:val="20"/>
                <w:color w:val="auto"/>
              </w:rPr>
            </w:pPr>
            <w:r>
              <w:rPr>
                <w:rFonts w:ascii="Arial" w:cs="Arial" w:eastAsia="Arial" w:hAnsi="Arial"/>
                <w:sz w:val="16"/>
                <w:szCs w:val="16"/>
                <w:b w:val="1"/>
                <w:bCs w:val="1"/>
                <w:color w:val="auto"/>
              </w:rPr>
              <w:t>2013</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0" w:type="dxa"/>
            <w:vAlign w:val="bottom"/>
          </w:tcPr>
          <w:p>
            <w:pPr>
              <w:jc w:val="right"/>
              <w:ind w:right="299"/>
              <w:spacing w:after="0"/>
              <w:rPr>
                <w:sz w:val="20"/>
                <w:szCs w:val="20"/>
                <w:color w:val="auto"/>
              </w:rPr>
            </w:pPr>
            <w:r>
              <w:rPr>
                <w:rFonts w:ascii="Arial" w:cs="Arial" w:eastAsia="Arial" w:hAnsi="Arial"/>
                <w:sz w:val="16"/>
                <w:szCs w:val="16"/>
                <w:b w:val="1"/>
                <w:bCs w:val="1"/>
                <w:color w:val="auto"/>
              </w:rPr>
              <w:t>2012</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0" w:type="dxa"/>
            <w:vAlign w:val="bottom"/>
          </w:tcPr>
          <w:p>
            <w:pPr>
              <w:jc w:val="right"/>
              <w:ind w:right="299"/>
              <w:spacing w:after="0"/>
              <w:rPr>
                <w:sz w:val="20"/>
                <w:szCs w:val="20"/>
                <w:color w:val="auto"/>
              </w:rPr>
            </w:pPr>
            <w:r>
              <w:rPr>
                <w:rFonts w:ascii="Arial" w:cs="Arial" w:eastAsia="Arial" w:hAnsi="Arial"/>
                <w:sz w:val="16"/>
                <w:szCs w:val="16"/>
                <w:b w:val="1"/>
                <w:bCs w:val="1"/>
                <w:color w:val="auto"/>
              </w:rPr>
              <w:t>2011</w:t>
            </w:r>
          </w:p>
        </w:tc>
      </w:tr>
      <w:tr>
        <w:trPr>
          <w:trHeight w:val="33"/>
        </w:trPr>
        <w:tc>
          <w:tcPr>
            <w:tcW w:w="55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44"/>
        </w:trPr>
        <w:tc>
          <w:tcPr>
            <w:tcW w:w="5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Ratio of earnings to fixed charges:</w:t>
            </w:r>
          </w:p>
        </w:tc>
        <w:tc>
          <w:tcPr>
            <w:tcW w:w="2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r>
      <w:tr>
        <w:trPr>
          <w:trHeight w:val="270"/>
        </w:trPr>
        <w:tc>
          <w:tcPr>
            <w:tcW w:w="5580" w:type="dxa"/>
            <w:vAlign w:val="bottom"/>
          </w:tcPr>
          <w:p>
            <w:pPr>
              <w:ind w:left="120"/>
              <w:spacing w:after="0"/>
              <w:rPr>
                <w:sz w:val="20"/>
                <w:szCs w:val="20"/>
                <w:color w:val="auto"/>
              </w:rPr>
            </w:pPr>
            <w:r>
              <w:rPr>
                <w:rFonts w:ascii="Arial" w:cs="Arial" w:eastAsia="Arial" w:hAnsi="Arial"/>
                <w:sz w:val="16"/>
                <w:szCs w:val="16"/>
                <w:color w:val="auto"/>
              </w:rPr>
              <w:t xml:space="preserve">Fixed charges </w:t>
            </w:r>
            <w:r>
              <w:rPr>
                <w:rFonts w:ascii="Arial" w:cs="Arial" w:eastAsia="Arial" w:hAnsi="Arial"/>
                <w:sz w:val="21"/>
                <w:szCs w:val="21"/>
                <w:color w:val="auto"/>
                <w:vertAlign w:val="superscript"/>
              </w:rPr>
              <w:t>1</w:t>
            </w:r>
          </w:p>
        </w:tc>
        <w:tc>
          <w:tcPr>
            <w:tcW w:w="280" w:type="dxa"/>
            <w:vAlign w:val="bottom"/>
          </w:tcPr>
          <w:p>
            <w:pPr>
              <w:jc w:val="right"/>
              <w:spacing w:after="0"/>
              <w:rPr>
                <w:sz w:val="20"/>
                <w:szCs w:val="20"/>
                <w:color w:val="auto"/>
              </w:rPr>
            </w:pPr>
            <w:r>
              <w:rPr>
                <w:rFonts w:ascii="Arial" w:cs="Arial" w:eastAsia="Arial" w:hAnsi="Arial"/>
                <w:sz w:val="16"/>
                <w:szCs w:val="16"/>
                <w:color w:val="auto"/>
              </w:rPr>
              <w:t>$</w:t>
            </w: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330</w:t>
            </w:r>
          </w:p>
        </w:tc>
        <w:tc>
          <w:tcPr>
            <w:tcW w:w="120" w:type="dxa"/>
            <w:vAlign w:val="bottom"/>
          </w:tcPr>
          <w:p>
            <w:pPr>
              <w:spacing w:after="0"/>
              <w:rPr>
                <w:sz w:val="23"/>
                <w:szCs w:val="23"/>
                <w:color w:val="auto"/>
              </w:rPr>
            </w:pPr>
          </w:p>
        </w:tc>
        <w:tc>
          <w:tcPr>
            <w:tcW w:w="2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tcPr>
          <w:p>
            <w:pPr>
              <w:jc w:val="right"/>
              <w:ind w:right="39"/>
              <w:spacing w:after="0"/>
              <w:rPr>
                <w:sz w:val="20"/>
                <w:szCs w:val="20"/>
                <w:color w:val="auto"/>
              </w:rPr>
            </w:pPr>
            <w:r>
              <w:rPr>
                <w:rFonts w:ascii="Arial" w:cs="Arial" w:eastAsia="Arial" w:hAnsi="Arial"/>
                <w:sz w:val="16"/>
                <w:szCs w:val="16"/>
                <w:color w:val="auto"/>
              </w:rPr>
              <w:t>372</w:t>
            </w:r>
          </w:p>
        </w:tc>
        <w:tc>
          <w:tcPr>
            <w:tcW w:w="100" w:type="dxa"/>
            <w:vAlign w:val="bottom"/>
          </w:tcPr>
          <w:p>
            <w:pPr>
              <w:spacing w:after="0"/>
              <w:rPr>
                <w:sz w:val="23"/>
                <w:szCs w:val="23"/>
                <w:color w:val="auto"/>
              </w:rPr>
            </w:pP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19"/>
              <w:spacing w:after="0"/>
              <w:rPr>
                <w:sz w:val="20"/>
                <w:szCs w:val="20"/>
                <w:color w:val="auto"/>
              </w:rPr>
            </w:pPr>
            <w:r>
              <w:rPr>
                <w:rFonts w:ascii="Arial" w:cs="Arial" w:eastAsia="Arial" w:hAnsi="Arial"/>
                <w:sz w:val="16"/>
                <w:szCs w:val="16"/>
                <w:color w:val="auto"/>
              </w:rPr>
              <w:t>536</w:t>
            </w:r>
          </w:p>
        </w:tc>
        <w:tc>
          <w:tcPr>
            <w:tcW w:w="120" w:type="dxa"/>
            <w:vAlign w:val="bottom"/>
          </w:tcPr>
          <w:p>
            <w:pPr>
              <w:spacing w:after="0"/>
              <w:rPr>
                <w:sz w:val="23"/>
                <w:szCs w:val="23"/>
                <w:color w:val="auto"/>
              </w:rPr>
            </w:pPr>
          </w:p>
        </w:tc>
        <w:tc>
          <w:tcPr>
            <w:tcW w:w="2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tcPr>
          <w:p>
            <w:pPr>
              <w:jc w:val="right"/>
              <w:ind w:right="39"/>
              <w:spacing w:after="0"/>
              <w:rPr>
                <w:sz w:val="20"/>
                <w:szCs w:val="20"/>
                <w:color w:val="auto"/>
              </w:rPr>
            </w:pPr>
            <w:r>
              <w:rPr>
                <w:rFonts w:ascii="Arial" w:cs="Arial" w:eastAsia="Arial" w:hAnsi="Arial"/>
                <w:sz w:val="16"/>
                <w:szCs w:val="16"/>
                <w:color w:val="auto"/>
              </w:rPr>
              <w:t>512</w:t>
            </w:r>
          </w:p>
        </w:tc>
        <w:tc>
          <w:tcPr>
            <w:tcW w:w="100" w:type="dxa"/>
            <w:vAlign w:val="bottom"/>
          </w:tcPr>
          <w:p>
            <w:pPr>
              <w:spacing w:after="0"/>
              <w:rPr>
                <w:sz w:val="23"/>
                <w:szCs w:val="23"/>
                <w:color w:val="auto"/>
              </w:rPr>
            </w:pPr>
          </w:p>
        </w:tc>
        <w:tc>
          <w:tcPr>
            <w:tcW w:w="2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285</w:t>
            </w:r>
          </w:p>
        </w:tc>
      </w:tr>
      <w:tr>
        <w:trPr>
          <w:trHeight w:val="220"/>
        </w:trPr>
        <w:tc>
          <w:tcPr>
            <w:tcW w:w="5580" w:type="dxa"/>
            <w:vAlign w:val="bottom"/>
            <w:shd w:val="clear" w:color="auto" w:fill="CCEEFF"/>
          </w:tcPr>
          <w:p>
            <w:pPr>
              <w:ind w:left="120"/>
              <w:spacing w:after="0"/>
              <w:rPr>
                <w:sz w:val="20"/>
                <w:szCs w:val="20"/>
                <w:color w:val="auto"/>
              </w:rPr>
            </w:pPr>
            <w:r>
              <w:rPr>
                <w:rFonts w:ascii="Arial" w:cs="Arial" w:eastAsia="Arial" w:hAnsi="Arial"/>
                <w:sz w:val="16"/>
                <w:szCs w:val="16"/>
                <w:color w:val="auto"/>
              </w:rPr>
              <w:t>Net income (loss) available (attributable) to common shareholders before</w:t>
            </w:r>
          </w:p>
        </w:tc>
        <w:tc>
          <w:tcPr>
            <w:tcW w:w="28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r>
      <w:tr>
        <w:trPr>
          <w:trHeight w:val="239"/>
        </w:trPr>
        <w:tc>
          <w:tcPr>
            <w:tcW w:w="5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provision for income taxes</w:t>
            </w:r>
          </w:p>
        </w:tc>
        <w:tc>
          <w:tcPr>
            <w:tcW w:w="28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187</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(256)</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1,258</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1,286</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776</w:t>
            </w:r>
          </w:p>
        </w:tc>
      </w:tr>
      <w:tr>
        <w:trPr>
          <w:trHeight w:val="284"/>
        </w:trPr>
        <w:tc>
          <w:tcPr>
            <w:tcW w:w="5580" w:type="dxa"/>
            <w:vAlign w:val="bottom"/>
            <w:tcBorders>
              <w:bottom w:val="single" w:sz="8" w:color="CCEEFF"/>
            </w:tcBorders>
          </w:tcPr>
          <w:p>
            <w:pPr>
              <w:ind w:left="120"/>
              <w:spacing w:after="0"/>
              <w:rPr>
                <w:sz w:val="20"/>
                <w:szCs w:val="20"/>
                <w:color w:val="auto"/>
              </w:rPr>
            </w:pPr>
            <w:r>
              <w:rPr>
                <w:rFonts w:ascii="Arial" w:cs="Arial" w:eastAsia="Arial" w:hAnsi="Arial"/>
                <w:sz w:val="16"/>
                <w:szCs w:val="16"/>
                <w:color w:val="auto"/>
              </w:rPr>
              <w:t>Earnings</w:t>
            </w: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517</w:t>
            </w:r>
          </w:p>
        </w:tc>
        <w:tc>
          <w:tcPr>
            <w:tcW w:w="120" w:type="dxa"/>
            <w:vAlign w:val="bottom"/>
            <w:tcBorders>
              <w:bottom w:val="single" w:sz="8" w:color="CCEEFF"/>
            </w:tcBorders>
          </w:tcPr>
          <w:p>
            <w:pPr>
              <w:spacing w:after="0"/>
              <w:rPr>
                <w:sz w:val="24"/>
                <w:szCs w:val="24"/>
                <w:color w:val="auto"/>
              </w:rPr>
            </w:pPr>
          </w:p>
        </w:tc>
        <w:tc>
          <w:tcPr>
            <w:tcW w:w="2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116</w:t>
            </w:r>
          </w:p>
        </w:tc>
        <w:tc>
          <w:tcPr>
            <w:tcW w:w="10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1,794</w:t>
            </w:r>
          </w:p>
        </w:tc>
        <w:tc>
          <w:tcPr>
            <w:tcW w:w="120" w:type="dxa"/>
            <w:vAlign w:val="bottom"/>
            <w:tcBorders>
              <w:bottom w:val="single" w:sz="8" w:color="CCEEFF"/>
            </w:tcBorders>
          </w:tcPr>
          <w:p>
            <w:pPr>
              <w:spacing w:after="0"/>
              <w:rPr>
                <w:sz w:val="24"/>
                <w:szCs w:val="24"/>
                <w:color w:val="auto"/>
              </w:rPr>
            </w:pPr>
          </w:p>
        </w:tc>
        <w:tc>
          <w:tcPr>
            <w:tcW w:w="2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1,798</w:t>
            </w:r>
          </w:p>
        </w:tc>
        <w:tc>
          <w:tcPr>
            <w:tcW w:w="100" w:type="dxa"/>
            <w:vAlign w:val="bottom"/>
            <w:tcBorders>
              <w:bottom w:val="single" w:sz="8" w:color="CCEEFF"/>
            </w:tcBorders>
          </w:tcPr>
          <w:p>
            <w:pPr>
              <w:spacing w:after="0"/>
              <w:rPr>
                <w:sz w:val="24"/>
                <w:szCs w:val="24"/>
                <w:color w:val="auto"/>
              </w:rPr>
            </w:pPr>
          </w:p>
        </w:tc>
        <w:tc>
          <w:tcPr>
            <w:tcW w:w="2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1,061</w:t>
            </w:r>
          </w:p>
        </w:tc>
      </w:tr>
      <w:tr>
        <w:trPr>
          <w:trHeight w:val="311"/>
        </w:trPr>
        <w:tc>
          <w:tcPr>
            <w:tcW w:w="558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r>
      <w:tr>
        <w:trPr>
          <w:trHeight w:val="290"/>
        </w:trPr>
        <w:tc>
          <w:tcPr>
            <w:tcW w:w="5580" w:type="dxa"/>
            <w:vAlign w:val="bottom"/>
            <w:tcBorders>
              <w:bottom w:val="single" w:sz="8" w:color="CCEEFF"/>
            </w:tcBorders>
          </w:tcPr>
          <w:p>
            <w:pPr>
              <w:ind w:left="120"/>
              <w:spacing w:after="0"/>
              <w:rPr>
                <w:sz w:val="20"/>
                <w:szCs w:val="20"/>
                <w:color w:val="auto"/>
              </w:rPr>
            </w:pPr>
            <w:r>
              <w:rPr>
                <w:rFonts w:ascii="Arial" w:cs="Arial" w:eastAsia="Arial" w:hAnsi="Arial"/>
                <w:sz w:val="16"/>
                <w:szCs w:val="16"/>
                <w:color w:val="auto"/>
              </w:rPr>
              <w:t>Ratio of earnings to fixed charges</w:t>
            </w:r>
          </w:p>
        </w:tc>
        <w:tc>
          <w:tcPr>
            <w:tcW w:w="28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1.57</w:t>
            </w:r>
          </w:p>
        </w:tc>
        <w:tc>
          <w:tcPr>
            <w:tcW w:w="12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0.31</w:t>
            </w:r>
          </w:p>
        </w:tc>
        <w:tc>
          <w:tcPr>
            <w:tcW w:w="10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3.35</w:t>
            </w:r>
          </w:p>
        </w:tc>
        <w:tc>
          <w:tcPr>
            <w:tcW w:w="12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3.51</w:t>
            </w:r>
          </w:p>
        </w:tc>
        <w:tc>
          <w:tcPr>
            <w:tcW w:w="10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3.72</w:t>
            </w:r>
          </w:p>
        </w:tc>
      </w:tr>
      <w:tr>
        <w:trPr>
          <w:trHeight w:val="487"/>
        </w:trPr>
        <w:tc>
          <w:tcPr>
            <w:tcW w:w="558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r>
      <w:tr>
        <w:trPr>
          <w:trHeight w:val="237"/>
        </w:trPr>
        <w:tc>
          <w:tcPr>
            <w:tcW w:w="5580" w:type="dxa"/>
            <w:vAlign w:val="bottom"/>
          </w:tcPr>
          <w:p>
            <w:pPr>
              <w:ind w:left="40"/>
              <w:spacing w:after="0"/>
              <w:rPr>
                <w:sz w:val="20"/>
                <w:szCs w:val="20"/>
                <w:color w:val="auto"/>
              </w:rPr>
            </w:pPr>
            <w:r>
              <w:rPr>
                <w:rFonts w:ascii="Arial" w:cs="Arial" w:eastAsia="Arial" w:hAnsi="Arial"/>
                <w:sz w:val="16"/>
                <w:szCs w:val="16"/>
                <w:b w:val="1"/>
                <w:bCs w:val="1"/>
                <w:color w:val="auto"/>
                <w:w w:val="95"/>
              </w:rPr>
              <w:t>Ratio of earnings to combined fixed charges and preferred stock dividends:</w:t>
            </w:r>
          </w:p>
        </w:tc>
        <w:tc>
          <w:tcPr>
            <w:tcW w:w="2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0" w:type="dxa"/>
            <w:vAlign w:val="bottom"/>
          </w:tcPr>
          <w:p>
            <w:pPr>
              <w:spacing w:after="0"/>
              <w:rPr>
                <w:sz w:val="20"/>
                <w:szCs w:val="20"/>
                <w:color w:val="auto"/>
              </w:rPr>
            </w:pPr>
          </w:p>
        </w:tc>
      </w:tr>
      <w:tr>
        <w:trPr>
          <w:trHeight w:val="33"/>
        </w:trPr>
        <w:tc>
          <w:tcPr>
            <w:tcW w:w="5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5580" w:type="dxa"/>
            <w:vAlign w:val="bottom"/>
            <w:shd w:val="clear" w:color="auto" w:fill="CCEEFF"/>
          </w:tcPr>
          <w:p>
            <w:pPr>
              <w:ind w:left="120"/>
              <w:spacing w:after="0"/>
              <w:rPr>
                <w:sz w:val="20"/>
                <w:szCs w:val="20"/>
                <w:color w:val="auto"/>
              </w:rPr>
            </w:pPr>
            <w:r>
              <w:rPr>
                <w:rFonts w:ascii="Arial" w:cs="Arial" w:eastAsia="Arial" w:hAnsi="Arial"/>
                <w:sz w:val="16"/>
                <w:szCs w:val="16"/>
                <w:color w:val="auto"/>
              </w:rPr>
              <w:t xml:space="preserve">Fixed charges </w:t>
            </w:r>
            <w:r>
              <w:rPr>
                <w:rFonts w:ascii="Arial" w:cs="Arial" w:eastAsia="Arial" w:hAnsi="Arial"/>
                <w:sz w:val="21"/>
                <w:szCs w:val="21"/>
                <w:color w:val="auto"/>
                <w:vertAlign w:val="superscript"/>
              </w:rPr>
              <w:t>1</w:t>
            </w: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330</w:t>
            </w:r>
          </w:p>
        </w:tc>
        <w:tc>
          <w:tcPr>
            <w:tcW w:w="120" w:type="dxa"/>
            <w:vAlign w:val="bottom"/>
            <w:shd w:val="clear" w:color="auto" w:fill="CCEEFF"/>
          </w:tcPr>
          <w:p>
            <w:pPr>
              <w:spacing w:after="0"/>
              <w:rPr>
                <w:sz w:val="23"/>
                <w:szCs w:val="23"/>
                <w:color w:val="auto"/>
              </w:rPr>
            </w:pPr>
          </w:p>
        </w:tc>
        <w:tc>
          <w:tcPr>
            <w:tcW w:w="28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372</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536</w:t>
            </w:r>
          </w:p>
        </w:tc>
        <w:tc>
          <w:tcPr>
            <w:tcW w:w="120" w:type="dxa"/>
            <w:vAlign w:val="bottom"/>
            <w:shd w:val="clear" w:color="auto" w:fill="CCEEFF"/>
          </w:tcPr>
          <w:p>
            <w:pPr>
              <w:spacing w:after="0"/>
              <w:rPr>
                <w:sz w:val="23"/>
                <w:szCs w:val="23"/>
                <w:color w:val="auto"/>
              </w:rPr>
            </w:pPr>
          </w:p>
        </w:tc>
        <w:tc>
          <w:tcPr>
            <w:tcW w:w="28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512</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285</w:t>
            </w:r>
          </w:p>
        </w:tc>
      </w:tr>
      <w:tr>
        <w:trPr>
          <w:trHeight w:val="270"/>
        </w:trPr>
        <w:tc>
          <w:tcPr>
            <w:tcW w:w="5580" w:type="dxa"/>
            <w:vAlign w:val="bottom"/>
            <w:tcBorders>
              <w:bottom w:val="single" w:sz="8" w:color="CCEEFF"/>
            </w:tcBorders>
          </w:tcPr>
          <w:p>
            <w:pPr>
              <w:ind w:left="120"/>
              <w:spacing w:after="0"/>
              <w:rPr>
                <w:sz w:val="20"/>
                <w:szCs w:val="20"/>
                <w:color w:val="auto"/>
              </w:rPr>
            </w:pPr>
            <w:r>
              <w:rPr>
                <w:rFonts w:ascii="Arial" w:cs="Arial" w:eastAsia="Arial" w:hAnsi="Arial"/>
                <w:sz w:val="16"/>
                <w:szCs w:val="16"/>
                <w:color w:val="auto"/>
              </w:rPr>
              <w:t xml:space="preserve">Preferred stock dividends </w:t>
            </w:r>
            <w:r>
              <w:rPr>
                <w:rFonts w:ascii="Arial" w:cs="Arial" w:eastAsia="Arial" w:hAnsi="Arial"/>
                <w:sz w:val="21"/>
                <w:szCs w:val="21"/>
                <w:color w:val="auto"/>
                <w:vertAlign w:val="superscript"/>
              </w:rPr>
              <w:t>2</w:t>
            </w:r>
          </w:p>
        </w:tc>
        <w:tc>
          <w:tcPr>
            <w:tcW w:w="280" w:type="dxa"/>
            <w:vAlign w:val="bottom"/>
            <w:tcBorders>
              <w:bottom w:val="single" w:sz="8" w:color="auto"/>
            </w:tcBorders>
          </w:tcPr>
          <w:p>
            <w:pPr>
              <w:spacing w:after="0"/>
              <w:rPr>
                <w:sz w:val="23"/>
                <w:szCs w:val="23"/>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w:t>
            </w:r>
          </w:p>
        </w:tc>
        <w:tc>
          <w:tcPr>
            <w:tcW w:w="120" w:type="dxa"/>
            <w:vAlign w:val="bottom"/>
            <w:tcBorders>
              <w:bottom w:val="single" w:sz="8" w:color="CCEEFF"/>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23</w:t>
            </w:r>
          </w:p>
        </w:tc>
        <w:tc>
          <w:tcPr>
            <w:tcW w:w="100" w:type="dxa"/>
            <w:vAlign w:val="bottom"/>
            <w:tcBorders>
              <w:bottom w:val="single" w:sz="8" w:color="CCEEFF"/>
            </w:tcBorders>
          </w:tcPr>
          <w:p>
            <w:pPr>
              <w:spacing w:after="0"/>
              <w:rPr>
                <w:sz w:val="23"/>
                <w:szCs w:val="23"/>
                <w:color w:val="auto"/>
              </w:rPr>
            </w:pPr>
          </w:p>
        </w:tc>
        <w:tc>
          <w:tcPr>
            <w:tcW w:w="200" w:type="dxa"/>
            <w:vAlign w:val="bottom"/>
            <w:tcBorders>
              <w:bottom w:val="single" w:sz="8" w:color="auto"/>
            </w:tcBorders>
          </w:tcPr>
          <w:p>
            <w:pPr>
              <w:spacing w:after="0"/>
              <w:rPr>
                <w:sz w:val="23"/>
                <w:szCs w:val="23"/>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w:t>
            </w:r>
          </w:p>
        </w:tc>
        <w:tc>
          <w:tcPr>
            <w:tcW w:w="120" w:type="dxa"/>
            <w:vAlign w:val="bottom"/>
            <w:tcBorders>
              <w:bottom w:val="single" w:sz="8" w:color="CCEEFF"/>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w:t>
            </w:r>
          </w:p>
        </w:tc>
        <w:tc>
          <w:tcPr>
            <w:tcW w:w="100" w:type="dxa"/>
            <w:vAlign w:val="bottom"/>
            <w:tcBorders>
              <w:bottom w:val="single" w:sz="8" w:color="CCEEFF"/>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8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r>
      <w:tr>
        <w:trPr>
          <w:trHeight w:val="230"/>
        </w:trPr>
        <w:tc>
          <w:tcPr>
            <w:tcW w:w="558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Combined fixed charges and preferred stock dividends</w:t>
            </w:r>
          </w:p>
        </w:tc>
        <w:tc>
          <w:tcPr>
            <w:tcW w:w="28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358</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395</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550</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522</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285</w:t>
            </w:r>
          </w:p>
        </w:tc>
      </w:tr>
      <w:tr>
        <w:trPr>
          <w:trHeight w:val="220"/>
        </w:trPr>
        <w:tc>
          <w:tcPr>
            <w:tcW w:w="5580" w:type="dxa"/>
            <w:vAlign w:val="bottom"/>
          </w:tcPr>
          <w:p>
            <w:pPr>
              <w:ind w:left="120"/>
              <w:spacing w:after="0"/>
              <w:rPr>
                <w:sz w:val="20"/>
                <w:szCs w:val="20"/>
                <w:color w:val="auto"/>
              </w:rPr>
            </w:pPr>
            <w:r>
              <w:rPr>
                <w:rFonts w:ascii="Arial" w:cs="Arial" w:eastAsia="Arial" w:hAnsi="Arial"/>
                <w:sz w:val="16"/>
                <w:szCs w:val="16"/>
                <w:color w:val="auto"/>
              </w:rPr>
              <w:t>Net income (loss) available (attributable) to common shareholders before</w:t>
            </w:r>
          </w:p>
        </w:tc>
        <w:tc>
          <w:tcPr>
            <w:tcW w:w="2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0" w:type="dxa"/>
            <w:vAlign w:val="bottom"/>
          </w:tcPr>
          <w:p>
            <w:pPr>
              <w:spacing w:after="0"/>
              <w:rPr>
                <w:sz w:val="19"/>
                <w:szCs w:val="19"/>
                <w:color w:val="auto"/>
              </w:rPr>
            </w:pPr>
          </w:p>
        </w:tc>
      </w:tr>
      <w:tr>
        <w:trPr>
          <w:trHeight w:val="206"/>
        </w:trPr>
        <w:tc>
          <w:tcPr>
            <w:tcW w:w="5580" w:type="dxa"/>
            <w:vAlign w:val="bottom"/>
          </w:tcPr>
          <w:p>
            <w:pPr>
              <w:ind w:left="280"/>
              <w:spacing w:after="0"/>
              <w:rPr>
                <w:sz w:val="20"/>
                <w:szCs w:val="20"/>
                <w:color w:val="auto"/>
              </w:rPr>
            </w:pPr>
            <w:r>
              <w:rPr>
                <w:rFonts w:ascii="Arial" w:cs="Arial" w:eastAsia="Arial" w:hAnsi="Arial"/>
                <w:sz w:val="16"/>
                <w:szCs w:val="16"/>
                <w:color w:val="auto"/>
              </w:rPr>
              <w:t>provision for income taxes</w:t>
            </w:r>
          </w:p>
        </w:tc>
        <w:tc>
          <w:tcPr>
            <w:tcW w:w="280" w:type="dxa"/>
            <w:vAlign w:val="bottom"/>
          </w:tcPr>
          <w:p>
            <w:pPr>
              <w:spacing w:after="0"/>
              <w:rPr>
                <w:sz w:val="17"/>
                <w:szCs w:val="17"/>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187</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(256)</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80" w:type="dxa"/>
            <w:vAlign w:val="bottom"/>
          </w:tcPr>
          <w:p>
            <w:pPr>
              <w:jc w:val="right"/>
              <w:ind w:right="19"/>
              <w:spacing w:after="0"/>
              <w:rPr>
                <w:sz w:val="20"/>
                <w:szCs w:val="20"/>
                <w:color w:val="auto"/>
              </w:rPr>
            </w:pPr>
            <w:r>
              <w:rPr>
                <w:rFonts w:ascii="Arial" w:cs="Arial" w:eastAsia="Arial" w:hAnsi="Arial"/>
                <w:sz w:val="16"/>
                <w:szCs w:val="16"/>
                <w:color w:val="auto"/>
              </w:rPr>
              <w:t>1,258</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0" w:type="dxa"/>
            <w:vAlign w:val="bottom"/>
          </w:tcPr>
          <w:p>
            <w:pPr>
              <w:jc w:val="right"/>
              <w:ind w:right="39"/>
              <w:spacing w:after="0"/>
              <w:rPr>
                <w:sz w:val="20"/>
                <w:szCs w:val="20"/>
                <w:color w:val="auto"/>
              </w:rPr>
            </w:pPr>
            <w:r>
              <w:rPr>
                <w:rFonts w:ascii="Arial" w:cs="Arial" w:eastAsia="Arial" w:hAnsi="Arial"/>
                <w:sz w:val="16"/>
                <w:szCs w:val="16"/>
                <w:color w:val="auto"/>
              </w:rPr>
              <w:t>1,286</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776</w:t>
            </w:r>
          </w:p>
        </w:tc>
      </w:tr>
      <w:tr>
        <w:trPr>
          <w:trHeight w:val="33"/>
        </w:trPr>
        <w:tc>
          <w:tcPr>
            <w:tcW w:w="55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44"/>
        </w:trPr>
        <w:tc>
          <w:tcPr>
            <w:tcW w:w="558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Earnings</w:t>
            </w: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545</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139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1,808</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1,808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1,061</w:t>
            </w:r>
          </w:p>
        </w:tc>
      </w:tr>
      <w:tr>
        <w:trPr>
          <w:trHeight w:val="20"/>
        </w:trPr>
        <w:tc>
          <w:tcPr>
            <w:tcW w:w="55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r>
        <w:trPr>
          <w:trHeight w:val="284"/>
        </w:trPr>
        <w:tc>
          <w:tcPr>
            <w:tcW w:w="5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250"/>
        </w:trPr>
        <w:tc>
          <w:tcPr>
            <w:tcW w:w="558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Ratio of earnings to combined fixed charges and preferred stock dividends</w:t>
            </w:r>
          </w:p>
        </w:tc>
        <w:tc>
          <w:tcPr>
            <w:tcW w:w="280" w:type="dxa"/>
            <w:vAlign w:val="bottom"/>
            <w:tcBorders>
              <w:bottom w:val="single" w:sz="8" w:color="auto"/>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1.52</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0.35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3.29</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3.46</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3.72</w:t>
            </w:r>
          </w:p>
        </w:tc>
      </w:tr>
      <w:tr>
        <w:trPr>
          <w:trHeight w:val="20"/>
        </w:trPr>
        <w:tc>
          <w:tcPr>
            <w:tcW w:w="55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bl>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_________________________</w:t>
      </w:r>
    </w:p>
    <w:p>
      <w:pPr>
        <w:spacing w:after="0" w:line="22" w:lineRule="exact"/>
        <w:rPr>
          <w:sz w:val="20"/>
          <w:szCs w:val="20"/>
          <w:color w:val="auto"/>
        </w:rPr>
      </w:pPr>
    </w:p>
    <w:p>
      <w:pPr>
        <w:ind w:left="660" w:hanging="328"/>
        <w:spacing w:after="0"/>
        <w:tabs>
          <w:tab w:leader="none" w:pos="660" w:val="left"/>
        </w:tabs>
        <w:numPr>
          <w:ilvl w:val="0"/>
          <w:numId w:val="71"/>
        </w:numPr>
        <w:rPr>
          <w:rFonts w:ascii="Arial" w:cs="Arial" w:eastAsia="Arial" w:hAnsi="Arial"/>
          <w:sz w:val="14"/>
          <w:szCs w:val="14"/>
          <w:color w:val="auto"/>
        </w:rPr>
      </w:pPr>
      <w:r>
        <w:rPr>
          <w:rFonts w:ascii="Arial" w:cs="Arial" w:eastAsia="Arial" w:hAnsi="Arial"/>
          <w:sz w:val="14"/>
          <w:szCs w:val="14"/>
          <w:color w:val="auto"/>
        </w:rPr>
        <w:t>Fixed charges consist of interest expense, as defined under U.S. generally accepted accounting principles, on all indebtedness.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71"/>
        </w:numPr>
        <w:rPr>
          <w:rFonts w:ascii="Arial" w:cs="Arial" w:eastAsia="Arial" w:hAnsi="Arial"/>
          <w:sz w:val="14"/>
          <w:szCs w:val="14"/>
          <w:color w:val="auto"/>
        </w:rPr>
      </w:pPr>
      <w:r>
        <w:rPr>
          <w:rFonts w:ascii="Arial" w:cs="Arial" w:eastAsia="Arial" w:hAnsi="Arial"/>
          <w:sz w:val="14"/>
          <w:szCs w:val="14"/>
          <w:color w:val="auto"/>
        </w:rPr>
        <w:t>No preferred stock was outstanding during fiscal year 2011.</w:t>
      </w:r>
    </w:p>
    <w:p>
      <w:pPr>
        <w:sectPr>
          <w:pgSz w:w="11900" w:h="16838" w:orient="portrait"/>
          <w:cols w:equalWidth="0" w:num="1">
            <w:col w:w="11420"/>
          </w:cols>
          <w:pgMar w:left="240" w:top="580" w:right="239" w:bottom="1440" w:gutter="0" w:footer="0" w:header="0"/>
        </w:sectPr>
      </w:pPr>
    </w:p>
    <w:bookmarkStart w:id="113" w:name="page114"/>
    <w:bookmarkEnd w:id="113"/>
    <w:p>
      <w:pPr>
        <w:jc w:val="right"/>
        <w:spacing w:after="0"/>
        <w:rPr>
          <w:sz w:val="20"/>
          <w:szCs w:val="20"/>
          <w:color w:val="auto"/>
        </w:rPr>
      </w:pPr>
      <w:r>
        <w:rPr>
          <w:rFonts w:ascii="Arial" w:cs="Arial" w:eastAsia="Arial" w:hAnsi="Arial"/>
          <w:sz w:val="18"/>
          <w:szCs w:val="18"/>
          <w:b w:val="1"/>
          <w:bCs w:val="1"/>
          <w:color w:val="auto"/>
        </w:rPr>
        <w:t>Exhibit 23</w:t>
      </w:r>
    </w:p>
    <w:p>
      <w:pPr>
        <w:spacing w:after="0" w:line="239" w:lineRule="exact"/>
        <w:rPr>
          <w:sz w:val="20"/>
          <w:szCs w:val="20"/>
          <w:color w:val="auto"/>
        </w:rPr>
      </w:pPr>
    </w:p>
    <w:p>
      <w:pPr>
        <w:ind w:left="3420"/>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We consent to the incorporation by reference in the following Registration Statements:</w:t>
      </w:r>
    </w:p>
    <w:p>
      <w:pPr>
        <w:spacing w:after="0" w:line="225" w:lineRule="exact"/>
        <w:rPr>
          <w:sz w:val="20"/>
          <w:szCs w:val="20"/>
          <w:color w:val="auto"/>
        </w:rPr>
      </w:pPr>
    </w:p>
    <w:p>
      <w:pPr>
        <w:ind w:left="260" w:hanging="252"/>
        <w:spacing w:after="0"/>
        <w:tabs>
          <w:tab w:leader="none" w:pos="260" w:val="left"/>
        </w:tabs>
        <w:numPr>
          <w:ilvl w:val="0"/>
          <w:numId w:val="72"/>
        </w:numPr>
        <w:rPr>
          <w:rFonts w:ascii="Arial" w:cs="Arial" w:eastAsia="Arial" w:hAnsi="Arial"/>
          <w:sz w:val="18"/>
          <w:szCs w:val="18"/>
          <w:color w:val="auto"/>
        </w:rPr>
      </w:pPr>
      <w:r>
        <w:rPr>
          <w:rFonts w:ascii="Arial" w:cs="Arial" w:eastAsia="Arial" w:hAnsi="Arial"/>
          <w:sz w:val="18"/>
          <w:szCs w:val="18"/>
          <w:color w:val="auto"/>
        </w:rPr>
        <w:t>Form S-8 (No. 333-151027),</w:t>
      </w:r>
    </w:p>
    <w:p>
      <w:pPr>
        <w:spacing w:after="0" w:line="23" w:lineRule="exact"/>
        <w:rPr>
          <w:rFonts w:ascii="Arial" w:cs="Arial" w:eastAsia="Arial" w:hAnsi="Arial"/>
          <w:sz w:val="18"/>
          <w:szCs w:val="18"/>
          <w:color w:val="auto"/>
        </w:rPr>
      </w:pPr>
    </w:p>
    <w:p>
      <w:pPr>
        <w:ind w:left="260" w:hanging="252"/>
        <w:spacing w:after="0"/>
        <w:tabs>
          <w:tab w:leader="none" w:pos="260" w:val="left"/>
        </w:tabs>
        <w:numPr>
          <w:ilvl w:val="0"/>
          <w:numId w:val="72"/>
        </w:numPr>
        <w:rPr>
          <w:rFonts w:ascii="Arial" w:cs="Arial" w:eastAsia="Arial" w:hAnsi="Arial"/>
          <w:sz w:val="18"/>
          <w:szCs w:val="18"/>
          <w:color w:val="auto"/>
        </w:rPr>
      </w:pPr>
      <w:r>
        <w:rPr>
          <w:rFonts w:ascii="Arial" w:cs="Arial" w:eastAsia="Arial" w:hAnsi="Arial"/>
          <w:sz w:val="18"/>
          <w:szCs w:val="18"/>
          <w:color w:val="auto"/>
        </w:rPr>
        <w:t>Form S-3 (No. 333-205306), and</w:t>
      </w:r>
    </w:p>
    <w:p>
      <w:pPr>
        <w:spacing w:after="0" w:line="9" w:lineRule="exact"/>
        <w:rPr>
          <w:rFonts w:ascii="Arial" w:cs="Arial" w:eastAsia="Arial" w:hAnsi="Arial"/>
          <w:sz w:val="18"/>
          <w:szCs w:val="18"/>
          <w:color w:val="auto"/>
        </w:rPr>
      </w:pPr>
    </w:p>
    <w:p>
      <w:pPr>
        <w:ind w:left="260" w:hanging="252"/>
        <w:spacing w:after="0"/>
        <w:tabs>
          <w:tab w:leader="none" w:pos="260" w:val="left"/>
        </w:tabs>
        <w:numPr>
          <w:ilvl w:val="0"/>
          <w:numId w:val="72"/>
        </w:numPr>
        <w:rPr>
          <w:rFonts w:ascii="Arial" w:cs="Arial" w:eastAsia="Arial" w:hAnsi="Arial"/>
          <w:sz w:val="18"/>
          <w:szCs w:val="18"/>
          <w:color w:val="auto"/>
        </w:rPr>
      </w:pPr>
      <w:r>
        <w:rPr>
          <w:rFonts w:ascii="Arial" w:cs="Arial" w:eastAsia="Arial" w:hAnsi="Arial"/>
          <w:sz w:val="18"/>
          <w:szCs w:val="18"/>
          <w:color w:val="auto"/>
        </w:rPr>
        <w:t>Form S-3 (No. 333-205307);</w:t>
      </w:r>
    </w:p>
    <w:p>
      <w:pPr>
        <w:spacing w:after="0" w:line="200" w:lineRule="exact"/>
        <w:rPr>
          <w:sz w:val="20"/>
          <w:szCs w:val="20"/>
          <w:color w:val="auto"/>
        </w:rPr>
      </w:pPr>
    </w:p>
    <w:p>
      <w:pPr>
        <w:spacing w:after="0" w:line="227"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of our reports dated February 23, 2016, with respect to the consolidated financial statements of American Capital Agency Corp., and the effectiveness of internal control over financial reporting of American Capital Agency Corp., included in this Annual Report (Form 10-K) of American Capital Agency Corp. for the year ended December 31, 2015.</w:t>
      </w:r>
    </w:p>
    <w:p>
      <w:pPr>
        <w:sectPr>
          <w:pgSz w:w="11900" w:h="16838" w:orient="portrait"/>
          <w:cols w:equalWidth="0" w:num="1">
            <w:col w:w="11420"/>
          </w:cols>
          <w:pgMar w:left="240" w:top="607"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both"/>
        <w:ind w:right="580"/>
        <w:spacing w:after="0" w:line="342" w:lineRule="auto"/>
        <w:rPr>
          <w:sz w:val="20"/>
          <w:szCs w:val="20"/>
          <w:color w:val="auto"/>
        </w:rPr>
      </w:pPr>
      <w:r>
        <w:rPr>
          <w:rFonts w:ascii="Arial" w:cs="Arial" w:eastAsia="Arial" w:hAnsi="Arial"/>
          <w:sz w:val="16"/>
          <w:szCs w:val="16"/>
          <w:color w:val="auto"/>
        </w:rPr>
        <w:t>McLean, Virginia February 23, 2016</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Arial" w:cs="Arial" w:eastAsia="Arial" w:hAnsi="Arial"/>
          <w:sz w:val="16"/>
          <w:szCs w:val="16"/>
          <w:color w:val="auto"/>
        </w:rPr>
        <w:t>/s/ Ernst &amp; Young</w:t>
      </w:r>
    </w:p>
    <w:p>
      <w:pPr>
        <w:sectPr>
          <w:pgSz w:w="11900" w:h="16838" w:orient="portrait"/>
          <w:cols w:equalWidth="0" w:num="2">
            <w:col w:w="1920" w:space="720"/>
            <w:col w:w="8780"/>
          </w:cols>
          <w:pgMar w:left="240" w:top="607" w:right="239" w:bottom="1440" w:gutter="0" w:footer="0" w:header="0"/>
          <w:type w:val="continuous"/>
        </w:sectPr>
      </w:pPr>
    </w:p>
    <w:bookmarkStart w:id="114" w:name="page115"/>
    <w:bookmarkEnd w:id="114"/>
    <w:p>
      <w:pPr>
        <w:jc w:val="right"/>
        <w:spacing w:after="0"/>
        <w:rPr>
          <w:sz w:val="20"/>
          <w:szCs w:val="20"/>
          <w:color w:val="auto"/>
        </w:rPr>
      </w:pPr>
      <w:r>
        <w:rPr>
          <w:rFonts w:ascii="Arial" w:cs="Arial" w:eastAsia="Arial" w:hAnsi="Arial"/>
          <w:sz w:val="18"/>
          <w:szCs w:val="18"/>
          <w:b w:val="1"/>
          <w:bCs w:val="1"/>
          <w:color w:val="auto"/>
        </w:rPr>
        <w:t>Exhibit 24</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POWER OF ATTORNEY</w:t>
      </w:r>
    </w:p>
    <w:p>
      <w:pPr>
        <w:spacing w:after="0" w:line="211" w:lineRule="exact"/>
        <w:rPr>
          <w:sz w:val="20"/>
          <w:szCs w:val="20"/>
          <w:color w:val="auto"/>
        </w:rPr>
      </w:pPr>
    </w:p>
    <w:p>
      <w:pPr>
        <w:jc w:val="both"/>
        <w:ind w:firstLine="405"/>
        <w:spacing w:after="0" w:line="217" w:lineRule="exact"/>
        <w:rPr>
          <w:sz w:val="20"/>
          <w:szCs w:val="20"/>
          <w:color w:val="auto"/>
        </w:rPr>
      </w:pPr>
      <w:r>
        <w:rPr>
          <w:rFonts w:ascii="Arial" w:cs="Arial" w:eastAsia="Arial" w:hAnsi="Arial"/>
          <w:sz w:val="16"/>
          <w:szCs w:val="16"/>
          <w:color w:val="auto"/>
        </w:rPr>
        <w:t>KNOW ALL MEN BY THESE PRESENTS, that the undersigned directors and officers of American Capital Agency Corp., a corporation organized under the laws of the state of Delaware (the “Corporation”), hereby constitute and appoint John R. Erickson, Samuel A. Flax and Cydonii V. Fairfax and each of them (with full power to each of them to act alone), his/her true and lawful attorneys</w:t>
      </w:r>
      <w:r>
        <w:rPr>
          <w:rFonts w:ascii="MS PGothic" w:cs="MS PGothic" w:eastAsia="MS PGothic" w:hAnsi="MS PGothic"/>
          <w:sz w:val="16"/>
          <w:szCs w:val="16"/>
          <w:color w:val="auto"/>
        </w:rPr>
        <w:t>‑</w:t>
      </w:r>
      <w:r>
        <w:rPr>
          <w:rFonts w:ascii="Arial" w:cs="Arial" w:eastAsia="Arial" w:hAnsi="Arial"/>
          <w:sz w:val="16"/>
          <w:szCs w:val="16"/>
          <w:color w:val="auto"/>
        </w:rPr>
        <w:t>in</w:t>
      </w:r>
      <w:r>
        <w:rPr>
          <w:rFonts w:ascii="MS PGothic" w:cs="MS PGothic" w:eastAsia="MS PGothic" w:hAnsi="MS PGothic"/>
          <w:sz w:val="16"/>
          <w:szCs w:val="16"/>
          <w:color w:val="auto"/>
        </w:rPr>
        <w:t>‑</w:t>
      </w:r>
      <w:r>
        <w:rPr>
          <w:rFonts w:ascii="Arial" w:cs="Arial" w:eastAsia="Arial" w:hAnsi="Arial"/>
          <w:sz w:val="16"/>
          <w:szCs w:val="16"/>
          <w:color w:val="auto"/>
        </w:rPr>
        <w:t>fact and agents for him/her and on his/her behalf and in his/her name, place and stead, in all cases with full power of substitution and resubstitution, in any hand and all capacities, to sign, execute and affix his/her seal to and file with the Securities and Exchange Commission (or any other governmental or regulatory authority) the Corporation's Annual Report on Form 10-K for the fiscal year ended December 31, 2015, and all amendments or supplements thereto with all exhibits and any and all documents required to be filed with respect thereto, and grants to each of them full power and authority to do and to perform each and every act and thing requisite and necessary to be done in and about the premises in order to effectuate the same as fully and to all intents and purposes as he/she might or could do if personally present, hereby ratifying and confirming all that said attorneys-in-fact and agents, or any of them, may lawfully do or cause to be done by virtue hereof.</w:t>
      </w:r>
    </w:p>
    <w:p>
      <w:pPr>
        <w:sectPr>
          <w:pgSz w:w="11900" w:h="16838" w:orient="portrait"/>
          <w:cols w:equalWidth="0" w:num="1">
            <w:col w:w="11420"/>
          </w:cols>
          <w:pgMar w:left="240" w:top="796" w:right="239" w:bottom="1440" w:gutter="0" w:footer="0" w:header="0"/>
        </w:sectPr>
      </w:pPr>
    </w:p>
    <w:bookmarkStart w:id="115" w:name="page116"/>
    <w:bookmarkEnd w:id="115"/>
    <w:p>
      <w:pPr>
        <w:ind w:left="440"/>
        <w:spacing w:after="0"/>
        <w:rPr>
          <w:sz w:val="20"/>
          <w:szCs w:val="20"/>
          <w:color w:val="auto"/>
        </w:rPr>
      </w:pPr>
      <w:r>
        <w:rPr>
          <w:rFonts w:ascii="Arial" w:cs="Arial" w:eastAsia="Arial" w:hAnsi="Arial"/>
          <w:sz w:val="17"/>
          <w:szCs w:val="17"/>
          <w:color w:val="auto"/>
        </w:rPr>
        <w:t>IN WITNESS WHEREOF, each of the undersigned directors and/or officers has hereunto set his hand and seal, as of the date specified.</w:t>
      </w: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740" w:type="dxa"/>
            <w:vAlign w:val="bottom"/>
          </w:tcPr>
          <w:p>
            <w:pPr>
              <w:spacing w:after="0"/>
              <w:rPr>
                <w:sz w:val="20"/>
                <w:szCs w:val="20"/>
                <w:color w:val="auto"/>
              </w:rPr>
            </w:pPr>
          </w:p>
        </w:tc>
        <w:tc>
          <w:tcPr>
            <w:tcW w:w="3920" w:type="dxa"/>
            <w:vAlign w:val="bottom"/>
          </w:tcPr>
          <w:p>
            <w:pPr>
              <w:spacing w:after="0"/>
              <w:rPr>
                <w:sz w:val="20"/>
                <w:szCs w:val="20"/>
                <w:color w:val="auto"/>
              </w:rPr>
            </w:pPr>
          </w:p>
        </w:tc>
        <w:tc>
          <w:tcPr>
            <w:tcW w:w="4220" w:type="dxa"/>
            <w:vAlign w:val="bottom"/>
          </w:tcPr>
          <w:p>
            <w:pPr>
              <w:ind w:left="20"/>
              <w:spacing w:after="0"/>
              <w:rPr>
                <w:sz w:val="20"/>
                <w:szCs w:val="20"/>
                <w:color w:val="auto"/>
              </w:rPr>
            </w:pPr>
            <w:r>
              <w:rPr>
                <w:rFonts w:ascii="Arial" w:cs="Arial" w:eastAsia="Arial" w:hAnsi="Arial"/>
                <w:sz w:val="18"/>
                <w:szCs w:val="18"/>
                <w:b w:val="1"/>
                <w:bCs w:val="1"/>
                <w:color w:val="auto"/>
              </w:rPr>
              <w:t>AMERICAN CAPITAL AGENCY CORP.</w:t>
            </w:r>
          </w:p>
        </w:tc>
      </w:tr>
      <w:tr>
        <w:trPr>
          <w:trHeight w:val="270"/>
        </w:trPr>
        <w:tc>
          <w:tcPr>
            <w:tcW w:w="2740" w:type="dxa"/>
            <w:vAlign w:val="bottom"/>
          </w:tcPr>
          <w:p>
            <w:pPr>
              <w:ind w:left="40"/>
              <w:spacing w:after="0"/>
              <w:rPr>
                <w:sz w:val="20"/>
                <w:szCs w:val="20"/>
                <w:color w:val="auto"/>
              </w:rPr>
            </w:pPr>
            <w:r>
              <w:rPr>
                <w:rFonts w:ascii="Arial" w:cs="Arial" w:eastAsia="Arial" w:hAnsi="Arial"/>
                <w:sz w:val="18"/>
                <w:szCs w:val="18"/>
                <w:color w:val="auto"/>
              </w:rPr>
              <w:t>Dated: January __, 2016</w:t>
            </w:r>
          </w:p>
        </w:tc>
        <w:tc>
          <w:tcPr>
            <w:tcW w:w="3920" w:type="dxa"/>
            <w:vAlign w:val="bottom"/>
          </w:tcPr>
          <w:p>
            <w:pPr>
              <w:spacing w:after="0"/>
              <w:rPr>
                <w:sz w:val="23"/>
                <w:szCs w:val="23"/>
                <w:color w:val="auto"/>
              </w:rPr>
            </w:pPr>
          </w:p>
        </w:tc>
        <w:tc>
          <w:tcPr>
            <w:tcW w:w="4220" w:type="dxa"/>
            <w:vAlign w:val="bottom"/>
          </w:tcPr>
          <w:p>
            <w:pPr>
              <w:ind w:left="20"/>
              <w:spacing w:after="0"/>
              <w:rPr>
                <w:sz w:val="20"/>
                <w:szCs w:val="20"/>
                <w:color w:val="auto"/>
              </w:rPr>
            </w:pPr>
            <w:r>
              <w:rPr>
                <w:rFonts w:ascii="Arial" w:cs="Arial" w:eastAsia="Arial" w:hAnsi="Arial"/>
                <w:sz w:val="18"/>
                <w:szCs w:val="18"/>
                <w:color w:val="auto"/>
              </w:rPr>
              <w:t>/s/ MALON WILKUS</w:t>
            </w:r>
          </w:p>
        </w:tc>
      </w:tr>
      <w:tr>
        <w:trPr>
          <w:trHeight w:val="27"/>
        </w:trPr>
        <w:tc>
          <w:tcPr>
            <w:tcW w:w="2740" w:type="dxa"/>
            <w:vAlign w:val="bottom"/>
          </w:tcPr>
          <w:p>
            <w:pPr>
              <w:spacing w:after="0"/>
              <w:rPr>
                <w:sz w:val="2"/>
                <w:szCs w:val="2"/>
                <w:color w:val="auto"/>
              </w:rPr>
            </w:pPr>
          </w:p>
        </w:tc>
        <w:tc>
          <w:tcPr>
            <w:tcW w:w="3920" w:type="dxa"/>
            <w:vAlign w:val="bottom"/>
          </w:tcPr>
          <w:p>
            <w:pPr>
              <w:spacing w:after="0"/>
              <w:rPr>
                <w:sz w:val="2"/>
                <w:szCs w:val="2"/>
                <w:color w:val="auto"/>
              </w:rPr>
            </w:pPr>
          </w:p>
        </w:tc>
        <w:tc>
          <w:tcPr>
            <w:tcW w:w="4220" w:type="dxa"/>
            <w:vAlign w:val="bottom"/>
            <w:tcBorders>
              <w:bottom w:val="single" w:sz="8" w:color="auto"/>
            </w:tcBorders>
          </w:tcPr>
          <w:p>
            <w:pPr>
              <w:spacing w:after="0"/>
              <w:rPr>
                <w:sz w:val="2"/>
                <w:szCs w:val="2"/>
                <w:color w:val="auto"/>
              </w:rPr>
            </w:pPr>
          </w:p>
        </w:tc>
      </w:tr>
      <w:tr>
        <w:trPr>
          <w:trHeight w:val="237"/>
        </w:trPr>
        <w:tc>
          <w:tcPr>
            <w:tcW w:w="2740" w:type="dxa"/>
            <w:vAlign w:val="bottom"/>
          </w:tcPr>
          <w:p>
            <w:pPr>
              <w:spacing w:after="0"/>
              <w:rPr>
                <w:sz w:val="20"/>
                <w:szCs w:val="20"/>
                <w:color w:val="auto"/>
              </w:rPr>
            </w:pPr>
          </w:p>
        </w:tc>
        <w:tc>
          <w:tcPr>
            <w:tcW w:w="3920" w:type="dxa"/>
            <w:vAlign w:val="bottom"/>
          </w:tcPr>
          <w:p>
            <w:pPr>
              <w:spacing w:after="0"/>
              <w:rPr>
                <w:sz w:val="20"/>
                <w:szCs w:val="20"/>
                <w:color w:val="auto"/>
              </w:rPr>
            </w:pPr>
          </w:p>
        </w:tc>
        <w:tc>
          <w:tcPr>
            <w:tcW w:w="4220" w:type="dxa"/>
            <w:vAlign w:val="bottom"/>
          </w:tcPr>
          <w:p>
            <w:pPr>
              <w:ind w:left="20"/>
              <w:spacing w:after="0"/>
              <w:rPr>
                <w:sz w:val="20"/>
                <w:szCs w:val="20"/>
                <w:color w:val="auto"/>
              </w:rPr>
            </w:pPr>
            <w:r>
              <w:rPr>
                <w:rFonts w:ascii="Arial" w:cs="Arial" w:eastAsia="Arial" w:hAnsi="Arial"/>
                <w:sz w:val="18"/>
                <w:szCs w:val="18"/>
                <w:color w:val="auto"/>
              </w:rPr>
              <w:t>Malon Wilkus</w:t>
            </w:r>
          </w:p>
        </w:tc>
      </w:tr>
      <w:tr>
        <w:trPr>
          <w:trHeight w:val="270"/>
        </w:trPr>
        <w:tc>
          <w:tcPr>
            <w:tcW w:w="2740" w:type="dxa"/>
            <w:vAlign w:val="bottom"/>
          </w:tcPr>
          <w:p>
            <w:pPr>
              <w:spacing w:after="0"/>
              <w:rPr>
                <w:sz w:val="23"/>
                <w:szCs w:val="23"/>
                <w:color w:val="auto"/>
              </w:rPr>
            </w:pPr>
          </w:p>
        </w:tc>
        <w:tc>
          <w:tcPr>
            <w:tcW w:w="3920" w:type="dxa"/>
            <w:vAlign w:val="bottom"/>
          </w:tcPr>
          <w:p>
            <w:pPr>
              <w:spacing w:after="0"/>
              <w:rPr>
                <w:sz w:val="23"/>
                <w:szCs w:val="23"/>
                <w:color w:val="auto"/>
              </w:rPr>
            </w:pPr>
          </w:p>
        </w:tc>
        <w:tc>
          <w:tcPr>
            <w:tcW w:w="4220" w:type="dxa"/>
            <w:vAlign w:val="bottom"/>
          </w:tcPr>
          <w:p>
            <w:pPr>
              <w:ind w:left="20"/>
              <w:spacing w:after="0"/>
              <w:rPr>
                <w:sz w:val="20"/>
                <w:szCs w:val="20"/>
                <w:color w:val="auto"/>
              </w:rPr>
            </w:pPr>
            <w:r>
              <w:rPr>
                <w:rFonts w:ascii="Arial" w:cs="Arial" w:eastAsia="Arial" w:hAnsi="Arial"/>
                <w:sz w:val="18"/>
                <w:szCs w:val="18"/>
                <w:color w:val="auto"/>
              </w:rPr>
              <w:t>Chair and Chief Executive Officer</w:t>
            </w:r>
          </w:p>
        </w:tc>
      </w:tr>
      <w:tr>
        <w:trPr>
          <w:trHeight w:val="567"/>
        </w:trPr>
        <w:tc>
          <w:tcPr>
            <w:tcW w:w="2740" w:type="dxa"/>
            <w:vAlign w:val="bottom"/>
          </w:tcPr>
          <w:p>
            <w:pPr>
              <w:ind w:left="40"/>
              <w:spacing w:after="0"/>
              <w:rPr>
                <w:sz w:val="20"/>
                <w:szCs w:val="20"/>
                <w:color w:val="auto"/>
              </w:rPr>
            </w:pPr>
            <w:r>
              <w:rPr>
                <w:rFonts w:ascii="Arial" w:cs="Arial" w:eastAsia="Arial" w:hAnsi="Arial"/>
                <w:sz w:val="18"/>
                <w:szCs w:val="18"/>
                <w:color w:val="auto"/>
              </w:rPr>
              <w:t>/s/ MALON WILKUS</w:t>
            </w:r>
          </w:p>
        </w:tc>
        <w:tc>
          <w:tcPr>
            <w:tcW w:w="3920" w:type="dxa"/>
            <w:vAlign w:val="bottom"/>
          </w:tcPr>
          <w:p>
            <w:pPr>
              <w:ind w:left="20"/>
              <w:spacing w:after="0"/>
              <w:rPr>
                <w:sz w:val="20"/>
                <w:szCs w:val="20"/>
                <w:color w:val="auto"/>
              </w:rPr>
            </w:pPr>
            <w:r>
              <w:rPr>
                <w:rFonts w:ascii="Arial" w:cs="Arial" w:eastAsia="Arial" w:hAnsi="Arial"/>
                <w:sz w:val="18"/>
                <w:szCs w:val="18"/>
                <w:color w:val="auto"/>
              </w:rPr>
              <w:t>Director, Chair and Chief</w:t>
            </w:r>
          </w:p>
        </w:tc>
        <w:tc>
          <w:tcPr>
            <w:tcW w:w="4220" w:type="dxa"/>
            <w:vAlign w:val="bottom"/>
          </w:tcPr>
          <w:p>
            <w:pPr>
              <w:ind w:left="2960"/>
              <w:spacing w:after="0"/>
              <w:rPr>
                <w:sz w:val="20"/>
                <w:szCs w:val="20"/>
                <w:color w:val="auto"/>
              </w:rPr>
            </w:pPr>
            <w:r>
              <w:rPr>
                <w:rFonts w:ascii="Arial" w:cs="Arial" w:eastAsia="Arial" w:hAnsi="Arial"/>
                <w:sz w:val="18"/>
                <w:szCs w:val="18"/>
                <w:color w:val="auto"/>
                <w:w w:val="89"/>
              </w:rPr>
              <w:t>January __, 2016</w:t>
            </w:r>
          </w:p>
        </w:tc>
      </w:tr>
      <w:tr>
        <w:trPr>
          <w:trHeight w:val="27"/>
        </w:trPr>
        <w:tc>
          <w:tcPr>
            <w:tcW w:w="2740" w:type="dxa"/>
            <w:vAlign w:val="bottom"/>
            <w:tcBorders>
              <w:bottom w:val="single" w:sz="8" w:color="auto"/>
            </w:tcBorders>
          </w:tcPr>
          <w:p>
            <w:pPr>
              <w:spacing w:after="0"/>
              <w:rPr>
                <w:sz w:val="2"/>
                <w:szCs w:val="2"/>
                <w:color w:val="auto"/>
              </w:rPr>
            </w:pPr>
          </w:p>
        </w:tc>
        <w:tc>
          <w:tcPr>
            <w:tcW w:w="3920" w:type="dxa"/>
            <w:vAlign w:val="bottom"/>
          </w:tcPr>
          <w:p>
            <w:pPr>
              <w:spacing w:after="0"/>
              <w:rPr>
                <w:sz w:val="2"/>
                <w:szCs w:val="2"/>
                <w:color w:val="auto"/>
              </w:rPr>
            </w:pPr>
          </w:p>
        </w:tc>
        <w:tc>
          <w:tcPr>
            <w:tcW w:w="4220" w:type="dxa"/>
            <w:vAlign w:val="bottom"/>
          </w:tcPr>
          <w:p>
            <w:pPr>
              <w:spacing w:after="0"/>
              <w:rPr>
                <w:sz w:val="2"/>
                <w:szCs w:val="2"/>
                <w:color w:val="auto"/>
              </w:rPr>
            </w:pPr>
          </w:p>
        </w:tc>
      </w:tr>
      <w:tr>
        <w:trPr>
          <w:trHeight w:val="237"/>
        </w:trPr>
        <w:tc>
          <w:tcPr>
            <w:tcW w:w="2740" w:type="dxa"/>
            <w:vAlign w:val="bottom"/>
          </w:tcPr>
          <w:p>
            <w:pPr>
              <w:ind w:left="40"/>
              <w:spacing w:after="0"/>
              <w:rPr>
                <w:sz w:val="20"/>
                <w:szCs w:val="20"/>
                <w:color w:val="auto"/>
              </w:rPr>
            </w:pPr>
            <w:r>
              <w:rPr>
                <w:rFonts w:ascii="Arial" w:cs="Arial" w:eastAsia="Arial" w:hAnsi="Arial"/>
                <w:sz w:val="18"/>
                <w:szCs w:val="18"/>
                <w:color w:val="auto"/>
              </w:rPr>
              <w:t>Malon Wilkus</w:t>
            </w:r>
          </w:p>
        </w:tc>
        <w:tc>
          <w:tcPr>
            <w:tcW w:w="3920" w:type="dxa"/>
            <w:vAlign w:val="bottom"/>
          </w:tcPr>
          <w:p>
            <w:pPr>
              <w:ind w:left="20"/>
              <w:spacing w:after="0"/>
              <w:rPr>
                <w:sz w:val="20"/>
                <w:szCs w:val="20"/>
                <w:color w:val="auto"/>
              </w:rPr>
            </w:pPr>
            <w:r>
              <w:rPr>
                <w:rFonts w:ascii="Arial" w:cs="Arial" w:eastAsia="Arial" w:hAnsi="Arial"/>
                <w:sz w:val="18"/>
                <w:szCs w:val="18"/>
                <w:color w:val="auto"/>
              </w:rPr>
              <w:t>Executive Officer (Principal Executive Officer)</w:t>
            </w:r>
          </w:p>
        </w:tc>
        <w:tc>
          <w:tcPr>
            <w:tcW w:w="4220" w:type="dxa"/>
            <w:vAlign w:val="bottom"/>
          </w:tcPr>
          <w:p>
            <w:pPr>
              <w:spacing w:after="0"/>
              <w:rPr>
                <w:sz w:val="20"/>
                <w:szCs w:val="20"/>
                <w:color w:val="auto"/>
              </w:rPr>
            </w:pPr>
          </w:p>
        </w:tc>
      </w:tr>
      <w:tr>
        <w:trPr>
          <w:trHeight w:val="567"/>
        </w:trPr>
        <w:tc>
          <w:tcPr>
            <w:tcW w:w="2740" w:type="dxa"/>
            <w:vAlign w:val="bottom"/>
          </w:tcPr>
          <w:p>
            <w:pPr>
              <w:ind w:left="40"/>
              <w:spacing w:after="0"/>
              <w:rPr>
                <w:sz w:val="20"/>
                <w:szCs w:val="20"/>
                <w:color w:val="auto"/>
              </w:rPr>
            </w:pPr>
            <w:r>
              <w:rPr>
                <w:rFonts w:ascii="Arial" w:cs="Arial" w:eastAsia="Arial" w:hAnsi="Arial"/>
                <w:sz w:val="18"/>
                <w:szCs w:val="18"/>
                <w:color w:val="auto"/>
              </w:rPr>
              <w:t>/s/ JOHN R. ERICKSON</w:t>
            </w:r>
          </w:p>
        </w:tc>
        <w:tc>
          <w:tcPr>
            <w:tcW w:w="3920" w:type="dxa"/>
            <w:vAlign w:val="bottom"/>
          </w:tcPr>
          <w:p>
            <w:pPr>
              <w:ind w:left="20"/>
              <w:spacing w:after="0"/>
              <w:rPr>
                <w:sz w:val="20"/>
                <w:szCs w:val="20"/>
                <w:color w:val="auto"/>
              </w:rPr>
            </w:pPr>
            <w:r>
              <w:rPr>
                <w:rFonts w:ascii="Arial" w:cs="Arial" w:eastAsia="Arial" w:hAnsi="Arial"/>
                <w:sz w:val="18"/>
                <w:szCs w:val="18"/>
                <w:color w:val="auto"/>
              </w:rPr>
              <w:t>Director, Executive Vice President and Chief</w:t>
            </w:r>
          </w:p>
        </w:tc>
        <w:tc>
          <w:tcPr>
            <w:tcW w:w="4220" w:type="dxa"/>
            <w:vAlign w:val="bottom"/>
          </w:tcPr>
          <w:p>
            <w:pPr>
              <w:ind w:left="2960"/>
              <w:spacing w:after="0"/>
              <w:rPr>
                <w:sz w:val="20"/>
                <w:szCs w:val="20"/>
                <w:color w:val="auto"/>
              </w:rPr>
            </w:pPr>
            <w:r>
              <w:rPr>
                <w:rFonts w:ascii="Arial" w:cs="Arial" w:eastAsia="Arial" w:hAnsi="Arial"/>
                <w:sz w:val="18"/>
                <w:szCs w:val="18"/>
                <w:color w:val="auto"/>
                <w:w w:val="89"/>
              </w:rPr>
              <w:t>January __, 2016</w:t>
            </w:r>
          </w:p>
        </w:tc>
      </w:tr>
      <w:tr>
        <w:trPr>
          <w:trHeight w:val="27"/>
        </w:trPr>
        <w:tc>
          <w:tcPr>
            <w:tcW w:w="2740" w:type="dxa"/>
            <w:vAlign w:val="bottom"/>
            <w:tcBorders>
              <w:bottom w:val="single" w:sz="8" w:color="auto"/>
            </w:tcBorders>
          </w:tcPr>
          <w:p>
            <w:pPr>
              <w:spacing w:after="0"/>
              <w:rPr>
                <w:sz w:val="2"/>
                <w:szCs w:val="2"/>
                <w:color w:val="auto"/>
              </w:rPr>
            </w:pPr>
          </w:p>
        </w:tc>
        <w:tc>
          <w:tcPr>
            <w:tcW w:w="3920" w:type="dxa"/>
            <w:vAlign w:val="bottom"/>
          </w:tcPr>
          <w:p>
            <w:pPr>
              <w:spacing w:after="0"/>
              <w:rPr>
                <w:sz w:val="2"/>
                <w:szCs w:val="2"/>
                <w:color w:val="auto"/>
              </w:rPr>
            </w:pPr>
          </w:p>
        </w:tc>
        <w:tc>
          <w:tcPr>
            <w:tcW w:w="4220" w:type="dxa"/>
            <w:vAlign w:val="bottom"/>
          </w:tcPr>
          <w:p>
            <w:pPr>
              <w:spacing w:after="0"/>
              <w:rPr>
                <w:sz w:val="2"/>
                <w:szCs w:val="2"/>
                <w:color w:val="auto"/>
              </w:rPr>
            </w:pPr>
          </w:p>
        </w:tc>
      </w:tr>
      <w:tr>
        <w:trPr>
          <w:trHeight w:val="237"/>
        </w:trPr>
        <w:tc>
          <w:tcPr>
            <w:tcW w:w="2740" w:type="dxa"/>
            <w:vAlign w:val="bottom"/>
          </w:tcPr>
          <w:p>
            <w:pPr>
              <w:ind w:left="40"/>
              <w:spacing w:after="0"/>
              <w:rPr>
                <w:sz w:val="20"/>
                <w:szCs w:val="20"/>
                <w:color w:val="auto"/>
              </w:rPr>
            </w:pPr>
            <w:r>
              <w:rPr>
                <w:rFonts w:ascii="Arial" w:cs="Arial" w:eastAsia="Arial" w:hAnsi="Arial"/>
                <w:sz w:val="18"/>
                <w:szCs w:val="18"/>
                <w:color w:val="auto"/>
              </w:rPr>
              <w:t>John R. Erickson</w:t>
            </w:r>
          </w:p>
        </w:tc>
        <w:tc>
          <w:tcPr>
            <w:tcW w:w="3920" w:type="dxa"/>
            <w:vAlign w:val="bottom"/>
          </w:tcPr>
          <w:p>
            <w:pPr>
              <w:ind w:left="20"/>
              <w:spacing w:after="0"/>
              <w:rPr>
                <w:sz w:val="20"/>
                <w:szCs w:val="20"/>
                <w:color w:val="auto"/>
              </w:rPr>
            </w:pPr>
            <w:r>
              <w:rPr>
                <w:rFonts w:ascii="Arial" w:cs="Arial" w:eastAsia="Arial" w:hAnsi="Arial"/>
                <w:sz w:val="18"/>
                <w:szCs w:val="18"/>
                <w:color w:val="auto"/>
              </w:rPr>
              <w:t>Financial Officer (Principal Financial Officer)</w:t>
            </w:r>
          </w:p>
        </w:tc>
        <w:tc>
          <w:tcPr>
            <w:tcW w:w="4220" w:type="dxa"/>
            <w:vAlign w:val="bottom"/>
          </w:tcPr>
          <w:p>
            <w:pPr>
              <w:spacing w:after="0"/>
              <w:rPr>
                <w:sz w:val="20"/>
                <w:szCs w:val="20"/>
                <w:color w:val="auto"/>
              </w:rPr>
            </w:pPr>
          </w:p>
        </w:tc>
      </w:tr>
      <w:tr>
        <w:trPr>
          <w:trHeight w:val="567"/>
        </w:trPr>
        <w:tc>
          <w:tcPr>
            <w:tcW w:w="2740" w:type="dxa"/>
            <w:vAlign w:val="bottom"/>
          </w:tcPr>
          <w:p>
            <w:pPr>
              <w:ind w:left="40"/>
              <w:spacing w:after="0"/>
              <w:rPr>
                <w:sz w:val="20"/>
                <w:szCs w:val="20"/>
                <w:color w:val="auto"/>
              </w:rPr>
            </w:pPr>
            <w:r>
              <w:rPr>
                <w:rFonts w:ascii="Arial" w:cs="Arial" w:eastAsia="Arial" w:hAnsi="Arial"/>
                <w:sz w:val="18"/>
                <w:szCs w:val="18"/>
                <w:color w:val="auto"/>
              </w:rPr>
              <w:t>/s/ BERNICE E. BELL</w:t>
            </w:r>
          </w:p>
        </w:tc>
        <w:tc>
          <w:tcPr>
            <w:tcW w:w="3920" w:type="dxa"/>
            <w:vAlign w:val="bottom"/>
          </w:tcPr>
          <w:p>
            <w:pPr>
              <w:ind w:left="20"/>
              <w:spacing w:after="0"/>
              <w:rPr>
                <w:sz w:val="20"/>
                <w:szCs w:val="20"/>
                <w:color w:val="auto"/>
              </w:rPr>
            </w:pPr>
            <w:r>
              <w:rPr>
                <w:rFonts w:ascii="Arial" w:cs="Arial" w:eastAsia="Arial" w:hAnsi="Arial"/>
                <w:sz w:val="18"/>
                <w:szCs w:val="18"/>
                <w:color w:val="auto"/>
              </w:rPr>
              <w:t>Senior Vice President and Chief Accounting</w:t>
            </w:r>
          </w:p>
        </w:tc>
        <w:tc>
          <w:tcPr>
            <w:tcW w:w="4220" w:type="dxa"/>
            <w:vAlign w:val="bottom"/>
          </w:tcPr>
          <w:p>
            <w:pPr>
              <w:ind w:left="2960"/>
              <w:spacing w:after="0"/>
              <w:rPr>
                <w:sz w:val="20"/>
                <w:szCs w:val="20"/>
                <w:color w:val="auto"/>
              </w:rPr>
            </w:pPr>
            <w:r>
              <w:rPr>
                <w:rFonts w:ascii="Arial" w:cs="Arial" w:eastAsia="Arial" w:hAnsi="Arial"/>
                <w:sz w:val="18"/>
                <w:szCs w:val="18"/>
                <w:color w:val="auto"/>
                <w:w w:val="89"/>
              </w:rPr>
              <w:t>January __, 2016</w:t>
            </w:r>
          </w:p>
        </w:tc>
      </w:tr>
      <w:tr>
        <w:trPr>
          <w:trHeight w:val="27"/>
        </w:trPr>
        <w:tc>
          <w:tcPr>
            <w:tcW w:w="2740" w:type="dxa"/>
            <w:vAlign w:val="bottom"/>
            <w:tcBorders>
              <w:bottom w:val="single" w:sz="8" w:color="auto"/>
            </w:tcBorders>
          </w:tcPr>
          <w:p>
            <w:pPr>
              <w:spacing w:after="0"/>
              <w:rPr>
                <w:sz w:val="2"/>
                <w:szCs w:val="2"/>
                <w:color w:val="auto"/>
              </w:rPr>
            </w:pPr>
          </w:p>
        </w:tc>
        <w:tc>
          <w:tcPr>
            <w:tcW w:w="3920" w:type="dxa"/>
            <w:vAlign w:val="bottom"/>
          </w:tcPr>
          <w:p>
            <w:pPr>
              <w:spacing w:after="0"/>
              <w:rPr>
                <w:sz w:val="2"/>
                <w:szCs w:val="2"/>
                <w:color w:val="auto"/>
              </w:rPr>
            </w:pPr>
          </w:p>
        </w:tc>
        <w:tc>
          <w:tcPr>
            <w:tcW w:w="4220" w:type="dxa"/>
            <w:vAlign w:val="bottom"/>
          </w:tcPr>
          <w:p>
            <w:pPr>
              <w:spacing w:after="0"/>
              <w:rPr>
                <w:sz w:val="2"/>
                <w:szCs w:val="2"/>
                <w:color w:val="auto"/>
              </w:rPr>
            </w:pPr>
          </w:p>
        </w:tc>
      </w:tr>
      <w:tr>
        <w:trPr>
          <w:trHeight w:val="237"/>
        </w:trPr>
        <w:tc>
          <w:tcPr>
            <w:tcW w:w="2740" w:type="dxa"/>
            <w:vAlign w:val="bottom"/>
          </w:tcPr>
          <w:p>
            <w:pPr>
              <w:ind w:left="40"/>
              <w:spacing w:after="0"/>
              <w:rPr>
                <w:sz w:val="20"/>
                <w:szCs w:val="20"/>
                <w:color w:val="auto"/>
              </w:rPr>
            </w:pPr>
            <w:r>
              <w:rPr>
                <w:rFonts w:ascii="Arial" w:cs="Arial" w:eastAsia="Arial" w:hAnsi="Arial"/>
                <w:sz w:val="18"/>
                <w:szCs w:val="18"/>
                <w:color w:val="auto"/>
              </w:rPr>
              <w:t>Bernice E. Bell</w:t>
            </w:r>
          </w:p>
        </w:tc>
        <w:tc>
          <w:tcPr>
            <w:tcW w:w="3920" w:type="dxa"/>
            <w:vAlign w:val="bottom"/>
          </w:tcPr>
          <w:p>
            <w:pPr>
              <w:ind w:left="20"/>
              <w:spacing w:after="0"/>
              <w:rPr>
                <w:sz w:val="20"/>
                <w:szCs w:val="20"/>
                <w:color w:val="auto"/>
              </w:rPr>
            </w:pPr>
            <w:r>
              <w:rPr>
                <w:rFonts w:ascii="Arial" w:cs="Arial" w:eastAsia="Arial" w:hAnsi="Arial"/>
                <w:sz w:val="18"/>
                <w:szCs w:val="18"/>
                <w:color w:val="auto"/>
              </w:rPr>
              <w:t>Officer (Principal Accounting Officer)</w:t>
            </w:r>
          </w:p>
        </w:tc>
        <w:tc>
          <w:tcPr>
            <w:tcW w:w="4220" w:type="dxa"/>
            <w:vAlign w:val="bottom"/>
          </w:tcPr>
          <w:p>
            <w:pPr>
              <w:spacing w:after="0"/>
              <w:rPr>
                <w:sz w:val="20"/>
                <w:szCs w:val="20"/>
                <w:color w:val="auto"/>
              </w:rPr>
            </w:pPr>
          </w:p>
        </w:tc>
      </w:tr>
      <w:tr>
        <w:trPr>
          <w:trHeight w:val="567"/>
        </w:trPr>
        <w:tc>
          <w:tcPr>
            <w:tcW w:w="2740" w:type="dxa"/>
            <w:vAlign w:val="bottom"/>
          </w:tcPr>
          <w:p>
            <w:pPr>
              <w:ind w:left="40"/>
              <w:spacing w:after="0"/>
              <w:rPr>
                <w:sz w:val="20"/>
                <w:szCs w:val="20"/>
                <w:color w:val="auto"/>
              </w:rPr>
            </w:pPr>
            <w:r>
              <w:rPr>
                <w:rFonts w:ascii="Arial" w:cs="Arial" w:eastAsia="Arial" w:hAnsi="Arial"/>
                <w:sz w:val="18"/>
                <w:szCs w:val="18"/>
                <w:color w:val="auto"/>
              </w:rPr>
              <w:t>/s/ ROBERT M. COUCH</w:t>
            </w:r>
          </w:p>
        </w:tc>
        <w:tc>
          <w:tcPr>
            <w:tcW w:w="3920" w:type="dxa"/>
            <w:vAlign w:val="bottom"/>
          </w:tcPr>
          <w:p>
            <w:pPr>
              <w:ind w:left="20"/>
              <w:spacing w:after="0"/>
              <w:rPr>
                <w:sz w:val="20"/>
                <w:szCs w:val="20"/>
                <w:color w:val="auto"/>
              </w:rPr>
            </w:pPr>
            <w:r>
              <w:rPr>
                <w:rFonts w:ascii="Arial" w:cs="Arial" w:eastAsia="Arial" w:hAnsi="Arial"/>
                <w:sz w:val="18"/>
                <w:szCs w:val="18"/>
                <w:color w:val="auto"/>
              </w:rPr>
              <w:t>Director</w:t>
            </w:r>
          </w:p>
        </w:tc>
        <w:tc>
          <w:tcPr>
            <w:tcW w:w="4220" w:type="dxa"/>
            <w:vAlign w:val="bottom"/>
          </w:tcPr>
          <w:p>
            <w:pPr>
              <w:ind w:left="2960"/>
              <w:spacing w:after="0"/>
              <w:rPr>
                <w:sz w:val="20"/>
                <w:szCs w:val="20"/>
                <w:color w:val="auto"/>
              </w:rPr>
            </w:pPr>
            <w:r>
              <w:rPr>
                <w:rFonts w:ascii="Arial" w:cs="Arial" w:eastAsia="Arial" w:hAnsi="Arial"/>
                <w:sz w:val="18"/>
                <w:szCs w:val="18"/>
                <w:color w:val="auto"/>
                <w:w w:val="89"/>
              </w:rPr>
              <w:t>January __, 2016</w:t>
            </w:r>
          </w:p>
        </w:tc>
      </w:tr>
      <w:tr>
        <w:trPr>
          <w:trHeight w:val="27"/>
        </w:trPr>
        <w:tc>
          <w:tcPr>
            <w:tcW w:w="2740" w:type="dxa"/>
            <w:vAlign w:val="bottom"/>
            <w:tcBorders>
              <w:bottom w:val="single" w:sz="8" w:color="auto"/>
            </w:tcBorders>
          </w:tcPr>
          <w:p>
            <w:pPr>
              <w:spacing w:after="0"/>
              <w:rPr>
                <w:sz w:val="2"/>
                <w:szCs w:val="2"/>
                <w:color w:val="auto"/>
              </w:rPr>
            </w:pPr>
          </w:p>
        </w:tc>
        <w:tc>
          <w:tcPr>
            <w:tcW w:w="3920" w:type="dxa"/>
            <w:vAlign w:val="bottom"/>
          </w:tcPr>
          <w:p>
            <w:pPr>
              <w:spacing w:after="0"/>
              <w:rPr>
                <w:sz w:val="2"/>
                <w:szCs w:val="2"/>
                <w:color w:val="auto"/>
              </w:rPr>
            </w:pPr>
          </w:p>
        </w:tc>
        <w:tc>
          <w:tcPr>
            <w:tcW w:w="4220" w:type="dxa"/>
            <w:vAlign w:val="bottom"/>
          </w:tcPr>
          <w:p>
            <w:pPr>
              <w:spacing w:after="0"/>
              <w:rPr>
                <w:sz w:val="2"/>
                <w:szCs w:val="2"/>
                <w:color w:val="auto"/>
              </w:rPr>
            </w:pPr>
          </w:p>
        </w:tc>
      </w:tr>
      <w:tr>
        <w:trPr>
          <w:trHeight w:val="237"/>
        </w:trPr>
        <w:tc>
          <w:tcPr>
            <w:tcW w:w="2740" w:type="dxa"/>
            <w:vAlign w:val="bottom"/>
          </w:tcPr>
          <w:p>
            <w:pPr>
              <w:ind w:left="40"/>
              <w:spacing w:after="0"/>
              <w:rPr>
                <w:sz w:val="20"/>
                <w:szCs w:val="20"/>
                <w:color w:val="auto"/>
              </w:rPr>
            </w:pPr>
            <w:r>
              <w:rPr>
                <w:rFonts w:ascii="Arial" w:cs="Arial" w:eastAsia="Arial" w:hAnsi="Arial"/>
                <w:sz w:val="18"/>
                <w:szCs w:val="18"/>
                <w:color w:val="auto"/>
              </w:rPr>
              <w:t>Robert M. Couch</w:t>
            </w:r>
          </w:p>
        </w:tc>
        <w:tc>
          <w:tcPr>
            <w:tcW w:w="3920" w:type="dxa"/>
            <w:vAlign w:val="bottom"/>
          </w:tcPr>
          <w:p>
            <w:pPr>
              <w:spacing w:after="0"/>
              <w:rPr>
                <w:sz w:val="20"/>
                <w:szCs w:val="20"/>
                <w:color w:val="auto"/>
              </w:rPr>
            </w:pPr>
          </w:p>
        </w:tc>
        <w:tc>
          <w:tcPr>
            <w:tcW w:w="4220" w:type="dxa"/>
            <w:vAlign w:val="bottom"/>
          </w:tcPr>
          <w:p>
            <w:pPr>
              <w:spacing w:after="0"/>
              <w:rPr>
                <w:sz w:val="20"/>
                <w:szCs w:val="20"/>
                <w:color w:val="auto"/>
              </w:rPr>
            </w:pPr>
          </w:p>
        </w:tc>
      </w:tr>
      <w:tr>
        <w:trPr>
          <w:trHeight w:val="567"/>
        </w:trPr>
        <w:tc>
          <w:tcPr>
            <w:tcW w:w="2740" w:type="dxa"/>
            <w:vAlign w:val="bottom"/>
          </w:tcPr>
          <w:p>
            <w:pPr>
              <w:ind w:left="40"/>
              <w:spacing w:after="0"/>
              <w:rPr>
                <w:sz w:val="20"/>
                <w:szCs w:val="20"/>
                <w:color w:val="auto"/>
              </w:rPr>
            </w:pPr>
            <w:r>
              <w:rPr>
                <w:rFonts w:ascii="Arial" w:cs="Arial" w:eastAsia="Arial" w:hAnsi="Arial"/>
                <w:sz w:val="18"/>
                <w:szCs w:val="18"/>
                <w:color w:val="auto"/>
              </w:rPr>
              <w:t>/s/ MORRIS A. DAVIS</w:t>
            </w:r>
          </w:p>
        </w:tc>
        <w:tc>
          <w:tcPr>
            <w:tcW w:w="3920" w:type="dxa"/>
            <w:vAlign w:val="bottom"/>
          </w:tcPr>
          <w:p>
            <w:pPr>
              <w:ind w:left="20"/>
              <w:spacing w:after="0"/>
              <w:rPr>
                <w:sz w:val="20"/>
                <w:szCs w:val="20"/>
                <w:color w:val="auto"/>
              </w:rPr>
            </w:pPr>
            <w:r>
              <w:rPr>
                <w:rFonts w:ascii="Arial" w:cs="Arial" w:eastAsia="Arial" w:hAnsi="Arial"/>
                <w:sz w:val="18"/>
                <w:szCs w:val="18"/>
                <w:color w:val="auto"/>
              </w:rPr>
              <w:t>Director</w:t>
            </w:r>
          </w:p>
        </w:tc>
        <w:tc>
          <w:tcPr>
            <w:tcW w:w="4220" w:type="dxa"/>
            <w:vAlign w:val="bottom"/>
          </w:tcPr>
          <w:p>
            <w:pPr>
              <w:ind w:left="2960"/>
              <w:spacing w:after="0"/>
              <w:rPr>
                <w:sz w:val="20"/>
                <w:szCs w:val="20"/>
                <w:color w:val="auto"/>
              </w:rPr>
            </w:pPr>
            <w:r>
              <w:rPr>
                <w:rFonts w:ascii="Arial" w:cs="Arial" w:eastAsia="Arial" w:hAnsi="Arial"/>
                <w:sz w:val="18"/>
                <w:szCs w:val="18"/>
                <w:color w:val="auto"/>
                <w:w w:val="89"/>
              </w:rPr>
              <w:t>January __, 2016</w:t>
            </w:r>
          </w:p>
        </w:tc>
      </w:tr>
      <w:tr>
        <w:trPr>
          <w:trHeight w:val="27"/>
        </w:trPr>
        <w:tc>
          <w:tcPr>
            <w:tcW w:w="2740" w:type="dxa"/>
            <w:vAlign w:val="bottom"/>
            <w:tcBorders>
              <w:bottom w:val="single" w:sz="8" w:color="auto"/>
            </w:tcBorders>
          </w:tcPr>
          <w:p>
            <w:pPr>
              <w:spacing w:after="0"/>
              <w:rPr>
                <w:sz w:val="2"/>
                <w:szCs w:val="2"/>
                <w:color w:val="auto"/>
              </w:rPr>
            </w:pPr>
          </w:p>
        </w:tc>
        <w:tc>
          <w:tcPr>
            <w:tcW w:w="3920" w:type="dxa"/>
            <w:vAlign w:val="bottom"/>
          </w:tcPr>
          <w:p>
            <w:pPr>
              <w:spacing w:after="0"/>
              <w:rPr>
                <w:sz w:val="2"/>
                <w:szCs w:val="2"/>
                <w:color w:val="auto"/>
              </w:rPr>
            </w:pPr>
          </w:p>
        </w:tc>
        <w:tc>
          <w:tcPr>
            <w:tcW w:w="4220" w:type="dxa"/>
            <w:vAlign w:val="bottom"/>
          </w:tcPr>
          <w:p>
            <w:pPr>
              <w:spacing w:after="0"/>
              <w:rPr>
                <w:sz w:val="2"/>
                <w:szCs w:val="2"/>
                <w:color w:val="auto"/>
              </w:rPr>
            </w:pPr>
          </w:p>
        </w:tc>
      </w:tr>
      <w:tr>
        <w:trPr>
          <w:trHeight w:val="237"/>
        </w:trPr>
        <w:tc>
          <w:tcPr>
            <w:tcW w:w="2740" w:type="dxa"/>
            <w:vAlign w:val="bottom"/>
          </w:tcPr>
          <w:p>
            <w:pPr>
              <w:ind w:left="40"/>
              <w:spacing w:after="0"/>
              <w:rPr>
                <w:sz w:val="20"/>
                <w:szCs w:val="20"/>
                <w:color w:val="auto"/>
              </w:rPr>
            </w:pPr>
            <w:r>
              <w:rPr>
                <w:rFonts w:ascii="Arial" w:cs="Arial" w:eastAsia="Arial" w:hAnsi="Arial"/>
                <w:sz w:val="18"/>
                <w:szCs w:val="18"/>
                <w:color w:val="auto"/>
              </w:rPr>
              <w:t>Morris A. Davis</w:t>
            </w:r>
          </w:p>
        </w:tc>
        <w:tc>
          <w:tcPr>
            <w:tcW w:w="3920" w:type="dxa"/>
            <w:vAlign w:val="bottom"/>
          </w:tcPr>
          <w:p>
            <w:pPr>
              <w:spacing w:after="0"/>
              <w:rPr>
                <w:sz w:val="20"/>
                <w:szCs w:val="20"/>
                <w:color w:val="auto"/>
              </w:rPr>
            </w:pPr>
          </w:p>
        </w:tc>
        <w:tc>
          <w:tcPr>
            <w:tcW w:w="4220" w:type="dxa"/>
            <w:vAlign w:val="bottom"/>
          </w:tcPr>
          <w:p>
            <w:pPr>
              <w:spacing w:after="0"/>
              <w:rPr>
                <w:sz w:val="20"/>
                <w:szCs w:val="20"/>
                <w:color w:val="auto"/>
              </w:rPr>
            </w:pPr>
          </w:p>
        </w:tc>
      </w:tr>
      <w:tr>
        <w:trPr>
          <w:trHeight w:val="567"/>
        </w:trPr>
        <w:tc>
          <w:tcPr>
            <w:tcW w:w="2740" w:type="dxa"/>
            <w:vAlign w:val="bottom"/>
          </w:tcPr>
          <w:p>
            <w:pPr>
              <w:ind w:left="40"/>
              <w:spacing w:after="0"/>
              <w:rPr>
                <w:sz w:val="20"/>
                <w:szCs w:val="20"/>
                <w:color w:val="auto"/>
              </w:rPr>
            </w:pPr>
            <w:r>
              <w:rPr>
                <w:rFonts w:ascii="Arial" w:cs="Arial" w:eastAsia="Arial" w:hAnsi="Arial"/>
                <w:sz w:val="18"/>
                <w:szCs w:val="18"/>
                <w:color w:val="auto"/>
              </w:rPr>
              <w:t>/s/ RANDOLPH E. DOBBS</w:t>
            </w:r>
          </w:p>
        </w:tc>
        <w:tc>
          <w:tcPr>
            <w:tcW w:w="3920" w:type="dxa"/>
            <w:vAlign w:val="bottom"/>
          </w:tcPr>
          <w:p>
            <w:pPr>
              <w:ind w:left="20"/>
              <w:spacing w:after="0"/>
              <w:rPr>
                <w:sz w:val="20"/>
                <w:szCs w:val="20"/>
                <w:color w:val="auto"/>
              </w:rPr>
            </w:pPr>
            <w:r>
              <w:rPr>
                <w:rFonts w:ascii="Arial" w:cs="Arial" w:eastAsia="Arial" w:hAnsi="Arial"/>
                <w:sz w:val="18"/>
                <w:szCs w:val="18"/>
                <w:color w:val="auto"/>
              </w:rPr>
              <w:t>Director</w:t>
            </w:r>
          </w:p>
        </w:tc>
        <w:tc>
          <w:tcPr>
            <w:tcW w:w="4220" w:type="dxa"/>
            <w:vAlign w:val="bottom"/>
          </w:tcPr>
          <w:p>
            <w:pPr>
              <w:ind w:left="2960"/>
              <w:spacing w:after="0"/>
              <w:rPr>
                <w:sz w:val="20"/>
                <w:szCs w:val="20"/>
                <w:color w:val="auto"/>
              </w:rPr>
            </w:pPr>
            <w:r>
              <w:rPr>
                <w:rFonts w:ascii="Arial" w:cs="Arial" w:eastAsia="Arial" w:hAnsi="Arial"/>
                <w:sz w:val="18"/>
                <w:szCs w:val="18"/>
                <w:color w:val="auto"/>
                <w:w w:val="89"/>
              </w:rPr>
              <w:t>January __, 2016</w:t>
            </w:r>
          </w:p>
        </w:tc>
      </w:tr>
      <w:tr>
        <w:trPr>
          <w:trHeight w:val="27"/>
        </w:trPr>
        <w:tc>
          <w:tcPr>
            <w:tcW w:w="2740" w:type="dxa"/>
            <w:vAlign w:val="bottom"/>
            <w:tcBorders>
              <w:bottom w:val="single" w:sz="8" w:color="auto"/>
            </w:tcBorders>
          </w:tcPr>
          <w:p>
            <w:pPr>
              <w:spacing w:after="0"/>
              <w:rPr>
                <w:sz w:val="2"/>
                <w:szCs w:val="2"/>
                <w:color w:val="auto"/>
              </w:rPr>
            </w:pPr>
          </w:p>
        </w:tc>
        <w:tc>
          <w:tcPr>
            <w:tcW w:w="3920" w:type="dxa"/>
            <w:vAlign w:val="bottom"/>
          </w:tcPr>
          <w:p>
            <w:pPr>
              <w:spacing w:after="0"/>
              <w:rPr>
                <w:sz w:val="2"/>
                <w:szCs w:val="2"/>
                <w:color w:val="auto"/>
              </w:rPr>
            </w:pPr>
          </w:p>
        </w:tc>
        <w:tc>
          <w:tcPr>
            <w:tcW w:w="4220" w:type="dxa"/>
            <w:vAlign w:val="bottom"/>
          </w:tcPr>
          <w:p>
            <w:pPr>
              <w:spacing w:after="0"/>
              <w:rPr>
                <w:sz w:val="2"/>
                <w:szCs w:val="2"/>
                <w:color w:val="auto"/>
              </w:rPr>
            </w:pPr>
          </w:p>
        </w:tc>
      </w:tr>
      <w:tr>
        <w:trPr>
          <w:trHeight w:val="237"/>
        </w:trPr>
        <w:tc>
          <w:tcPr>
            <w:tcW w:w="2740" w:type="dxa"/>
            <w:vAlign w:val="bottom"/>
          </w:tcPr>
          <w:p>
            <w:pPr>
              <w:ind w:left="40"/>
              <w:spacing w:after="0"/>
              <w:rPr>
                <w:sz w:val="20"/>
                <w:szCs w:val="20"/>
                <w:color w:val="auto"/>
              </w:rPr>
            </w:pPr>
            <w:r>
              <w:rPr>
                <w:rFonts w:ascii="Arial" w:cs="Arial" w:eastAsia="Arial" w:hAnsi="Arial"/>
                <w:sz w:val="18"/>
                <w:szCs w:val="18"/>
                <w:color w:val="auto"/>
              </w:rPr>
              <w:t>Randolph E. Dobbs</w:t>
            </w:r>
          </w:p>
        </w:tc>
        <w:tc>
          <w:tcPr>
            <w:tcW w:w="3920" w:type="dxa"/>
            <w:vAlign w:val="bottom"/>
          </w:tcPr>
          <w:p>
            <w:pPr>
              <w:spacing w:after="0"/>
              <w:rPr>
                <w:sz w:val="20"/>
                <w:szCs w:val="20"/>
                <w:color w:val="auto"/>
              </w:rPr>
            </w:pPr>
          </w:p>
        </w:tc>
        <w:tc>
          <w:tcPr>
            <w:tcW w:w="4220" w:type="dxa"/>
            <w:vAlign w:val="bottom"/>
          </w:tcPr>
          <w:p>
            <w:pPr>
              <w:spacing w:after="0"/>
              <w:rPr>
                <w:sz w:val="20"/>
                <w:szCs w:val="20"/>
                <w:color w:val="auto"/>
              </w:rPr>
            </w:pPr>
          </w:p>
        </w:tc>
      </w:tr>
      <w:tr>
        <w:trPr>
          <w:trHeight w:val="567"/>
        </w:trPr>
        <w:tc>
          <w:tcPr>
            <w:tcW w:w="2740" w:type="dxa"/>
            <w:vAlign w:val="bottom"/>
          </w:tcPr>
          <w:p>
            <w:pPr>
              <w:ind w:left="40"/>
              <w:spacing w:after="0"/>
              <w:rPr>
                <w:sz w:val="20"/>
                <w:szCs w:val="20"/>
                <w:color w:val="auto"/>
              </w:rPr>
            </w:pPr>
            <w:r>
              <w:rPr>
                <w:rFonts w:ascii="Arial" w:cs="Arial" w:eastAsia="Arial" w:hAnsi="Arial"/>
                <w:sz w:val="18"/>
                <w:szCs w:val="18"/>
                <w:color w:val="auto"/>
              </w:rPr>
              <w:t>/s/ SAMUEL A. FLAX</w:t>
            </w:r>
          </w:p>
        </w:tc>
        <w:tc>
          <w:tcPr>
            <w:tcW w:w="3920" w:type="dxa"/>
            <w:vAlign w:val="bottom"/>
          </w:tcPr>
          <w:p>
            <w:pPr>
              <w:ind w:left="20"/>
              <w:spacing w:after="0"/>
              <w:rPr>
                <w:sz w:val="20"/>
                <w:szCs w:val="20"/>
                <w:color w:val="auto"/>
              </w:rPr>
            </w:pPr>
            <w:r>
              <w:rPr>
                <w:rFonts w:ascii="Arial" w:cs="Arial" w:eastAsia="Arial" w:hAnsi="Arial"/>
                <w:sz w:val="18"/>
                <w:szCs w:val="18"/>
                <w:color w:val="auto"/>
              </w:rPr>
              <w:t>Director</w:t>
            </w:r>
          </w:p>
        </w:tc>
        <w:tc>
          <w:tcPr>
            <w:tcW w:w="4220" w:type="dxa"/>
            <w:vAlign w:val="bottom"/>
          </w:tcPr>
          <w:p>
            <w:pPr>
              <w:ind w:left="2960"/>
              <w:spacing w:after="0"/>
              <w:rPr>
                <w:sz w:val="20"/>
                <w:szCs w:val="20"/>
                <w:color w:val="auto"/>
              </w:rPr>
            </w:pPr>
            <w:r>
              <w:rPr>
                <w:rFonts w:ascii="Arial" w:cs="Arial" w:eastAsia="Arial" w:hAnsi="Arial"/>
                <w:sz w:val="18"/>
                <w:szCs w:val="18"/>
                <w:color w:val="auto"/>
                <w:w w:val="89"/>
              </w:rPr>
              <w:t>January __, 2016</w:t>
            </w:r>
          </w:p>
        </w:tc>
      </w:tr>
      <w:tr>
        <w:trPr>
          <w:trHeight w:val="27"/>
        </w:trPr>
        <w:tc>
          <w:tcPr>
            <w:tcW w:w="2740" w:type="dxa"/>
            <w:vAlign w:val="bottom"/>
            <w:tcBorders>
              <w:bottom w:val="single" w:sz="8" w:color="auto"/>
            </w:tcBorders>
          </w:tcPr>
          <w:p>
            <w:pPr>
              <w:spacing w:after="0"/>
              <w:rPr>
                <w:sz w:val="2"/>
                <w:szCs w:val="2"/>
                <w:color w:val="auto"/>
              </w:rPr>
            </w:pPr>
          </w:p>
        </w:tc>
        <w:tc>
          <w:tcPr>
            <w:tcW w:w="3920" w:type="dxa"/>
            <w:vAlign w:val="bottom"/>
          </w:tcPr>
          <w:p>
            <w:pPr>
              <w:spacing w:after="0"/>
              <w:rPr>
                <w:sz w:val="2"/>
                <w:szCs w:val="2"/>
                <w:color w:val="auto"/>
              </w:rPr>
            </w:pPr>
          </w:p>
        </w:tc>
        <w:tc>
          <w:tcPr>
            <w:tcW w:w="4220" w:type="dxa"/>
            <w:vAlign w:val="bottom"/>
          </w:tcPr>
          <w:p>
            <w:pPr>
              <w:spacing w:after="0"/>
              <w:rPr>
                <w:sz w:val="2"/>
                <w:szCs w:val="2"/>
                <w:color w:val="auto"/>
              </w:rPr>
            </w:pPr>
          </w:p>
        </w:tc>
      </w:tr>
      <w:tr>
        <w:trPr>
          <w:trHeight w:val="237"/>
        </w:trPr>
        <w:tc>
          <w:tcPr>
            <w:tcW w:w="2740" w:type="dxa"/>
            <w:vAlign w:val="bottom"/>
          </w:tcPr>
          <w:p>
            <w:pPr>
              <w:ind w:left="40"/>
              <w:spacing w:after="0"/>
              <w:rPr>
                <w:sz w:val="20"/>
                <w:szCs w:val="20"/>
                <w:color w:val="auto"/>
              </w:rPr>
            </w:pPr>
            <w:r>
              <w:rPr>
                <w:rFonts w:ascii="Arial" w:cs="Arial" w:eastAsia="Arial" w:hAnsi="Arial"/>
                <w:sz w:val="18"/>
                <w:szCs w:val="18"/>
                <w:color w:val="auto"/>
              </w:rPr>
              <w:t>Samuel A. Flax</w:t>
            </w:r>
          </w:p>
        </w:tc>
        <w:tc>
          <w:tcPr>
            <w:tcW w:w="3920" w:type="dxa"/>
            <w:vAlign w:val="bottom"/>
          </w:tcPr>
          <w:p>
            <w:pPr>
              <w:spacing w:after="0"/>
              <w:rPr>
                <w:sz w:val="20"/>
                <w:szCs w:val="20"/>
                <w:color w:val="auto"/>
              </w:rPr>
            </w:pPr>
          </w:p>
        </w:tc>
        <w:tc>
          <w:tcPr>
            <w:tcW w:w="4220" w:type="dxa"/>
            <w:vAlign w:val="bottom"/>
          </w:tcPr>
          <w:p>
            <w:pPr>
              <w:spacing w:after="0"/>
              <w:rPr>
                <w:sz w:val="20"/>
                <w:szCs w:val="20"/>
                <w:color w:val="auto"/>
              </w:rPr>
            </w:pPr>
          </w:p>
        </w:tc>
      </w:tr>
      <w:tr>
        <w:trPr>
          <w:trHeight w:val="567"/>
        </w:trPr>
        <w:tc>
          <w:tcPr>
            <w:tcW w:w="2740" w:type="dxa"/>
            <w:vAlign w:val="bottom"/>
          </w:tcPr>
          <w:p>
            <w:pPr>
              <w:ind w:left="40"/>
              <w:spacing w:after="0"/>
              <w:rPr>
                <w:sz w:val="20"/>
                <w:szCs w:val="20"/>
                <w:color w:val="auto"/>
              </w:rPr>
            </w:pPr>
            <w:r>
              <w:rPr>
                <w:rFonts w:ascii="Arial" w:cs="Arial" w:eastAsia="Arial" w:hAnsi="Arial"/>
                <w:sz w:val="18"/>
                <w:szCs w:val="18"/>
                <w:color w:val="auto"/>
              </w:rPr>
              <w:t>/s/ LARRY K. HARVEY</w:t>
            </w:r>
          </w:p>
        </w:tc>
        <w:tc>
          <w:tcPr>
            <w:tcW w:w="3920" w:type="dxa"/>
            <w:vAlign w:val="bottom"/>
          </w:tcPr>
          <w:p>
            <w:pPr>
              <w:ind w:left="20"/>
              <w:spacing w:after="0"/>
              <w:rPr>
                <w:sz w:val="20"/>
                <w:szCs w:val="20"/>
                <w:color w:val="auto"/>
              </w:rPr>
            </w:pPr>
            <w:r>
              <w:rPr>
                <w:rFonts w:ascii="Arial" w:cs="Arial" w:eastAsia="Arial" w:hAnsi="Arial"/>
                <w:sz w:val="18"/>
                <w:szCs w:val="18"/>
                <w:color w:val="auto"/>
              </w:rPr>
              <w:t>Director</w:t>
            </w:r>
          </w:p>
        </w:tc>
        <w:tc>
          <w:tcPr>
            <w:tcW w:w="4220" w:type="dxa"/>
            <w:vAlign w:val="bottom"/>
          </w:tcPr>
          <w:p>
            <w:pPr>
              <w:ind w:left="2960"/>
              <w:spacing w:after="0"/>
              <w:rPr>
                <w:sz w:val="20"/>
                <w:szCs w:val="20"/>
                <w:color w:val="auto"/>
              </w:rPr>
            </w:pPr>
            <w:r>
              <w:rPr>
                <w:rFonts w:ascii="Arial" w:cs="Arial" w:eastAsia="Arial" w:hAnsi="Arial"/>
                <w:sz w:val="18"/>
                <w:szCs w:val="18"/>
                <w:color w:val="auto"/>
                <w:w w:val="89"/>
              </w:rPr>
              <w:t>January __, 2016</w:t>
            </w:r>
          </w:p>
        </w:tc>
      </w:tr>
      <w:tr>
        <w:trPr>
          <w:trHeight w:val="27"/>
        </w:trPr>
        <w:tc>
          <w:tcPr>
            <w:tcW w:w="2740" w:type="dxa"/>
            <w:vAlign w:val="bottom"/>
            <w:tcBorders>
              <w:bottom w:val="single" w:sz="8" w:color="auto"/>
            </w:tcBorders>
          </w:tcPr>
          <w:p>
            <w:pPr>
              <w:spacing w:after="0"/>
              <w:rPr>
                <w:sz w:val="2"/>
                <w:szCs w:val="2"/>
                <w:color w:val="auto"/>
              </w:rPr>
            </w:pPr>
          </w:p>
        </w:tc>
        <w:tc>
          <w:tcPr>
            <w:tcW w:w="3920" w:type="dxa"/>
            <w:vAlign w:val="bottom"/>
          </w:tcPr>
          <w:p>
            <w:pPr>
              <w:spacing w:after="0"/>
              <w:rPr>
                <w:sz w:val="2"/>
                <w:szCs w:val="2"/>
                <w:color w:val="auto"/>
              </w:rPr>
            </w:pPr>
          </w:p>
        </w:tc>
        <w:tc>
          <w:tcPr>
            <w:tcW w:w="4220" w:type="dxa"/>
            <w:vAlign w:val="bottom"/>
          </w:tcPr>
          <w:p>
            <w:pPr>
              <w:spacing w:after="0"/>
              <w:rPr>
                <w:sz w:val="2"/>
                <w:szCs w:val="2"/>
                <w:color w:val="auto"/>
              </w:rPr>
            </w:pPr>
          </w:p>
        </w:tc>
      </w:tr>
      <w:tr>
        <w:trPr>
          <w:trHeight w:val="237"/>
        </w:trPr>
        <w:tc>
          <w:tcPr>
            <w:tcW w:w="2740" w:type="dxa"/>
            <w:vAlign w:val="bottom"/>
          </w:tcPr>
          <w:p>
            <w:pPr>
              <w:ind w:left="40"/>
              <w:spacing w:after="0"/>
              <w:rPr>
                <w:sz w:val="20"/>
                <w:szCs w:val="20"/>
                <w:color w:val="auto"/>
              </w:rPr>
            </w:pPr>
            <w:r>
              <w:rPr>
                <w:rFonts w:ascii="Arial" w:cs="Arial" w:eastAsia="Arial" w:hAnsi="Arial"/>
                <w:sz w:val="18"/>
                <w:szCs w:val="18"/>
                <w:color w:val="auto"/>
              </w:rPr>
              <w:t>Larry K. Harvey</w:t>
            </w:r>
          </w:p>
        </w:tc>
        <w:tc>
          <w:tcPr>
            <w:tcW w:w="3920" w:type="dxa"/>
            <w:vAlign w:val="bottom"/>
          </w:tcPr>
          <w:p>
            <w:pPr>
              <w:spacing w:after="0"/>
              <w:rPr>
                <w:sz w:val="20"/>
                <w:szCs w:val="20"/>
                <w:color w:val="auto"/>
              </w:rPr>
            </w:pPr>
          </w:p>
        </w:tc>
        <w:tc>
          <w:tcPr>
            <w:tcW w:w="4220" w:type="dxa"/>
            <w:vAlign w:val="bottom"/>
          </w:tcPr>
          <w:p>
            <w:pPr>
              <w:spacing w:after="0"/>
              <w:rPr>
                <w:sz w:val="20"/>
                <w:szCs w:val="20"/>
                <w:color w:val="auto"/>
              </w:rPr>
            </w:pPr>
          </w:p>
        </w:tc>
      </w:tr>
      <w:tr>
        <w:trPr>
          <w:trHeight w:val="567"/>
        </w:trPr>
        <w:tc>
          <w:tcPr>
            <w:tcW w:w="2740" w:type="dxa"/>
            <w:vAlign w:val="bottom"/>
          </w:tcPr>
          <w:p>
            <w:pPr>
              <w:ind w:left="40"/>
              <w:spacing w:after="0"/>
              <w:rPr>
                <w:sz w:val="20"/>
                <w:szCs w:val="20"/>
                <w:color w:val="auto"/>
              </w:rPr>
            </w:pPr>
            <w:r>
              <w:rPr>
                <w:rFonts w:ascii="Arial" w:cs="Arial" w:eastAsia="Arial" w:hAnsi="Arial"/>
                <w:sz w:val="18"/>
                <w:szCs w:val="18"/>
                <w:color w:val="auto"/>
              </w:rPr>
              <w:t>/s/ PRUE B. LAROCCA</w:t>
            </w:r>
          </w:p>
        </w:tc>
        <w:tc>
          <w:tcPr>
            <w:tcW w:w="3920" w:type="dxa"/>
            <w:vAlign w:val="bottom"/>
          </w:tcPr>
          <w:p>
            <w:pPr>
              <w:ind w:left="20"/>
              <w:spacing w:after="0"/>
              <w:rPr>
                <w:sz w:val="20"/>
                <w:szCs w:val="20"/>
                <w:color w:val="auto"/>
              </w:rPr>
            </w:pPr>
            <w:r>
              <w:rPr>
                <w:rFonts w:ascii="Arial" w:cs="Arial" w:eastAsia="Arial" w:hAnsi="Arial"/>
                <w:sz w:val="18"/>
                <w:szCs w:val="18"/>
                <w:color w:val="auto"/>
              </w:rPr>
              <w:t>Director</w:t>
            </w:r>
          </w:p>
        </w:tc>
        <w:tc>
          <w:tcPr>
            <w:tcW w:w="4220" w:type="dxa"/>
            <w:vAlign w:val="bottom"/>
          </w:tcPr>
          <w:p>
            <w:pPr>
              <w:ind w:left="2960"/>
              <w:spacing w:after="0"/>
              <w:rPr>
                <w:sz w:val="20"/>
                <w:szCs w:val="20"/>
                <w:color w:val="auto"/>
              </w:rPr>
            </w:pPr>
            <w:r>
              <w:rPr>
                <w:rFonts w:ascii="Arial" w:cs="Arial" w:eastAsia="Arial" w:hAnsi="Arial"/>
                <w:sz w:val="18"/>
                <w:szCs w:val="18"/>
                <w:color w:val="auto"/>
                <w:w w:val="89"/>
              </w:rPr>
              <w:t>January __, 2016</w:t>
            </w:r>
          </w:p>
        </w:tc>
      </w:tr>
      <w:tr>
        <w:trPr>
          <w:trHeight w:val="27"/>
        </w:trPr>
        <w:tc>
          <w:tcPr>
            <w:tcW w:w="2740" w:type="dxa"/>
            <w:vAlign w:val="bottom"/>
            <w:tcBorders>
              <w:bottom w:val="single" w:sz="8" w:color="auto"/>
            </w:tcBorders>
          </w:tcPr>
          <w:p>
            <w:pPr>
              <w:spacing w:after="0"/>
              <w:rPr>
                <w:sz w:val="2"/>
                <w:szCs w:val="2"/>
                <w:color w:val="auto"/>
              </w:rPr>
            </w:pPr>
          </w:p>
        </w:tc>
        <w:tc>
          <w:tcPr>
            <w:tcW w:w="3920" w:type="dxa"/>
            <w:vAlign w:val="bottom"/>
          </w:tcPr>
          <w:p>
            <w:pPr>
              <w:spacing w:after="0"/>
              <w:rPr>
                <w:sz w:val="2"/>
                <w:szCs w:val="2"/>
                <w:color w:val="auto"/>
              </w:rPr>
            </w:pPr>
          </w:p>
        </w:tc>
        <w:tc>
          <w:tcPr>
            <w:tcW w:w="4220" w:type="dxa"/>
            <w:vAlign w:val="bottom"/>
          </w:tcPr>
          <w:p>
            <w:pPr>
              <w:spacing w:after="0"/>
              <w:rPr>
                <w:sz w:val="2"/>
                <w:szCs w:val="2"/>
                <w:color w:val="auto"/>
              </w:rPr>
            </w:pPr>
          </w:p>
        </w:tc>
      </w:tr>
      <w:tr>
        <w:trPr>
          <w:trHeight w:val="237"/>
        </w:trPr>
        <w:tc>
          <w:tcPr>
            <w:tcW w:w="2740" w:type="dxa"/>
            <w:vAlign w:val="bottom"/>
          </w:tcPr>
          <w:p>
            <w:pPr>
              <w:ind w:left="40"/>
              <w:spacing w:after="0"/>
              <w:rPr>
                <w:sz w:val="20"/>
                <w:szCs w:val="20"/>
                <w:color w:val="auto"/>
              </w:rPr>
            </w:pPr>
            <w:r>
              <w:rPr>
                <w:rFonts w:ascii="Arial" w:cs="Arial" w:eastAsia="Arial" w:hAnsi="Arial"/>
                <w:sz w:val="18"/>
                <w:szCs w:val="18"/>
                <w:color w:val="auto"/>
              </w:rPr>
              <w:t>Prue B. Larocca</w:t>
            </w:r>
          </w:p>
        </w:tc>
        <w:tc>
          <w:tcPr>
            <w:tcW w:w="3920" w:type="dxa"/>
            <w:vAlign w:val="bottom"/>
          </w:tcPr>
          <w:p>
            <w:pPr>
              <w:spacing w:after="0"/>
              <w:rPr>
                <w:sz w:val="20"/>
                <w:szCs w:val="20"/>
                <w:color w:val="auto"/>
              </w:rPr>
            </w:pPr>
          </w:p>
        </w:tc>
        <w:tc>
          <w:tcPr>
            <w:tcW w:w="4220" w:type="dxa"/>
            <w:vAlign w:val="bottom"/>
          </w:tcPr>
          <w:p>
            <w:pPr>
              <w:spacing w:after="0"/>
              <w:rPr>
                <w:sz w:val="20"/>
                <w:szCs w:val="20"/>
                <w:color w:val="auto"/>
              </w:rPr>
            </w:pPr>
          </w:p>
        </w:tc>
      </w:tr>
      <w:tr>
        <w:trPr>
          <w:trHeight w:val="567"/>
        </w:trPr>
        <w:tc>
          <w:tcPr>
            <w:tcW w:w="2740" w:type="dxa"/>
            <w:vAlign w:val="bottom"/>
          </w:tcPr>
          <w:p>
            <w:pPr>
              <w:ind w:left="40"/>
              <w:spacing w:after="0"/>
              <w:rPr>
                <w:sz w:val="20"/>
                <w:szCs w:val="20"/>
                <w:color w:val="auto"/>
              </w:rPr>
            </w:pPr>
            <w:r>
              <w:rPr>
                <w:rFonts w:ascii="Arial" w:cs="Arial" w:eastAsia="Arial" w:hAnsi="Arial"/>
                <w:sz w:val="18"/>
                <w:szCs w:val="18"/>
                <w:color w:val="auto"/>
              </w:rPr>
              <w:t>/s/ ALVIN N. PURYEAR</w:t>
            </w:r>
          </w:p>
        </w:tc>
        <w:tc>
          <w:tcPr>
            <w:tcW w:w="3920" w:type="dxa"/>
            <w:vAlign w:val="bottom"/>
          </w:tcPr>
          <w:p>
            <w:pPr>
              <w:ind w:left="20"/>
              <w:spacing w:after="0"/>
              <w:rPr>
                <w:sz w:val="20"/>
                <w:szCs w:val="20"/>
                <w:color w:val="auto"/>
              </w:rPr>
            </w:pPr>
            <w:r>
              <w:rPr>
                <w:rFonts w:ascii="Arial" w:cs="Arial" w:eastAsia="Arial" w:hAnsi="Arial"/>
                <w:sz w:val="18"/>
                <w:szCs w:val="18"/>
                <w:color w:val="auto"/>
              </w:rPr>
              <w:t>Director</w:t>
            </w:r>
          </w:p>
        </w:tc>
        <w:tc>
          <w:tcPr>
            <w:tcW w:w="4220" w:type="dxa"/>
            <w:vAlign w:val="bottom"/>
          </w:tcPr>
          <w:p>
            <w:pPr>
              <w:ind w:left="2960"/>
              <w:spacing w:after="0"/>
              <w:rPr>
                <w:sz w:val="20"/>
                <w:szCs w:val="20"/>
                <w:color w:val="auto"/>
              </w:rPr>
            </w:pPr>
            <w:r>
              <w:rPr>
                <w:rFonts w:ascii="Arial" w:cs="Arial" w:eastAsia="Arial" w:hAnsi="Arial"/>
                <w:sz w:val="18"/>
                <w:szCs w:val="18"/>
                <w:color w:val="auto"/>
                <w:w w:val="89"/>
              </w:rPr>
              <w:t>January __, 2016</w:t>
            </w:r>
          </w:p>
        </w:tc>
      </w:tr>
      <w:tr>
        <w:trPr>
          <w:trHeight w:val="27"/>
        </w:trPr>
        <w:tc>
          <w:tcPr>
            <w:tcW w:w="2740" w:type="dxa"/>
            <w:vAlign w:val="bottom"/>
            <w:tcBorders>
              <w:bottom w:val="single" w:sz="8" w:color="auto"/>
            </w:tcBorders>
          </w:tcPr>
          <w:p>
            <w:pPr>
              <w:spacing w:after="0"/>
              <w:rPr>
                <w:sz w:val="2"/>
                <w:szCs w:val="2"/>
                <w:color w:val="auto"/>
              </w:rPr>
            </w:pPr>
          </w:p>
        </w:tc>
        <w:tc>
          <w:tcPr>
            <w:tcW w:w="3920" w:type="dxa"/>
            <w:vAlign w:val="bottom"/>
          </w:tcPr>
          <w:p>
            <w:pPr>
              <w:spacing w:after="0"/>
              <w:rPr>
                <w:sz w:val="2"/>
                <w:szCs w:val="2"/>
                <w:color w:val="auto"/>
              </w:rPr>
            </w:pPr>
          </w:p>
        </w:tc>
        <w:tc>
          <w:tcPr>
            <w:tcW w:w="4220" w:type="dxa"/>
            <w:vAlign w:val="bottom"/>
          </w:tcPr>
          <w:p>
            <w:pPr>
              <w:spacing w:after="0"/>
              <w:rPr>
                <w:sz w:val="2"/>
                <w:szCs w:val="2"/>
                <w:color w:val="auto"/>
              </w:rPr>
            </w:pPr>
          </w:p>
        </w:tc>
      </w:tr>
      <w:tr>
        <w:trPr>
          <w:trHeight w:val="237"/>
        </w:trPr>
        <w:tc>
          <w:tcPr>
            <w:tcW w:w="2740" w:type="dxa"/>
            <w:vAlign w:val="bottom"/>
          </w:tcPr>
          <w:p>
            <w:pPr>
              <w:ind w:left="40"/>
              <w:spacing w:after="0"/>
              <w:rPr>
                <w:sz w:val="20"/>
                <w:szCs w:val="20"/>
                <w:color w:val="auto"/>
              </w:rPr>
            </w:pPr>
            <w:r>
              <w:rPr>
                <w:rFonts w:ascii="Arial" w:cs="Arial" w:eastAsia="Arial" w:hAnsi="Arial"/>
                <w:sz w:val="18"/>
                <w:szCs w:val="18"/>
                <w:color w:val="auto"/>
              </w:rPr>
              <w:t>Alvin N. Puryear</w:t>
            </w:r>
          </w:p>
        </w:tc>
        <w:tc>
          <w:tcPr>
            <w:tcW w:w="3920" w:type="dxa"/>
            <w:vAlign w:val="bottom"/>
          </w:tcPr>
          <w:p>
            <w:pPr>
              <w:spacing w:after="0"/>
              <w:rPr>
                <w:sz w:val="20"/>
                <w:szCs w:val="20"/>
                <w:color w:val="auto"/>
              </w:rPr>
            </w:pPr>
          </w:p>
        </w:tc>
        <w:tc>
          <w:tcPr>
            <w:tcW w:w="4220" w:type="dxa"/>
            <w:vAlign w:val="bottom"/>
          </w:tcPr>
          <w:p>
            <w:pPr>
              <w:spacing w:after="0"/>
              <w:rPr>
                <w:sz w:val="20"/>
                <w:szCs w:val="20"/>
                <w:color w:val="auto"/>
              </w:rPr>
            </w:pPr>
          </w:p>
        </w:tc>
      </w:tr>
    </w:tbl>
    <w:p>
      <w:pPr>
        <w:sectPr>
          <w:pgSz w:w="11900" w:h="16838" w:orient="portrait"/>
          <w:cols w:equalWidth="0" w:num="1">
            <w:col w:w="10880"/>
          </w:cols>
          <w:pgMar w:left="240" w:top="584" w:right="779" w:bottom="1440" w:gutter="0" w:footer="0" w:header="0"/>
        </w:sectPr>
      </w:pPr>
    </w:p>
    <w:bookmarkStart w:id="116" w:name="page117"/>
    <w:bookmarkEnd w:id="116"/>
    <w:p>
      <w:pPr>
        <w:ind w:left="10460"/>
        <w:spacing w:after="0"/>
        <w:rPr>
          <w:sz w:val="20"/>
          <w:szCs w:val="20"/>
          <w:color w:val="auto"/>
        </w:rPr>
      </w:pPr>
      <w:r>
        <w:rPr>
          <w:rFonts w:ascii="Arial" w:cs="Arial" w:eastAsia="Arial" w:hAnsi="Arial"/>
          <w:sz w:val="16"/>
          <w:szCs w:val="16"/>
          <w:b w:val="1"/>
          <w:bCs w:val="1"/>
          <w:color w:val="auto"/>
        </w:rPr>
        <w:t>Exhibit 31.1</w:t>
      </w:r>
    </w:p>
    <w:p>
      <w:pPr>
        <w:spacing w:after="0" w:line="50"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American Capital Agency Corp.</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of the Sarbanes-Oxley Act of 2002</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color w:val="auto"/>
        </w:rPr>
        <w:t>I, Malon Wilkus, certify that:</w:t>
      </w:r>
    </w:p>
    <w:p>
      <w:pPr>
        <w:spacing w:after="0" w:line="158" w:lineRule="exact"/>
        <w:rPr>
          <w:sz w:val="20"/>
          <w:szCs w:val="20"/>
          <w:color w:val="auto"/>
        </w:rPr>
      </w:pPr>
    </w:p>
    <w:p>
      <w:pPr>
        <w:ind w:left="860" w:hanging="467"/>
        <w:spacing w:after="0"/>
        <w:tabs>
          <w:tab w:leader="none" w:pos="860" w:val="left"/>
        </w:tabs>
        <w:numPr>
          <w:ilvl w:val="0"/>
          <w:numId w:val="73"/>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American Capital Agency Corp.;</w:t>
      </w:r>
    </w:p>
    <w:p>
      <w:pPr>
        <w:spacing w:after="0" w:line="157" w:lineRule="exact"/>
        <w:rPr>
          <w:rFonts w:ascii="Arial" w:cs="Arial" w:eastAsia="Arial" w:hAnsi="Arial"/>
          <w:sz w:val="18"/>
          <w:szCs w:val="18"/>
          <w:color w:val="auto"/>
        </w:rPr>
      </w:pPr>
    </w:p>
    <w:p>
      <w:pPr>
        <w:jc w:val="both"/>
        <w:ind w:left="860" w:hanging="467"/>
        <w:spacing w:after="0" w:line="264" w:lineRule="auto"/>
        <w:tabs>
          <w:tab w:leader="none" w:pos="860" w:val="left"/>
        </w:tabs>
        <w:numPr>
          <w:ilvl w:val="0"/>
          <w:numId w:val="73"/>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3" w:lineRule="exact"/>
        <w:rPr>
          <w:rFonts w:ascii="Arial" w:cs="Arial" w:eastAsia="Arial" w:hAnsi="Arial"/>
          <w:sz w:val="18"/>
          <w:szCs w:val="18"/>
          <w:color w:val="auto"/>
        </w:rPr>
      </w:pPr>
    </w:p>
    <w:p>
      <w:pPr>
        <w:ind w:left="860" w:hanging="467"/>
        <w:spacing w:after="0" w:line="308" w:lineRule="auto"/>
        <w:tabs>
          <w:tab w:leader="none" w:pos="860" w:val="left"/>
        </w:tabs>
        <w:numPr>
          <w:ilvl w:val="0"/>
          <w:numId w:val="73"/>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79" w:lineRule="exact"/>
        <w:rPr>
          <w:rFonts w:ascii="Arial" w:cs="Arial" w:eastAsia="Arial" w:hAnsi="Arial"/>
          <w:sz w:val="17"/>
          <w:szCs w:val="17"/>
          <w:color w:val="auto"/>
        </w:rPr>
      </w:pPr>
    </w:p>
    <w:p>
      <w:pPr>
        <w:jc w:val="both"/>
        <w:ind w:left="860" w:hanging="467"/>
        <w:spacing w:after="0" w:line="264" w:lineRule="auto"/>
        <w:tabs>
          <w:tab w:leader="none" w:pos="860"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73"/>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73"/>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13" w:lineRule="exact"/>
        <w:rPr>
          <w:rFonts w:ascii="Arial" w:cs="Arial" w:eastAsia="Arial" w:hAnsi="Arial"/>
          <w:sz w:val="18"/>
          <w:szCs w:val="18"/>
          <w:color w:val="auto"/>
        </w:rPr>
      </w:pPr>
    </w:p>
    <w:p>
      <w:pPr>
        <w:ind w:left="1400" w:right="20" w:hanging="440"/>
        <w:spacing w:after="0" w:line="342" w:lineRule="auto"/>
        <w:tabs>
          <w:tab w:leader="none" w:pos="1400" w:val="left"/>
        </w:tabs>
        <w:numPr>
          <w:ilvl w:val="1"/>
          <w:numId w:val="73"/>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6" w:lineRule="exact"/>
        <w:rPr>
          <w:rFonts w:ascii="Arial" w:cs="Arial" w:eastAsia="Arial" w:hAnsi="Arial"/>
          <w:sz w:val="16"/>
          <w:szCs w:val="16"/>
          <w:color w:val="auto"/>
        </w:rPr>
      </w:pPr>
    </w:p>
    <w:p>
      <w:pPr>
        <w:jc w:val="both"/>
        <w:ind w:left="1400" w:hanging="440"/>
        <w:spacing w:after="0" w:line="264" w:lineRule="auto"/>
        <w:tabs>
          <w:tab w:leader="none" w:pos="1400" w:val="left"/>
        </w:tabs>
        <w:numPr>
          <w:ilvl w:val="1"/>
          <w:numId w:val="73"/>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13" w:lineRule="exact"/>
        <w:rPr>
          <w:rFonts w:ascii="Arial" w:cs="Arial" w:eastAsia="Arial" w:hAnsi="Arial"/>
          <w:sz w:val="18"/>
          <w:szCs w:val="18"/>
          <w:color w:val="auto"/>
        </w:rPr>
      </w:pPr>
    </w:p>
    <w:p>
      <w:pPr>
        <w:ind w:left="860" w:hanging="467"/>
        <w:spacing w:after="0" w:line="277" w:lineRule="auto"/>
        <w:tabs>
          <w:tab w:leader="none" w:pos="860"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102" w:lineRule="exact"/>
        <w:rPr>
          <w:rFonts w:ascii="Arial" w:cs="Arial" w:eastAsia="Arial" w:hAnsi="Arial"/>
          <w:sz w:val="18"/>
          <w:szCs w:val="18"/>
          <w:color w:val="auto"/>
        </w:rPr>
      </w:pPr>
    </w:p>
    <w:p>
      <w:pPr>
        <w:ind w:left="1400" w:hanging="440"/>
        <w:spacing w:after="0" w:line="308" w:lineRule="auto"/>
        <w:tabs>
          <w:tab w:leader="none" w:pos="1400" w:val="left"/>
        </w:tabs>
        <w:numPr>
          <w:ilvl w:val="1"/>
          <w:numId w:val="73"/>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79" w:lineRule="exact"/>
        <w:rPr>
          <w:rFonts w:ascii="Arial" w:cs="Arial" w:eastAsia="Arial" w:hAnsi="Arial"/>
          <w:sz w:val="17"/>
          <w:szCs w:val="17"/>
          <w:color w:val="auto"/>
        </w:rPr>
      </w:pPr>
    </w:p>
    <w:p>
      <w:pPr>
        <w:ind w:left="1400" w:right="20" w:hanging="440"/>
        <w:spacing w:after="0" w:line="277" w:lineRule="auto"/>
        <w:tabs>
          <w:tab w:leader="none" w:pos="1400" w:val="left"/>
        </w:tabs>
        <w:numPr>
          <w:ilvl w:val="1"/>
          <w:numId w:val="73"/>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20"/>
        <w:spacing w:after="0"/>
        <w:tabs>
          <w:tab w:leader="none" w:pos="68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February 23, 2016</w:t>
      </w:r>
    </w:p>
    <w:p>
      <w:pPr>
        <w:spacing w:after="0" w:line="333" w:lineRule="exact"/>
        <w:rPr>
          <w:sz w:val="20"/>
          <w:szCs w:val="20"/>
          <w:color w:val="auto"/>
        </w:rPr>
      </w:pPr>
    </w:p>
    <w:p>
      <w:pPr>
        <w:ind w:left="700"/>
        <w:spacing w:after="0"/>
        <w:tabs>
          <w:tab w:leader="none" w:pos="1040" w:val="left"/>
        </w:tabs>
        <w:rPr>
          <w:sz w:val="20"/>
          <w:szCs w:val="20"/>
          <w:color w:val="auto"/>
        </w:rPr>
      </w:pPr>
      <w:r>
        <w:rPr>
          <w:rFonts w:ascii="Arial" w:cs="Arial" w:eastAsia="Arial" w:hAnsi="Arial"/>
          <w:sz w:val="18"/>
          <w:szCs w:val="18"/>
          <w:color w:val="auto"/>
        </w:rPr>
        <w:t>/s/</w:t>
        <w:tab/>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429895</wp:posOffset>
            </wp:positionH>
            <wp:positionV relativeFrom="paragraph">
              <wp:posOffset>31750</wp:posOffset>
            </wp:positionV>
            <wp:extent cx="2375535"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2375535" cy="8890"/>
                    </a:xfrm>
                    <a:prstGeom prst="rect">
                      <a:avLst/>
                    </a:prstGeom>
                    <a:noFill/>
                  </pic:spPr>
                </pic:pic>
              </a:graphicData>
            </a:graphic>
          </wp:anchor>
        </w:drawing>
      </w:r>
    </w:p>
    <w:p>
      <w:pPr>
        <w:spacing w:after="0" w:line="57" w:lineRule="exact"/>
        <w:rPr>
          <w:sz w:val="20"/>
          <w:szCs w:val="20"/>
          <w:color w:val="auto"/>
        </w:rPr>
      </w:pPr>
    </w:p>
    <w:p>
      <w:pPr>
        <w:ind w:left="700"/>
        <w:spacing w:after="0"/>
        <w:rPr>
          <w:sz w:val="20"/>
          <w:szCs w:val="20"/>
          <w:color w:val="auto"/>
        </w:rPr>
      </w:pPr>
      <w:r>
        <w:rPr>
          <w:rFonts w:ascii="Arial" w:cs="Arial" w:eastAsia="Arial" w:hAnsi="Arial"/>
          <w:sz w:val="18"/>
          <w:szCs w:val="18"/>
          <w:color w:val="auto"/>
        </w:rPr>
        <w:t>Malon Wilkus</w:t>
      </w:r>
    </w:p>
    <w:p>
      <w:pPr>
        <w:spacing w:after="0" w:line="6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Chair of the Board and Chief Executive Officer</w:t>
      </w:r>
    </w:p>
    <w:p>
      <w:pPr>
        <w:spacing w:after="0" w:line="2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400"/>
          </w:cols>
          <w:pgMar w:left="260" w:top="580" w:right="239" w:bottom="1440" w:gutter="0" w:footer="0" w:header="0"/>
        </w:sectPr>
      </w:pPr>
    </w:p>
    <w:bookmarkStart w:id="117" w:name="page118"/>
    <w:bookmarkEnd w:id="117"/>
    <w:p>
      <w:pPr>
        <w:ind w:left="10460"/>
        <w:spacing w:after="0"/>
        <w:rPr>
          <w:sz w:val="20"/>
          <w:szCs w:val="20"/>
          <w:color w:val="auto"/>
        </w:rPr>
      </w:pPr>
      <w:r>
        <w:rPr>
          <w:rFonts w:ascii="Arial" w:cs="Arial" w:eastAsia="Arial" w:hAnsi="Arial"/>
          <w:sz w:val="16"/>
          <w:szCs w:val="16"/>
          <w:b w:val="1"/>
          <w:bCs w:val="1"/>
          <w:color w:val="auto"/>
        </w:rPr>
        <w:t>Exhibit 31.2</w:t>
      </w:r>
    </w:p>
    <w:p>
      <w:pPr>
        <w:spacing w:after="0" w:line="50"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American Capital Agency Corp.</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of the Sarbanes-Oxley Act of 2002</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I, John R. Erickson, certify that:</w:t>
      </w:r>
    </w:p>
    <w:p>
      <w:pPr>
        <w:spacing w:after="0" w:line="158" w:lineRule="exact"/>
        <w:rPr>
          <w:sz w:val="20"/>
          <w:szCs w:val="20"/>
          <w:color w:val="auto"/>
        </w:rPr>
      </w:pPr>
    </w:p>
    <w:p>
      <w:pPr>
        <w:ind w:left="860" w:hanging="467"/>
        <w:spacing w:after="0"/>
        <w:tabs>
          <w:tab w:leader="none" w:pos="860" w:val="left"/>
        </w:tabs>
        <w:numPr>
          <w:ilvl w:val="0"/>
          <w:numId w:val="74"/>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American Capital Agency Corp;</w:t>
      </w:r>
    </w:p>
    <w:p>
      <w:pPr>
        <w:spacing w:after="0" w:line="157" w:lineRule="exact"/>
        <w:rPr>
          <w:rFonts w:ascii="Arial" w:cs="Arial" w:eastAsia="Arial" w:hAnsi="Arial"/>
          <w:sz w:val="18"/>
          <w:szCs w:val="18"/>
          <w:color w:val="auto"/>
        </w:rPr>
      </w:pPr>
    </w:p>
    <w:p>
      <w:pPr>
        <w:jc w:val="both"/>
        <w:ind w:left="860" w:hanging="467"/>
        <w:spacing w:after="0" w:line="264" w:lineRule="auto"/>
        <w:tabs>
          <w:tab w:leader="none" w:pos="860" w:val="left"/>
        </w:tabs>
        <w:numPr>
          <w:ilvl w:val="0"/>
          <w:numId w:val="74"/>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3" w:lineRule="exact"/>
        <w:rPr>
          <w:rFonts w:ascii="Arial" w:cs="Arial" w:eastAsia="Arial" w:hAnsi="Arial"/>
          <w:sz w:val="18"/>
          <w:szCs w:val="18"/>
          <w:color w:val="auto"/>
        </w:rPr>
      </w:pPr>
    </w:p>
    <w:p>
      <w:pPr>
        <w:ind w:left="860" w:hanging="467"/>
        <w:spacing w:after="0" w:line="308" w:lineRule="auto"/>
        <w:tabs>
          <w:tab w:leader="none" w:pos="860" w:val="left"/>
        </w:tabs>
        <w:numPr>
          <w:ilvl w:val="0"/>
          <w:numId w:val="74"/>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79" w:lineRule="exact"/>
        <w:rPr>
          <w:rFonts w:ascii="Arial" w:cs="Arial" w:eastAsia="Arial" w:hAnsi="Arial"/>
          <w:sz w:val="17"/>
          <w:szCs w:val="17"/>
          <w:color w:val="auto"/>
        </w:rPr>
      </w:pPr>
    </w:p>
    <w:p>
      <w:pPr>
        <w:jc w:val="both"/>
        <w:ind w:left="860" w:hanging="467"/>
        <w:spacing w:after="0" w:line="264" w:lineRule="auto"/>
        <w:tabs>
          <w:tab w:leader="none" w:pos="860" w:val="left"/>
        </w:tabs>
        <w:numPr>
          <w:ilvl w:val="0"/>
          <w:numId w:val="74"/>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74"/>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entitles, particularly during the period in which this report is being prepared;</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74"/>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13" w:lineRule="exact"/>
        <w:rPr>
          <w:rFonts w:ascii="Arial" w:cs="Arial" w:eastAsia="Arial" w:hAnsi="Arial"/>
          <w:sz w:val="18"/>
          <w:szCs w:val="18"/>
          <w:color w:val="auto"/>
        </w:rPr>
      </w:pPr>
    </w:p>
    <w:p>
      <w:pPr>
        <w:ind w:left="1400" w:right="20" w:hanging="440"/>
        <w:spacing w:after="0" w:line="342" w:lineRule="auto"/>
        <w:tabs>
          <w:tab w:leader="none" w:pos="1400" w:val="left"/>
        </w:tabs>
        <w:numPr>
          <w:ilvl w:val="1"/>
          <w:numId w:val="74"/>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6" w:lineRule="exact"/>
        <w:rPr>
          <w:rFonts w:ascii="Arial" w:cs="Arial" w:eastAsia="Arial" w:hAnsi="Arial"/>
          <w:sz w:val="16"/>
          <w:szCs w:val="16"/>
          <w:color w:val="auto"/>
        </w:rPr>
      </w:pPr>
    </w:p>
    <w:p>
      <w:pPr>
        <w:jc w:val="both"/>
        <w:ind w:left="1400" w:hanging="440"/>
        <w:spacing w:after="0" w:line="264" w:lineRule="auto"/>
        <w:tabs>
          <w:tab w:leader="none" w:pos="1400" w:val="left"/>
        </w:tabs>
        <w:numPr>
          <w:ilvl w:val="1"/>
          <w:numId w:val="74"/>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13" w:lineRule="exact"/>
        <w:rPr>
          <w:rFonts w:ascii="Arial" w:cs="Arial" w:eastAsia="Arial" w:hAnsi="Arial"/>
          <w:sz w:val="18"/>
          <w:szCs w:val="18"/>
          <w:color w:val="auto"/>
        </w:rPr>
      </w:pPr>
    </w:p>
    <w:p>
      <w:pPr>
        <w:ind w:left="860" w:hanging="467"/>
        <w:spacing w:after="0" w:line="277" w:lineRule="auto"/>
        <w:tabs>
          <w:tab w:leader="none" w:pos="860" w:val="left"/>
        </w:tabs>
        <w:numPr>
          <w:ilvl w:val="0"/>
          <w:numId w:val="74"/>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102" w:lineRule="exact"/>
        <w:rPr>
          <w:rFonts w:ascii="Arial" w:cs="Arial" w:eastAsia="Arial" w:hAnsi="Arial"/>
          <w:sz w:val="18"/>
          <w:szCs w:val="18"/>
          <w:color w:val="auto"/>
        </w:rPr>
      </w:pPr>
    </w:p>
    <w:p>
      <w:pPr>
        <w:ind w:left="1400" w:hanging="440"/>
        <w:spacing w:after="0" w:line="308" w:lineRule="auto"/>
        <w:tabs>
          <w:tab w:leader="none" w:pos="1400" w:val="left"/>
        </w:tabs>
        <w:numPr>
          <w:ilvl w:val="1"/>
          <w:numId w:val="74"/>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 in the design or operation of internal control over financial reporting which are reasonably likely to adversely affect the registrant's ability to record, process, summarize and report financial information; and</w:t>
      </w:r>
    </w:p>
    <w:p>
      <w:pPr>
        <w:spacing w:after="0" w:line="79" w:lineRule="exact"/>
        <w:rPr>
          <w:rFonts w:ascii="Arial" w:cs="Arial" w:eastAsia="Arial" w:hAnsi="Arial"/>
          <w:sz w:val="17"/>
          <w:szCs w:val="17"/>
          <w:color w:val="auto"/>
        </w:rPr>
      </w:pPr>
    </w:p>
    <w:p>
      <w:pPr>
        <w:ind w:left="1400" w:right="20" w:hanging="440"/>
        <w:spacing w:after="0" w:line="277" w:lineRule="auto"/>
        <w:tabs>
          <w:tab w:leader="none" w:pos="1400" w:val="left"/>
        </w:tabs>
        <w:numPr>
          <w:ilvl w:val="1"/>
          <w:numId w:val="74"/>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81" w:lineRule="exact"/>
        <w:rPr>
          <w:sz w:val="20"/>
          <w:szCs w:val="20"/>
          <w:color w:val="auto"/>
        </w:rPr>
      </w:pPr>
    </w:p>
    <w:p>
      <w:pPr>
        <w:ind w:left="20"/>
        <w:spacing w:after="0"/>
        <w:tabs>
          <w:tab w:leader="none" w:pos="68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February 23, 2016</w:t>
      </w:r>
    </w:p>
    <w:p>
      <w:pPr>
        <w:spacing w:after="0" w:line="333" w:lineRule="exact"/>
        <w:rPr>
          <w:sz w:val="20"/>
          <w:szCs w:val="20"/>
          <w:color w:val="auto"/>
        </w:rPr>
      </w:pPr>
    </w:p>
    <w:p>
      <w:pPr>
        <w:ind w:left="700"/>
        <w:spacing w:after="0"/>
        <w:tabs>
          <w:tab w:leader="none" w:pos="104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6"/>
          <w:szCs w:val="16"/>
          <w:color w:val="auto"/>
        </w:rPr>
        <w:t>JOHN R. ERICKSON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429895</wp:posOffset>
            </wp:positionH>
            <wp:positionV relativeFrom="paragraph">
              <wp:posOffset>31750</wp:posOffset>
            </wp:positionV>
            <wp:extent cx="2375535"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2375535" cy="8890"/>
                    </a:xfrm>
                    <a:prstGeom prst="rect">
                      <a:avLst/>
                    </a:prstGeom>
                    <a:noFill/>
                  </pic:spPr>
                </pic:pic>
              </a:graphicData>
            </a:graphic>
          </wp:anchor>
        </w:drawing>
      </w:r>
    </w:p>
    <w:p>
      <w:pPr>
        <w:spacing w:after="0" w:line="57" w:lineRule="exact"/>
        <w:rPr>
          <w:sz w:val="20"/>
          <w:szCs w:val="20"/>
          <w:color w:val="auto"/>
        </w:rPr>
      </w:pPr>
    </w:p>
    <w:p>
      <w:pPr>
        <w:ind w:left="700"/>
        <w:spacing w:after="0"/>
        <w:rPr>
          <w:sz w:val="20"/>
          <w:szCs w:val="20"/>
          <w:color w:val="auto"/>
        </w:rPr>
      </w:pPr>
      <w:r>
        <w:rPr>
          <w:rFonts w:ascii="Arial" w:cs="Arial" w:eastAsia="Arial" w:hAnsi="Arial"/>
          <w:sz w:val="18"/>
          <w:szCs w:val="18"/>
          <w:color w:val="auto"/>
        </w:rPr>
        <w:t>John R. Erickson</w:t>
      </w:r>
    </w:p>
    <w:p>
      <w:pPr>
        <w:spacing w:after="0" w:line="6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Chief Financial Officer and Executive Vice</w:t>
      </w:r>
    </w:p>
    <w:p>
      <w:pPr>
        <w:spacing w:after="0" w:line="2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President (Principal Financial Officer)</w:t>
      </w:r>
    </w:p>
    <w:p>
      <w:pPr>
        <w:sectPr>
          <w:pgSz w:w="11900" w:h="16838" w:orient="portrait"/>
          <w:cols w:equalWidth="0" w:num="1">
            <w:col w:w="11400"/>
          </w:cols>
          <w:pgMar w:left="260" w:top="580" w:right="239" w:bottom="1440" w:gutter="0" w:footer="0" w:header="0"/>
        </w:sectPr>
      </w:pPr>
    </w:p>
    <w:bookmarkStart w:id="118" w:name="page119"/>
    <w:bookmarkEnd w:id="118"/>
    <w:p>
      <w:pPr>
        <w:jc w:val="right"/>
        <w:spacing w:after="0"/>
        <w:rPr>
          <w:sz w:val="20"/>
          <w:szCs w:val="20"/>
          <w:color w:val="auto"/>
        </w:rPr>
      </w:pPr>
      <w:r>
        <w:rPr>
          <w:rFonts w:ascii="Arial" w:cs="Arial" w:eastAsia="Arial" w:hAnsi="Arial"/>
          <w:sz w:val="18"/>
          <w:szCs w:val="18"/>
          <w:b w:val="1"/>
          <w:bCs w:val="1"/>
          <w:color w:val="auto"/>
        </w:rPr>
        <w:t>Exhibit 32</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CEO and CFO Pursuant to 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15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We, Malon Wilkus, Chief Executive Officer and Chair of the Board of Directors, and John R. Erickson, Executive Vice President and Chief Financial</w:t>
      </w:r>
    </w:p>
    <w:p>
      <w:pPr>
        <w:spacing w:after="0" w:line="35" w:lineRule="exact"/>
        <w:rPr>
          <w:sz w:val="20"/>
          <w:szCs w:val="20"/>
          <w:color w:val="auto"/>
        </w:rPr>
      </w:pPr>
    </w:p>
    <w:p>
      <w:pPr>
        <w:jc w:val="center"/>
        <w:ind w:right="20"/>
        <w:spacing w:after="0"/>
        <w:rPr>
          <w:sz w:val="20"/>
          <w:szCs w:val="20"/>
          <w:color w:val="auto"/>
        </w:rPr>
      </w:pPr>
      <w:r>
        <w:rPr>
          <w:rFonts w:ascii="Arial" w:cs="Arial" w:eastAsia="Arial" w:hAnsi="Arial"/>
          <w:sz w:val="16"/>
          <w:szCs w:val="16"/>
          <w:color w:val="auto"/>
        </w:rPr>
        <w:t>Officer of American Capital Agency Corp. (the “Company”), certify pursuant to Section 906 of the Sarbanes-Oxley Act of 2002, 18 U.S.C. Section 1350 that:</w:t>
      </w:r>
    </w:p>
    <w:p>
      <w:pPr>
        <w:spacing w:after="0" w:line="180" w:lineRule="exact"/>
        <w:rPr>
          <w:sz w:val="20"/>
          <w:szCs w:val="20"/>
          <w:color w:val="auto"/>
        </w:rPr>
      </w:pPr>
    </w:p>
    <w:p>
      <w:pPr>
        <w:ind w:left="660" w:right="80" w:hanging="328"/>
        <w:spacing w:after="0" w:line="277" w:lineRule="auto"/>
        <w:tabs>
          <w:tab w:leader="none" w:pos="660" w:val="left"/>
        </w:tabs>
        <w:numPr>
          <w:ilvl w:val="0"/>
          <w:numId w:val="75"/>
        </w:numPr>
        <w:rPr>
          <w:rFonts w:ascii="Arial" w:cs="Arial" w:eastAsia="Arial" w:hAnsi="Arial"/>
          <w:sz w:val="18"/>
          <w:szCs w:val="18"/>
          <w:color w:val="auto"/>
        </w:rPr>
      </w:pPr>
      <w:r>
        <w:rPr>
          <w:rFonts w:ascii="Arial" w:cs="Arial" w:eastAsia="Arial" w:hAnsi="Arial"/>
          <w:sz w:val="18"/>
          <w:szCs w:val="18"/>
          <w:color w:val="auto"/>
        </w:rPr>
        <w:t>The Annual Report on Form 10-K of the Company for the fiscal year ended December 31, 2015 (the “Report”) fully complies with the requirements of Section 13(a) of the Securities Exchange Act of 1934 (15 U.S.C. 78m); and</w:t>
      </w:r>
    </w:p>
    <w:p>
      <w:pPr>
        <w:spacing w:after="0" w:line="116" w:lineRule="exact"/>
        <w:rPr>
          <w:rFonts w:ascii="Arial" w:cs="Arial" w:eastAsia="Arial" w:hAnsi="Arial"/>
          <w:sz w:val="18"/>
          <w:szCs w:val="18"/>
          <w:color w:val="auto"/>
        </w:rPr>
      </w:pPr>
    </w:p>
    <w:p>
      <w:pPr>
        <w:ind w:left="660" w:hanging="328"/>
        <w:spacing w:after="0"/>
        <w:tabs>
          <w:tab w:leader="none" w:pos="660" w:val="left"/>
        </w:tabs>
        <w:numPr>
          <w:ilvl w:val="0"/>
          <w:numId w:val="75"/>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359"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660" w:type="dxa"/>
            <w:vAlign w:val="bottom"/>
          </w:tcPr>
          <w:p>
            <w:pPr>
              <w:spacing w:after="0"/>
              <w:rPr>
                <w:sz w:val="20"/>
                <w:szCs w:val="20"/>
                <w:color w:val="auto"/>
              </w:rPr>
            </w:pPr>
          </w:p>
        </w:tc>
        <w:tc>
          <w:tcPr>
            <w:tcW w:w="280" w:type="dxa"/>
            <w:vAlign w:val="bottom"/>
          </w:tcPr>
          <w:p>
            <w:pPr>
              <w:ind w:left="20"/>
              <w:spacing w:after="0"/>
              <w:rPr>
                <w:sz w:val="20"/>
                <w:szCs w:val="20"/>
                <w:color w:val="auto"/>
              </w:rPr>
            </w:pPr>
            <w:r>
              <w:rPr>
                <w:rFonts w:ascii="Arial" w:cs="Arial" w:eastAsia="Arial" w:hAnsi="Arial"/>
                <w:sz w:val="18"/>
                <w:szCs w:val="18"/>
                <w:color w:val="auto"/>
              </w:rPr>
              <w:t>/s/</w:t>
            </w:r>
          </w:p>
        </w:tc>
        <w:tc>
          <w:tcPr>
            <w:tcW w:w="6100" w:type="dxa"/>
            <w:vAlign w:val="bottom"/>
          </w:tcPr>
          <w:p>
            <w:pPr>
              <w:ind w:left="100"/>
              <w:spacing w:after="0"/>
              <w:rPr>
                <w:sz w:val="20"/>
                <w:szCs w:val="20"/>
                <w:color w:val="auto"/>
              </w:rPr>
            </w:pPr>
            <w:r>
              <w:rPr>
                <w:rFonts w:ascii="Arial" w:cs="Arial" w:eastAsia="Arial" w:hAnsi="Arial"/>
                <w:sz w:val="18"/>
                <w:szCs w:val="18"/>
                <w:color w:val="auto"/>
              </w:rPr>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tc>
        <w:tc>
          <w:tcPr>
            <w:tcW w:w="0" w:type="dxa"/>
            <w:vAlign w:val="bottom"/>
          </w:tcPr>
          <w:p>
            <w:pPr>
              <w:spacing w:after="0"/>
              <w:rPr>
                <w:sz w:val="1"/>
                <w:szCs w:val="1"/>
                <w:color w:val="auto"/>
              </w:rPr>
            </w:pPr>
          </w:p>
        </w:tc>
      </w:tr>
      <w:tr>
        <w:trPr>
          <w:trHeight w:val="27"/>
        </w:trPr>
        <w:tc>
          <w:tcPr>
            <w:tcW w:w="66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638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60" w:type="dxa"/>
            <w:vAlign w:val="bottom"/>
            <w:vMerge w:val="continue"/>
          </w:tcPr>
          <w:p>
            <w:pPr>
              <w:spacing w:after="0"/>
              <w:rPr>
                <w:sz w:val="20"/>
                <w:szCs w:val="20"/>
                <w:color w:val="auto"/>
              </w:rPr>
            </w:pP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Malon Wilkus</w:t>
            </w:r>
          </w:p>
        </w:tc>
        <w:tc>
          <w:tcPr>
            <w:tcW w:w="0" w:type="dxa"/>
            <w:vAlign w:val="bottom"/>
          </w:tcPr>
          <w:p>
            <w:pPr>
              <w:spacing w:after="0"/>
              <w:rPr>
                <w:sz w:val="1"/>
                <w:szCs w:val="1"/>
                <w:color w:val="auto"/>
              </w:rPr>
            </w:pPr>
          </w:p>
        </w:tc>
      </w:tr>
      <w:tr>
        <w:trPr>
          <w:trHeight w:val="256"/>
        </w:trPr>
        <w:tc>
          <w:tcPr>
            <w:tcW w:w="660" w:type="dxa"/>
            <w:vAlign w:val="bottom"/>
          </w:tcPr>
          <w:p>
            <w:pPr>
              <w:spacing w:after="0"/>
              <w:rPr>
                <w:sz w:val="20"/>
                <w:szCs w:val="20"/>
                <w:color w:val="auto"/>
              </w:rPr>
            </w:pPr>
            <w:r>
              <w:rPr>
                <w:rFonts w:ascii="Arial" w:cs="Arial" w:eastAsia="Arial" w:hAnsi="Arial"/>
                <w:sz w:val="18"/>
                <w:szCs w:val="18"/>
                <w:color w:val="auto"/>
              </w:rPr>
              <w:t>Title:</w:t>
            </w: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Chair of the Board</w:t>
            </w:r>
          </w:p>
        </w:tc>
        <w:tc>
          <w:tcPr>
            <w:tcW w:w="0" w:type="dxa"/>
            <w:vAlign w:val="bottom"/>
          </w:tcPr>
          <w:p>
            <w:pPr>
              <w:spacing w:after="0"/>
              <w:rPr>
                <w:sz w:val="1"/>
                <w:szCs w:val="1"/>
                <w:color w:val="auto"/>
              </w:rPr>
            </w:pPr>
          </w:p>
        </w:tc>
      </w:tr>
      <w:tr>
        <w:trPr>
          <w:trHeight w:val="230"/>
        </w:trPr>
        <w:tc>
          <w:tcPr>
            <w:tcW w:w="660" w:type="dxa"/>
            <w:vAlign w:val="bottom"/>
          </w:tcPr>
          <w:p>
            <w:pPr>
              <w:spacing w:after="0"/>
              <w:rPr>
                <w:sz w:val="20"/>
                <w:szCs w:val="20"/>
                <w:color w:val="auto"/>
              </w:rPr>
            </w:pP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and Chief Executive Officer (Principal Executive Officer)</w:t>
            </w:r>
          </w:p>
        </w:tc>
        <w:tc>
          <w:tcPr>
            <w:tcW w:w="0" w:type="dxa"/>
            <w:vAlign w:val="bottom"/>
          </w:tcPr>
          <w:p>
            <w:pPr>
              <w:spacing w:after="0"/>
              <w:rPr>
                <w:sz w:val="1"/>
                <w:szCs w:val="1"/>
                <w:color w:val="auto"/>
              </w:rPr>
            </w:pPr>
          </w:p>
        </w:tc>
      </w:tr>
      <w:tr>
        <w:trPr>
          <w:trHeight w:val="284"/>
        </w:trPr>
        <w:tc>
          <w:tcPr>
            <w:tcW w:w="660" w:type="dxa"/>
            <w:vAlign w:val="bottom"/>
          </w:tcPr>
          <w:p>
            <w:pPr>
              <w:spacing w:after="0"/>
              <w:rPr>
                <w:sz w:val="20"/>
                <w:szCs w:val="20"/>
                <w:color w:val="auto"/>
              </w:rPr>
            </w:pPr>
            <w:r>
              <w:rPr>
                <w:rFonts w:ascii="Arial" w:cs="Arial" w:eastAsia="Arial" w:hAnsi="Arial"/>
                <w:sz w:val="18"/>
                <w:szCs w:val="18"/>
                <w:color w:val="auto"/>
              </w:rPr>
              <w:t>Date:</w:t>
            </w: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February 23, 2016</w:t>
            </w:r>
          </w:p>
        </w:tc>
        <w:tc>
          <w:tcPr>
            <w:tcW w:w="0" w:type="dxa"/>
            <w:vAlign w:val="bottom"/>
          </w:tcPr>
          <w:p>
            <w:pPr>
              <w:spacing w:after="0"/>
              <w:rPr>
                <w:sz w:val="1"/>
                <w:szCs w:val="1"/>
                <w:color w:val="auto"/>
              </w:rPr>
            </w:pPr>
          </w:p>
        </w:tc>
      </w:tr>
      <w:tr>
        <w:trPr>
          <w:trHeight w:val="567"/>
        </w:trPr>
        <w:tc>
          <w:tcPr>
            <w:tcW w:w="660" w:type="dxa"/>
            <w:vAlign w:val="bottom"/>
          </w:tcPr>
          <w:p>
            <w:pPr>
              <w:spacing w:after="0"/>
              <w:rPr>
                <w:sz w:val="24"/>
                <w:szCs w:val="24"/>
                <w:color w:val="auto"/>
              </w:rPr>
            </w:pPr>
          </w:p>
        </w:tc>
        <w:tc>
          <w:tcPr>
            <w:tcW w:w="280" w:type="dxa"/>
            <w:vAlign w:val="bottom"/>
          </w:tcPr>
          <w:p>
            <w:pPr>
              <w:ind w:left="20"/>
              <w:spacing w:after="0"/>
              <w:rPr>
                <w:sz w:val="20"/>
                <w:szCs w:val="20"/>
                <w:color w:val="auto"/>
              </w:rPr>
            </w:pPr>
            <w:r>
              <w:rPr>
                <w:rFonts w:ascii="Arial" w:cs="Arial" w:eastAsia="Arial" w:hAnsi="Arial"/>
                <w:sz w:val="18"/>
                <w:szCs w:val="18"/>
                <w:color w:val="auto"/>
              </w:rPr>
              <w:t>/s/</w:t>
            </w:r>
          </w:p>
        </w:tc>
        <w:tc>
          <w:tcPr>
            <w:tcW w:w="6100" w:type="dxa"/>
            <w:vAlign w:val="bottom"/>
          </w:tcPr>
          <w:p>
            <w:pPr>
              <w:ind w:left="100"/>
              <w:spacing w:after="0"/>
              <w:rPr>
                <w:sz w:val="20"/>
                <w:szCs w:val="20"/>
                <w:color w:val="auto"/>
              </w:rPr>
            </w:pPr>
            <w:r>
              <w:rPr>
                <w:rFonts w:ascii="Arial" w:cs="Arial" w:eastAsia="Arial" w:hAnsi="Arial"/>
                <w:sz w:val="18"/>
                <w:szCs w:val="18"/>
                <w:color w:val="auto"/>
              </w:rPr>
              <w:t>J</w:t>
            </w:r>
            <w:r>
              <w:rPr>
                <w:rFonts w:ascii="Arial" w:cs="Arial" w:eastAsia="Arial" w:hAnsi="Arial"/>
                <w:sz w:val="14"/>
                <w:szCs w:val="14"/>
                <w:color w:val="auto"/>
              </w:rPr>
              <w:t>OHN</w:t>
            </w:r>
            <w:r>
              <w:rPr>
                <w:rFonts w:ascii="Arial" w:cs="Arial" w:eastAsia="Arial" w:hAnsi="Arial"/>
                <w:sz w:val="18"/>
                <w:szCs w:val="18"/>
                <w:color w:val="auto"/>
              </w:rPr>
              <w:t xml:space="preserve"> R. E</w:t>
            </w:r>
            <w:r>
              <w:rPr>
                <w:rFonts w:ascii="Arial" w:cs="Arial" w:eastAsia="Arial" w:hAnsi="Arial"/>
                <w:sz w:val="14"/>
                <w:szCs w:val="14"/>
                <w:color w:val="auto"/>
              </w:rPr>
              <w:t>RICKSON</w:t>
            </w:r>
          </w:p>
        </w:tc>
        <w:tc>
          <w:tcPr>
            <w:tcW w:w="0" w:type="dxa"/>
            <w:vAlign w:val="bottom"/>
          </w:tcPr>
          <w:p>
            <w:pPr>
              <w:spacing w:after="0"/>
              <w:rPr>
                <w:sz w:val="1"/>
                <w:szCs w:val="1"/>
                <w:color w:val="auto"/>
              </w:rPr>
            </w:pPr>
          </w:p>
        </w:tc>
      </w:tr>
      <w:tr>
        <w:trPr>
          <w:trHeight w:val="27"/>
        </w:trPr>
        <w:tc>
          <w:tcPr>
            <w:tcW w:w="66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638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60" w:type="dxa"/>
            <w:vAlign w:val="bottom"/>
            <w:vMerge w:val="continue"/>
          </w:tcPr>
          <w:p>
            <w:pPr>
              <w:spacing w:after="0"/>
              <w:rPr>
                <w:sz w:val="20"/>
                <w:szCs w:val="20"/>
                <w:color w:val="auto"/>
              </w:rPr>
            </w:pP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John R. Erickson</w:t>
            </w:r>
          </w:p>
        </w:tc>
        <w:tc>
          <w:tcPr>
            <w:tcW w:w="0" w:type="dxa"/>
            <w:vAlign w:val="bottom"/>
          </w:tcPr>
          <w:p>
            <w:pPr>
              <w:spacing w:after="0"/>
              <w:rPr>
                <w:sz w:val="1"/>
                <w:szCs w:val="1"/>
                <w:color w:val="auto"/>
              </w:rPr>
            </w:pPr>
          </w:p>
        </w:tc>
      </w:tr>
      <w:tr>
        <w:trPr>
          <w:trHeight w:val="256"/>
        </w:trPr>
        <w:tc>
          <w:tcPr>
            <w:tcW w:w="660" w:type="dxa"/>
            <w:vAlign w:val="bottom"/>
          </w:tcPr>
          <w:p>
            <w:pPr>
              <w:spacing w:after="0"/>
              <w:rPr>
                <w:sz w:val="20"/>
                <w:szCs w:val="20"/>
                <w:color w:val="auto"/>
              </w:rPr>
            </w:pPr>
            <w:r>
              <w:rPr>
                <w:rFonts w:ascii="Arial" w:cs="Arial" w:eastAsia="Arial" w:hAnsi="Arial"/>
                <w:sz w:val="18"/>
                <w:szCs w:val="18"/>
                <w:color w:val="auto"/>
              </w:rPr>
              <w:t>Title:</w:t>
            </w: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Chief Financial Officer and</w:t>
            </w:r>
          </w:p>
        </w:tc>
        <w:tc>
          <w:tcPr>
            <w:tcW w:w="0" w:type="dxa"/>
            <w:vAlign w:val="bottom"/>
          </w:tcPr>
          <w:p>
            <w:pPr>
              <w:spacing w:after="0"/>
              <w:rPr>
                <w:sz w:val="1"/>
                <w:szCs w:val="1"/>
                <w:color w:val="auto"/>
              </w:rPr>
            </w:pPr>
          </w:p>
        </w:tc>
      </w:tr>
      <w:tr>
        <w:trPr>
          <w:trHeight w:val="230"/>
        </w:trPr>
        <w:tc>
          <w:tcPr>
            <w:tcW w:w="660" w:type="dxa"/>
            <w:vAlign w:val="bottom"/>
          </w:tcPr>
          <w:p>
            <w:pPr>
              <w:spacing w:after="0"/>
              <w:rPr>
                <w:sz w:val="20"/>
                <w:szCs w:val="20"/>
                <w:color w:val="auto"/>
              </w:rPr>
            </w:pP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Executive Vice President (Principal Financial Officer)</w:t>
            </w:r>
          </w:p>
        </w:tc>
        <w:tc>
          <w:tcPr>
            <w:tcW w:w="0" w:type="dxa"/>
            <w:vAlign w:val="bottom"/>
          </w:tcPr>
          <w:p>
            <w:pPr>
              <w:spacing w:after="0"/>
              <w:rPr>
                <w:sz w:val="1"/>
                <w:szCs w:val="1"/>
                <w:color w:val="auto"/>
              </w:rPr>
            </w:pPr>
          </w:p>
        </w:tc>
      </w:tr>
      <w:tr>
        <w:trPr>
          <w:trHeight w:val="284"/>
        </w:trPr>
        <w:tc>
          <w:tcPr>
            <w:tcW w:w="660" w:type="dxa"/>
            <w:vAlign w:val="bottom"/>
          </w:tcPr>
          <w:p>
            <w:pPr>
              <w:spacing w:after="0"/>
              <w:rPr>
                <w:sz w:val="20"/>
                <w:szCs w:val="20"/>
                <w:color w:val="auto"/>
              </w:rPr>
            </w:pPr>
            <w:r>
              <w:rPr>
                <w:rFonts w:ascii="Arial" w:cs="Arial" w:eastAsia="Arial" w:hAnsi="Arial"/>
                <w:sz w:val="18"/>
                <w:szCs w:val="18"/>
                <w:color w:val="auto"/>
              </w:rPr>
              <w:t>Date:</w:t>
            </w: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February 23, 2016</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A signed original of this written statement required by Section 906 has been provided to the Company and will be retained by the Company and furnished to the Securities and Exchange Commission or its staff upon request.</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C482A97"/>
    <w:multiLevelType w:val="hybridMultilevel"/>
    <w:lvl w:ilvl="0">
      <w:lvlJc w:val="left"/>
      <w:lvlText w:val="•"/>
      <w:numFmt w:val="bullet"/>
      <w:start w:val="1"/>
    </w:lvl>
  </w:abstractNum>
  <w:abstractNum w:abstractNumId="1">
    <w:nsid w:val="2463B9EA"/>
    <w:multiLevelType w:val="hybridMultilevel"/>
    <w:lvl w:ilvl="0">
      <w:lvlJc w:val="left"/>
      <w:lvlText w:val="•"/>
      <w:numFmt w:val="bullet"/>
      <w:start w:val="1"/>
    </w:lvl>
    <w:lvl w:ilvl="1">
      <w:lvlJc w:val="left"/>
      <w:lvlText w:val="•"/>
      <w:numFmt w:val="bullet"/>
      <w:start w:val="1"/>
    </w:lvl>
  </w:abstractNum>
  <w:abstractNum w:abstractNumId="2">
    <w:nsid w:val="5E884ADC"/>
    <w:multiLevelType w:val="hybridMultilevel"/>
    <w:lvl w:ilvl="0">
      <w:lvlJc w:val="left"/>
      <w:lvlText w:val="•"/>
      <w:numFmt w:val="bullet"/>
      <w:start w:val="1"/>
    </w:lvl>
  </w:abstractNum>
  <w:abstractNum w:abstractNumId="3">
    <w:nsid w:val="51EAD36B"/>
    <w:multiLevelType w:val="hybridMultilevel"/>
    <w:lvl w:ilvl="0">
      <w:lvlJc w:val="left"/>
      <w:lvlText w:val="•"/>
      <w:numFmt w:val="bullet"/>
      <w:start w:val="1"/>
    </w:lvl>
  </w:abstractNum>
  <w:abstractNum w:abstractNumId="4">
    <w:nsid w:val="2D517796"/>
    <w:multiLevelType w:val="hybridMultilevel"/>
    <w:lvl w:ilvl="0">
      <w:lvlJc w:val="left"/>
      <w:lvlText w:val="•"/>
      <w:numFmt w:val="bullet"/>
      <w:start w:val="1"/>
    </w:lvl>
  </w:abstractNum>
  <w:abstractNum w:abstractNumId="5">
    <w:nsid w:val="580BD78F"/>
    <w:multiLevelType w:val="hybridMultilevel"/>
    <w:lvl w:ilvl="0">
      <w:lvlJc w:val="left"/>
      <w:lvlText w:val="•"/>
      <w:numFmt w:val="bullet"/>
      <w:start w:val="1"/>
    </w:lvl>
  </w:abstractNum>
  <w:abstractNum w:abstractNumId="6">
    <w:nsid w:val="153EA438"/>
    <w:multiLevelType w:val="hybridMultilevel"/>
    <w:lvl w:ilvl="0">
      <w:lvlJc w:val="left"/>
      <w:lvlText w:val="(%1)"/>
      <w:numFmt w:val="decimal"/>
      <w:start w:val="1"/>
    </w:lvl>
  </w:abstractNum>
  <w:abstractNum w:abstractNumId="7">
    <w:nsid w:val="3855585C"/>
    <w:multiLevelType w:val="hybridMultilevel"/>
    <w:lvl w:ilvl="0">
      <w:lvlJc w:val="left"/>
      <w:lvlText w:val="(%1)"/>
      <w:numFmt w:val="decimal"/>
      <w:start w:val="5"/>
    </w:lvl>
  </w:abstractNum>
  <w:abstractNum w:abstractNumId="8">
    <w:nsid w:val="70A64E2A"/>
    <w:multiLevelType w:val="hybridMultilevel"/>
    <w:lvl w:ilvl="0">
      <w:lvlJc w:val="left"/>
      <w:lvlText w:val="%1."/>
      <w:numFmt w:val="decimal"/>
      <w:start w:val="1"/>
    </w:lvl>
  </w:abstractNum>
  <w:abstractNum w:abstractNumId="9">
    <w:nsid w:val="6A2342EC"/>
    <w:multiLevelType w:val="hybridMultilevel"/>
    <w:lvl w:ilvl="0">
      <w:lvlJc w:val="left"/>
      <w:lvlText w:val="%1."/>
      <w:numFmt w:val="decimal"/>
      <w:start w:val="1"/>
    </w:lvl>
  </w:abstractNum>
  <w:abstractNum w:abstractNumId="10">
    <w:nsid w:val="2A487CB0"/>
    <w:multiLevelType w:val="hybridMultilevel"/>
    <w:lvl w:ilvl="0">
      <w:lvlJc w:val="left"/>
      <w:lvlText w:val="(%1)"/>
      <w:numFmt w:val="decimal"/>
      <w:start w:val="1"/>
    </w:lvl>
  </w:abstractNum>
  <w:abstractNum w:abstractNumId="11">
    <w:nsid w:val="1D4ED43B"/>
    <w:multiLevelType w:val="hybridMultilevel"/>
    <w:lvl w:ilvl="0">
      <w:lvlJc w:val="left"/>
      <w:lvlText w:val="(%1)"/>
      <w:numFmt w:val="lowerLetter"/>
      <w:start w:val="1"/>
    </w:lvl>
    <w:lvl w:ilvl="1">
      <w:lvlJc w:val="left"/>
      <w:lvlText w:val="(%2)"/>
      <w:numFmt w:val="decimal"/>
      <w:start w:val="1"/>
    </w:lvl>
  </w:abstractNum>
  <w:abstractNum w:abstractNumId="12">
    <w:nsid w:val="725A06FB"/>
    <w:multiLevelType w:val="hybridMultilevel"/>
    <w:lvl w:ilvl="0">
      <w:lvlJc w:val="left"/>
      <w:lvlText w:val="•"/>
      <w:numFmt w:val="bullet"/>
      <w:start w:val="1"/>
    </w:lvl>
  </w:abstractNum>
  <w:abstractNum w:abstractNumId="13">
    <w:nsid w:val="2CD89A32"/>
    <w:multiLevelType w:val="hybridMultilevel"/>
    <w:lvl w:ilvl="0">
      <w:lvlJc w:val="left"/>
      <w:lvlText w:val="•"/>
      <w:numFmt w:val="bullet"/>
      <w:start w:val="1"/>
    </w:lvl>
  </w:abstractNum>
  <w:abstractNum w:abstractNumId="14">
    <w:nsid w:val="57E4CCAF"/>
    <w:multiLevelType w:val="hybridMultilevel"/>
    <w:lvl w:ilvl="0">
      <w:lvlJc w:val="left"/>
      <w:lvlText w:val="•"/>
      <w:numFmt w:val="bullet"/>
      <w:start w:val="1"/>
    </w:lvl>
  </w:abstractNum>
  <w:abstractNum w:abstractNumId="15">
    <w:nsid w:val="7A6D8D3C"/>
    <w:multiLevelType w:val="hybridMultilevel"/>
    <w:lvl w:ilvl="0">
      <w:lvlJc w:val="left"/>
      <w:lvlText w:val="•"/>
      <w:numFmt w:val="bullet"/>
      <w:start w:val="1"/>
    </w:lvl>
  </w:abstractNum>
  <w:abstractNum w:abstractNumId="16">
    <w:nsid w:val="4B588F54"/>
    <w:multiLevelType w:val="hybridMultilevel"/>
    <w:lvl w:ilvl="0">
      <w:lvlJc w:val="left"/>
      <w:lvlText w:val="•"/>
      <w:numFmt w:val="bullet"/>
      <w:start w:val="1"/>
    </w:lvl>
  </w:abstractNum>
  <w:abstractNum w:abstractNumId="17">
    <w:nsid w:val="542289EC"/>
    <w:multiLevelType w:val="hybridMultilevel"/>
    <w:lvl w:ilvl="0">
      <w:lvlJc w:val="left"/>
      <w:lvlText w:val="•"/>
      <w:numFmt w:val="bullet"/>
      <w:start w:val="1"/>
    </w:lvl>
  </w:abstractNum>
  <w:abstractNum w:abstractNumId="18">
    <w:nsid w:val="6DE91B18"/>
    <w:multiLevelType w:val="hybridMultilevel"/>
    <w:lvl w:ilvl="0">
      <w:lvlJc w:val="left"/>
      <w:lvlText w:val="%1."/>
      <w:numFmt w:val="decimal"/>
      <w:start w:val="1"/>
    </w:lvl>
  </w:abstractNum>
  <w:abstractNum w:abstractNumId="19">
    <w:nsid w:val="38437FDB"/>
    <w:multiLevelType w:val="hybridMultilevel"/>
    <w:lvl w:ilvl="0">
      <w:lvlJc w:val="left"/>
      <w:lvlText w:val="%1."/>
      <w:numFmt w:val="decimal"/>
      <w:start w:val="1"/>
    </w:lvl>
  </w:abstractNum>
  <w:abstractNum w:abstractNumId="20">
    <w:nsid w:val="7644A45C"/>
    <w:multiLevelType w:val="hybridMultilevel"/>
    <w:lvl w:ilvl="0">
      <w:lvlJc w:val="left"/>
      <w:lvlText w:val="*"/>
      <w:numFmt w:val="bullet"/>
      <w:start w:val="1"/>
    </w:lvl>
  </w:abstractNum>
  <w:abstractNum w:abstractNumId="21">
    <w:nsid w:val="32FFF902"/>
    <w:multiLevelType w:val="hybridMultilevel"/>
    <w:lvl w:ilvl="0">
      <w:lvlJc w:val="left"/>
      <w:lvlText w:val="%1."/>
      <w:numFmt w:val="decimal"/>
      <w:start w:val="1"/>
    </w:lvl>
  </w:abstractNum>
  <w:abstractNum w:abstractNumId="22">
    <w:nsid w:val="684A481A"/>
    <w:multiLevelType w:val="hybridMultilevel"/>
    <w:lvl w:ilvl="0">
      <w:lvlJc w:val="left"/>
      <w:lvlText w:val="%1."/>
      <w:numFmt w:val="decimal"/>
      <w:start w:val="13"/>
    </w:lvl>
  </w:abstractNum>
  <w:abstractNum w:abstractNumId="23">
    <w:nsid w:val="579478FE"/>
    <w:multiLevelType w:val="hybridMultilevel"/>
    <w:lvl w:ilvl="0">
      <w:lvlJc w:val="left"/>
      <w:lvlText w:val="•"/>
      <w:numFmt w:val="bullet"/>
      <w:start w:val="1"/>
    </w:lvl>
  </w:abstractNum>
  <w:abstractNum w:abstractNumId="24">
    <w:nsid w:val="749ABB43"/>
    <w:multiLevelType w:val="hybridMultilevel"/>
    <w:lvl w:ilvl="0">
      <w:lvlJc w:val="left"/>
      <w:lvlText w:val="%1."/>
      <w:numFmt w:val="decimal"/>
      <w:start w:val="1"/>
    </w:lvl>
  </w:abstractNum>
  <w:abstractNum w:abstractNumId="25">
    <w:nsid w:val="3DC240FB"/>
    <w:multiLevelType w:val="hybridMultilevel"/>
    <w:lvl w:ilvl="0">
      <w:lvlJc w:val="left"/>
      <w:lvlText w:val="%1."/>
      <w:numFmt w:val="decimal"/>
      <w:start w:val="1"/>
    </w:lvl>
  </w:abstractNum>
  <w:abstractNum w:abstractNumId="26">
    <w:nsid w:val="1BA026FA"/>
    <w:multiLevelType w:val="hybridMultilevel"/>
    <w:lvl w:ilvl="0">
      <w:lvlJc w:val="left"/>
      <w:lvlText w:val="%1."/>
      <w:numFmt w:val="decimal"/>
      <w:start w:val="1"/>
    </w:lvl>
  </w:abstractNum>
  <w:abstractNum w:abstractNumId="27">
    <w:nsid w:val="79A1DEAA"/>
    <w:multiLevelType w:val="hybridMultilevel"/>
    <w:lvl w:ilvl="0">
      <w:lvlJc w:val="left"/>
      <w:lvlText w:val="%1."/>
      <w:numFmt w:val="decimal"/>
      <w:start w:val="1"/>
    </w:lvl>
  </w:abstractNum>
  <w:abstractNum w:abstractNumId="28">
    <w:nsid w:val="75C6C33A"/>
    <w:multiLevelType w:val="hybridMultilevel"/>
    <w:lvl w:ilvl="0">
      <w:lvlJc w:val="left"/>
      <w:lvlText w:val="(%1)"/>
      <w:numFmt w:val="lowerRoman"/>
      <w:start w:val="2"/>
    </w:lvl>
  </w:abstractNum>
  <w:abstractNum w:abstractNumId="29">
    <w:nsid w:val="12E685FB"/>
    <w:multiLevelType w:val="hybridMultilevel"/>
    <w:lvl w:ilvl="0">
      <w:lvlJc w:val="left"/>
      <w:lvlText w:val="%1."/>
      <w:numFmt w:val="decimal"/>
      <w:start w:val="1"/>
    </w:lvl>
  </w:abstractNum>
  <w:abstractNum w:abstractNumId="30">
    <w:nsid w:val="70C6A529"/>
    <w:multiLevelType w:val="hybridMultilevel"/>
    <w:lvl w:ilvl="0">
      <w:lvlJc w:val="left"/>
      <w:lvlText w:val="%1."/>
      <w:numFmt w:val="decimal"/>
      <w:start w:val="1"/>
    </w:lvl>
  </w:abstractNum>
  <w:abstractNum w:abstractNumId="31">
    <w:nsid w:val="520EEDD1"/>
    <w:multiLevelType w:val="hybridMultilevel"/>
    <w:lvl w:ilvl="0">
      <w:lvlJc w:val="left"/>
      <w:lvlText w:val="%1."/>
      <w:numFmt w:val="decimal"/>
      <w:start w:val="1"/>
    </w:lvl>
  </w:abstractNum>
  <w:abstractNum w:abstractNumId="32">
    <w:nsid w:val="374A3FE6"/>
    <w:multiLevelType w:val="hybridMultilevel"/>
    <w:lvl w:ilvl="0">
      <w:lvlJc w:val="left"/>
      <w:lvlText w:val="%1."/>
      <w:numFmt w:val="decimal"/>
      <w:start w:val="1"/>
    </w:lvl>
  </w:abstractNum>
  <w:abstractNum w:abstractNumId="33">
    <w:nsid w:val="4F4EF005"/>
    <w:multiLevelType w:val="hybridMultilevel"/>
    <w:lvl w:ilvl="0">
      <w:lvlJc w:val="left"/>
      <w:lvlText w:val="(%1)"/>
      <w:numFmt w:val="lowerRoman"/>
      <w:start w:val="3"/>
    </w:lvl>
  </w:abstractNum>
  <w:abstractNum w:abstractNumId="34">
    <w:nsid w:val="23F9C13C"/>
    <w:multiLevelType w:val="hybridMultilevel"/>
    <w:lvl w:ilvl="0">
      <w:lvlJc w:val="left"/>
      <w:lvlText w:val="%1."/>
      <w:numFmt w:val="decimal"/>
      <w:start w:val="1"/>
    </w:lvl>
  </w:abstractNum>
  <w:abstractNum w:abstractNumId="35">
    <w:nsid w:val="649BB77C"/>
    <w:multiLevelType w:val="hybridMultilevel"/>
    <w:lvl w:ilvl="0">
      <w:lvlJc w:val="left"/>
      <w:lvlText w:val="%1."/>
      <w:numFmt w:val="decimal"/>
      <w:start w:val="1"/>
    </w:lvl>
  </w:abstractNum>
  <w:abstractNum w:abstractNumId="36">
    <w:nsid w:val="275AC794"/>
    <w:multiLevelType w:val="hybridMultilevel"/>
    <w:lvl w:ilvl="0">
      <w:lvlJc w:val="left"/>
      <w:lvlText w:val="%1."/>
      <w:numFmt w:val="decimal"/>
      <w:start w:val="1"/>
    </w:lvl>
  </w:abstractNum>
  <w:abstractNum w:abstractNumId="37">
    <w:nsid w:val="39386575"/>
    <w:multiLevelType w:val="hybridMultilevel"/>
    <w:lvl w:ilvl="0">
      <w:lvlJc w:val="left"/>
      <w:lvlText w:val="%1."/>
      <w:numFmt w:val="decimal"/>
      <w:start w:val="1"/>
    </w:lvl>
  </w:abstractNum>
  <w:abstractNum w:abstractNumId="38">
    <w:nsid w:val="1CF10FD8"/>
    <w:multiLevelType w:val="hybridMultilevel"/>
    <w:lvl w:ilvl="0">
      <w:lvlJc w:val="left"/>
      <w:lvlText w:val="%1."/>
      <w:numFmt w:val="decimal"/>
      <w:start w:val="1"/>
    </w:lvl>
  </w:abstractNum>
  <w:abstractNum w:abstractNumId="39">
    <w:nsid w:val="180115BE"/>
    <w:multiLevelType w:val="hybridMultilevel"/>
    <w:lvl w:ilvl="0">
      <w:lvlJc w:val="left"/>
      <w:lvlText w:val="%1."/>
      <w:numFmt w:val="decimal"/>
      <w:start w:val="1"/>
    </w:lvl>
  </w:abstractNum>
  <w:abstractNum w:abstractNumId="40">
    <w:nsid w:val="235BA861"/>
    <w:multiLevelType w:val="hybridMultilevel"/>
    <w:lvl w:ilvl="0">
      <w:lvlJc w:val="left"/>
      <w:lvlText w:val="%1."/>
      <w:numFmt w:val="decimal"/>
      <w:start w:val="1"/>
    </w:lvl>
  </w:abstractNum>
  <w:abstractNum w:abstractNumId="41">
    <w:nsid w:val="47398C89"/>
    <w:multiLevelType w:val="hybridMultilevel"/>
    <w:lvl w:ilvl="0">
      <w:lvlJc w:val="left"/>
      <w:lvlText w:val="%1."/>
      <w:numFmt w:val="decimal"/>
      <w:start w:val="1"/>
    </w:lvl>
  </w:abstractNum>
  <w:abstractNum w:abstractNumId="42">
    <w:nsid w:val="354FE9F9"/>
    <w:multiLevelType w:val="hybridMultilevel"/>
    <w:lvl w:ilvl="0">
      <w:lvlJc w:val="left"/>
      <w:lvlText w:val="%1."/>
      <w:numFmt w:val="decimal"/>
      <w:start w:val="1"/>
    </w:lvl>
  </w:abstractNum>
  <w:abstractNum w:abstractNumId="43">
    <w:nsid w:val="15B5AF5C"/>
    <w:multiLevelType w:val="hybridMultilevel"/>
    <w:lvl w:ilvl="0">
      <w:lvlJc w:val="left"/>
      <w:lvlText w:val="%1."/>
      <w:numFmt w:val="decimal"/>
      <w:start w:val="1"/>
    </w:lvl>
  </w:abstractNum>
  <w:abstractNum w:abstractNumId="44">
    <w:nsid w:val="741226BB"/>
    <w:multiLevelType w:val="hybridMultilevel"/>
    <w:lvl w:ilvl="0">
      <w:lvlJc w:val="left"/>
      <w:lvlText w:val="%1."/>
      <w:numFmt w:val="decimal"/>
      <w:start w:val="1"/>
    </w:lvl>
  </w:abstractNum>
  <w:abstractNum w:abstractNumId="45">
    <w:nsid w:val="D34B6A8"/>
    <w:multiLevelType w:val="hybridMultilevel"/>
    <w:lvl w:ilvl="0">
      <w:lvlJc w:val="left"/>
      <w:lvlText w:val="%1."/>
      <w:numFmt w:val="decimal"/>
      <w:start w:val="1"/>
    </w:lvl>
  </w:abstractNum>
  <w:abstractNum w:abstractNumId="46">
    <w:nsid w:val="10233C99"/>
    <w:multiLevelType w:val="hybridMultilevel"/>
    <w:lvl w:ilvl="0">
      <w:lvlJc w:val="left"/>
      <w:lvlText w:val="%1."/>
      <w:numFmt w:val="decimal"/>
      <w:start w:val="1"/>
    </w:lvl>
  </w:abstractNum>
  <w:abstractNum w:abstractNumId="47">
    <w:nsid w:val="3F6AB60F"/>
    <w:multiLevelType w:val="hybridMultilevel"/>
    <w:lvl w:ilvl="0">
      <w:lvlJc w:val="left"/>
      <w:lvlText w:val="%1."/>
      <w:numFmt w:val="decimal"/>
      <w:start w:val="1"/>
    </w:lvl>
  </w:abstractNum>
  <w:abstractNum w:abstractNumId="48">
    <w:nsid w:val="61574095"/>
    <w:multiLevelType w:val="hybridMultilevel"/>
    <w:lvl w:ilvl="0">
      <w:lvlJc w:val="left"/>
      <w:lvlText w:val="%1."/>
      <w:numFmt w:val="decimal"/>
      <w:start w:val="1"/>
    </w:lvl>
  </w:abstractNum>
  <w:abstractNum w:abstractNumId="49">
    <w:nsid w:val="7E0C57B1"/>
    <w:multiLevelType w:val="hybridMultilevel"/>
    <w:lvl w:ilvl="0">
      <w:lvlJc w:val="left"/>
      <w:lvlText w:val="%1."/>
      <w:numFmt w:val="decimal"/>
      <w:start w:val="1"/>
    </w:lvl>
  </w:abstractNum>
  <w:abstractNum w:abstractNumId="50">
    <w:nsid w:val="77AE35EB"/>
    <w:multiLevelType w:val="hybridMultilevel"/>
    <w:lvl w:ilvl="0">
      <w:lvlJc w:val="left"/>
      <w:lvlText w:val="%1."/>
      <w:numFmt w:val="decimal"/>
      <w:start w:val="1"/>
    </w:lvl>
  </w:abstractNum>
  <w:abstractNum w:abstractNumId="51">
    <w:nsid w:val="579BE4F1"/>
    <w:multiLevelType w:val="hybridMultilevel"/>
    <w:lvl w:ilvl="0">
      <w:lvlJc w:val="left"/>
      <w:lvlText w:val="%1."/>
      <w:numFmt w:val="decimal"/>
      <w:start w:val="1"/>
    </w:lvl>
  </w:abstractNum>
  <w:abstractNum w:abstractNumId="52">
    <w:nsid w:val="310C50B3"/>
    <w:multiLevelType w:val="hybridMultilevel"/>
    <w:lvl w:ilvl="0">
      <w:lvlJc w:val="left"/>
      <w:lvlText w:val="%1."/>
      <w:numFmt w:val="decimal"/>
      <w:start w:val="1"/>
    </w:lvl>
  </w:abstractNum>
  <w:abstractNum w:abstractNumId="53">
    <w:nsid w:val="5FF87E05"/>
    <w:multiLevelType w:val="hybridMultilevel"/>
    <w:lvl w:ilvl="0">
      <w:lvlJc w:val="left"/>
      <w:lvlText w:val="%1."/>
      <w:numFmt w:val="decimal"/>
      <w:start w:val="1"/>
    </w:lvl>
  </w:abstractNum>
  <w:abstractNum w:abstractNumId="54">
    <w:nsid w:val="2F305DEF"/>
    <w:multiLevelType w:val="hybridMultilevel"/>
    <w:lvl w:ilvl="0">
      <w:lvlJc w:val="left"/>
      <w:lvlText w:val="%1."/>
      <w:numFmt w:val="decimal"/>
      <w:start w:val="1"/>
    </w:lvl>
  </w:abstractNum>
  <w:abstractNum w:abstractNumId="55">
    <w:nsid w:val="25A70BF7"/>
    <w:multiLevelType w:val="hybridMultilevel"/>
    <w:lvl w:ilvl="0">
      <w:lvlJc w:val="left"/>
      <w:lvlText w:val="%1."/>
      <w:numFmt w:val="decimal"/>
      <w:start w:val="1"/>
    </w:lvl>
  </w:abstractNum>
  <w:abstractNum w:abstractNumId="56">
    <w:nsid w:val="1DBABF00"/>
    <w:multiLevelType w:val="hybridMultilevel"/>
    <w:lvl w:ilvl="0">
      <w:lvlJc w:val="left"/>
      <w:lvlText w:val="%1."/>
      <w:numFmt w:val="decimal"/>
      <w:start w:val="1"/>
    </w:lvl>
  </w:abstractNum>
  <w:abstractNum w:abstractNumId="57">
    <w:nsid w:val="4AD084E9"/>
    <w:multiLevelType w:val="hybridMultilevel"/>
    <w:lvl w:ilvl="0">
      <w:lvlJc w:val="left"/>
      <w:lvlText w:val="%1."/>
      <w:numFmt w:val="decimal"/>
      <w:start w:val="1"/>
    </w:lvl>
  </w:abstractNum>
  <w:abstractNum w:abstractNumId="58">
    <w:nsid w:val="1F48EAA1"/>
    <w:multiLevelType w:val="hybridMultilevel"/>
    <w:lvl w:ilvl="0">
      <w:lvlJc w:val="left"/>
      <w:lvlText w:val="%1."/>
      <w:numFmt w:val="decimal"/>
      <w:start w:val="1"/>
    </w:lvl>
  </w:abstractNum>
  <w:abstractNum w:abstractNumId="59">
    <w:nsid w:val="1381823A"/>
    <w:multiLevelType w:val="hybridMultilevel"/>
    <w:lvl w:ilvl="0">
      <w:lvlJc w:val="left"/>
      <w:lvlText w:val="%1."/>
      <w:numFmt w:val="decimal"/>
      <w:start w:val="1"/>
    </w:lvl>
  </w:abstractNum>
  <w:abstractNum w:abstractNumId="60">
    <w:nsid w:val="5DB70AE5"/>
    <w:multiLevelType w:val="hybridMultilevel"/>
    <w:lvl w:ilvl="0">
      <w:lvlJc w:val="left"/>
      <w:lvlText w:val="%1."/>
      <w:numFmt w:val="decimal"/>
      <w:start w:val="1"/>
    </w:lvl>
  </w:abstractNum>
  <w:abstractNum w:abstractNumId="61">
    <w:nsid w:val="100F8FCA"/>
    <w:multiLevelType w:val="hybridMultilevel"/>
    <w:lvl w:ilvl="0">
      <w:lvlJc w:val="left"/>
      <w:lvlText w:val="•"/>
      <w:numFmt w:val="bullet"/>
      <w:start w:val="1"/>
    </w:lvl>
  </w:abstractNum>
  <w:abstractNum w:abstractNumId="62">
    <w:nsid w:val="6590700B"/>
    <w:multiLevelType w:val="hybridMultilevel"/>
    <w:lvl w:ilvl="0">
      <w:lvlJc w:val="left"/>
      <w:lvlText w:val="%1."/>
      <w:numFmt w:val="decimal"/>
      <w:start w:val="1"/>
    </w:lvl>
  </w:abstractNum>
  <w:abstractNum w:abstractNumId="63">
    <w:nsid w:val="15014ACB"/>
    <w:multiLevelType w:val="hybridMultilevel"/>
    <w:lvl w:ilvl="0">
      <w:lvlJc w:val="left"/>
      <w:lvlText w:val="(%1)"/>
      <w:numFmt w:val="lowerLetter"/>
      <w:start w:val="1"/>
    </w:lvl>
    <w:lvl w:ilvl="1">
      <w:lvlJc w:val="left"/>
      <w:lvlText w:val="(%2)"/>
      <w:numFmt w:val="decimal"/>
      <w:start w:val="1"/>
    </w:lvl>
  </w:abstractNum>
  <w:abstractNum w:abstractNumId="64">
    <w:nsid w:val="5F5E7FD0"/>
    <w:multiLevelType w:val="hybridMultilevel"/>
    <w:lvl w:ilvl="0">
      <w:lvlJc w:val="left"/>
      <w:lvlText w:val="(%1)"/>
      <w:numFmt w:val="decimal"/>
      <w:start w:val="2"/>
    </w:lvl>
  </w:abstractNum>
  <w:abstractNum w:abstractNumId="65">
    <w:nsid w:val="98A3148"/>
    <w:multiLevelType w:val="hybridMultilevel"/>
    <w:lvl w:ilvl="0">
      <w:lvlJc w:val="left"/>
      <w:lvlText w:val="%1"/>
      <w:numFmt w:val="decimal"/>
      <w:start w:val="21"/>
    </w:lvl>
    <w:lvl w:ilvl="1">
      <w:lvlJc w:val="left"/>
      <w:lvlText w:val="%2)"/>
      <w:numFmt w:val="decimal"/>
      <w:start w:val="1"/>
    </w:lvl>
  </w:abstractNum>
  <w:abstractNum w:abstractNumId="66">
    <w:nsid w:val="799D0247"/>
    <w:multiLevelType w:val="hybridMultilevel"/>
    <w:lvl w:ilvl="0">
      <w:lvlJc w:val="left"/>
      <w:lvlText w:val="%1"/>
      <w:numFmt w:val="decimal"/>
      <w:start w:val="23"/>
    </w:lvl>
  </w:abstractNum>
  <w:abstractNum w:abstractNumId="67">
    <w:nsid w:val="6B94764"/>
    <w:multiLevelType w:val="hybridMultilevel"/>
    <w:lvl w:ilvl="0">
      <w:lvlJc w:val="left"/>
      <w:lvlText w:val="%1"/>
      <w:numFmt w:val="decimal"/>
      <w:start w:val="32"/>
    </w:lvl>
  </w:abstractNum>
  <w:abstractNum w:abstractNumId="68">
    <w:nsid w:val="42C296BD"/>
    <w:multiLevelType w:val="hybridMultilevel"/>
    <w:lvl w:ilvl="0">
      <w:lvlJc w:val="left"/>
      <w:lvlText w:val="**"/>
      <w:numFmt w:val="bullet"/>
      <w:start w:val="1"/>
    </w:lvl>
  </w:abstractNum>
  <w:abstractNum w:abstractNumId="69">
    <w:nsid w:val="168E121F"/>
    <w:multiLevelType w:val="hybridMultilevel"/>
    <w:lvl w:ilvl="0">
      <w:lvlJc w:val="left"/>
      <w:lvlText w:val="†"/>
      <w:numFmt w:val="bullet"/>
      <w:start w:val="1"/>
    </w:lvl>
    <w:lvl w:ilvl="1">
      <w:lvlJc w:val="left"/>
      <w:lvlText w:val="(%2)"/>
      <w:numFmt w:val="lowerLetter"/>
      <w:start w:val="2"/>
    </w:lvl>
  </w:abstractNum>
  <w:abstractNum w:abstractNumId="70">
    <w:nsid w:val="1EBA5D23"/>
    <w:multiLevelType w:val="hybridMultilevel"/>
    <w:lvl w:ilvl="0">
      <w:lvlJc w:val="left"/>
      <w:lvlText w:val="%1."/>
      <w:numFmt w:val="decimal"/>
      <w:start w:val="1"/>
    </w:lvl>
  </w:abstractNum>
  <w:abstractNum w:abstractNumId="71">
    <w:nsid w:val="661E3F1E"/>
    <w:multiLevelType w:val="hybridMultilevel"/>
    <w:lvl w:ilvl="0">
      <w:lvlJc w:val="left"/>
      <w:lvlText w:val="(%1)"/>
      <w:numFmt w:val="decimal"/>
      <w:start w:val="1"/>
    </w:lvl>
  </w:abstractNum>
  <w:abstractNum w:abstractNumId="72">
    <w:nsid w:val="5DC79EA8"/>
    <w:multiLevelType w:val="hybridMultilevel"/>
    <w:lvl w:ilvl="0">
      <w:lvlJc w:val="left"/>
      <w:lvlText w:val="%1."/>
      <w:numFmt w:val="decimal"/>
      <w:start w:val="1"/>
    </w:lvl>
    <w:lvl w:ilvl="1">
      <w:lvlJc w:val="left"/>
      <w:lvlText w:val="(%2)"/>
      <w:numFmt w:val="lowerLetter"/>
      <w:start w:val="1"/>
    </w:lvl>
  </w:abstractNum>
  <w:abstractNum w:abstractNumId="73">
    <w:nsid w:val="540A471C"/>
    <w:multiLevelType w:val="hybridMultilevel"/>
    <w:lvl w:ilvl="0">
      <w:lvlJc w:val="left"/>
      <w:lvlText w:val="%1."/>
      <w:numFmt w:val="decimal"/>
      <w:start w:val="1"/>
    </w:lvl>
    <w:lvl w:ilvl="1">
      <w:lvlJc w:val="left"/>
      <w:lvlText w:val="(%2)"/>
      <w:numFmt w:val="lowerLetter"/>
      <w:start w:val="1"/>
    </w:lvl>
  </w:abstractNum>
  <w:abstractNum w:abstractNumId="74">
    <w:nsid w:val="7BD3EE7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2019-12-29T13:40:03Z</dcterms:created>
  <dcterms:modified xsi:type="dcterms:W3CDTF">2019-12-29T13:40:03Z</dcterms:modified>
</cp:coreProperties>
</file>