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260" w:type="dxa"/>
        <w:tblCellMar>
          <w:top w:w="0" w:type="dxa"/>
          <w:left w:w="0" w:type="dxa"/>
          <w:bottom w:w="0" w:type="dxa"/>
          <w:right w:w="0" w:type="dxa"/>
        </w:tblCellMar>
      </w:tblPr>
      <w:tr>
        <w:trPr>
          <w:trHeight w:val="230"/>
        </w:trPr>
        <w:tc>
          <w:tcPr>
            <w:tcW w:w="1060" w:type="dxa"/>
            <w:vAlign w:val="bottom"/>
          </w:tcPr>
          <w:p>
            <w:pPr>
              <w:spacing w:after="0"/>
              <w:rPr>
                <w:sz w:val="19"/>
                <w:szCs w:val="19"/>
                <w:color w:val="auto"/>
              </w:rPr>
            </w:pPr>
          </w:p>
        </w:tc>
        <w:tc>
          <w:tcPr>
            <w:tcW w:w="8300" w:type="dxa"/>
            <w:vAlign w:val="bottom"/>
          </w:tcPr>
          <w:p>
            <w:pPr>
              <w:jc w:val="center"/>
              <w:ind w:left="219"/>
              <w:spacing w:after="0"/>
              <w:rPr>
                <w:sz w:val="20"/>
                <w:szCs w:val="20"/>
                <w:color w:val="auto"/>
              </w:rPr>
            </w:pPr>
            <w:r>
              <w:rPr>
                <w:rFonts w:ascii="Times New Roman" w:cs="Times New Roman" w:eastAsia="Times New Roman" w:hAnsi="Times New Roman"/>
                <w:sz w:val="20"/>
                <w:szCs w:val="20"/>
                <w:b w:val="1"/>
                <w:bCs w:val="1"/>
                <w:color w:val="auto"/>
                <w:w w:val="97"/>
              </w:rPr>
              <w:t>UNITED STATES</w:t>
            </w:r>
          </w:p>
        </w:tc>
        <w:tc>
          <w:tcPr>
            <w:tcW w:w="0" w:type="dxa"/>
            <w:vAlign w:val="bottom"/>
          </w:tcPr>
          <w:p>
            <w:pPr>
              <w:spacing w:after="0"/>
              <w:rPr>
                <w:sz w:val="1"/>
                <w:szCs w:val="1"/>
                <w:color w:val="auto"/>
              </w:rPr>
            </w:pPr>
          </w:p>
        </w:tc>
      </w:tr>
      <w:tr>
        <w:trPr>
          <w:trHeight w:val="245"/>
        </w:trPr>
        <w:tc>
          <w:tcPr>
            <w:tcW w:w="1060" w:type="dxa"/>
            <w:vAlign w:val="bottom"/>
          </w:tcPr>
          <w:p>
            <w:pPr>
              <w:spacing w:after="0"/>
              <w:rPr>
                <w:sz w:val="21"/>
                <w:szCs w:val="21"/>
                <w:color w:val="auto"/>
              </w:rPr>
            </w:pPr>
          </w:p>
        </w:tc>
        <w:tc>
          <w:tcPr>
            <w:tcW w:w="8300" w:type="dxa"/>
            <w:vAlign w:val="bottom"/>
          </w:tcPr>
          <w:p>
            <w:pPr>
              <w:jc w:val="center"/>
              <w:ind w:left="239"/>
              <w:spacing w:after="0"/>
              <w:rPr>
                <w:sz w:val="20"/>
                <w:szCs w:val="20"/>
                <w:color w:val="auto"/>
              </w:rPr>
            </w:pPr>
            <w:r>
              <w:rPr>
                <w:rFonts w:ascii="Times New Roman" w:cs="Times New Roman" w:eastAsia="Times New Roman" w:hAnsi="Times New Roman"/>
                <w:sz w:val="20"/>
                <w:szCs w:val="20"/>
                <w:b w:val="1"/>
                <w:bCs w:val="1"/>
                <w:color w:val="auto"/>
                <w:w w:val="98"/>
              </w:rPr>
              <w:t>SECURITIES AND EXCHANGE COMMISSION</w:t>
            </w:r>
          </w:p>
        </w:tc>
        <w:tc>
          <w:tcPr>
            <w:tcW w:w="0" w:type="dxa"/>
            <w:vAlign w:val="bottom"/>
          </w:tcPr>
          <w:p>
            <w:pPr>
              <w:spacing w:after="0"/>
              <w:rPr>
                <w:sz w:val="1"/>
                <w:szCs w:val="1"/>
                <w:color w:val="auto"/>
              </w:rPr>
            </w:pPr>
          </w:p>
        </w:tc>
      </w:tr>
      <w:tr>
        <w:trPr>
          <w:trHeight w:val="173"/>
        </w:trPr>
        <w:tc>
          <w:tcPr>
            <w:tcW w:w="1060" w:type="dxa"/>
            <w:vAlign w:val="bottom"/>
          </w:tcPr>
          <w:p>
            <w:pPr>
              <w:spacing w:after="0"/>
              <w:rPr>
                <w:sz w:val="15"/>
                <w:szCs w:val="15"/>
                <w:color w:val="auto"/>
              </w:rPr>
            </w:pPr>
          </w:p>
        </w:tc>
        <w:tc>
          <w:tcPr>
            <w:tcW w:w="8300" w:type="dxa"/>
            <w:vAlign w:val="bottom"/>
          </w:tcPr>
          <w:p>
            <w:pPr>
              <w:jc w:val="center"/>
              <w:ind w:left="219"/>
              <w:spacing w:after="0"/>
              <w:rPr>
                <w:sz w:val="20"/>
                <w:szCs w:val="20"/>
                <w:color w:val="auto"/>
              </w:rPr>
            </w:pPr>
            <w:r>
              <w:rPr>
                <w:rFonts w:ascii="Times New Roman" w:cs="Times New Roman" w:eastAsia="Times New Roman" w:hAnsi="Times New Roman"/>
                <w:sz w:val="14"/>
                <w:szCs w:val="14"/>
                <w:b w:val="1"/>
                <w:bCs w:val="1"/>
                <w:color w:val="auto"/>
              </w:rPr>
              <w:t>Washington, D.C. 20549</w:t>
            </w:r>
          </w:p>
        </w:tc>
        <w:tc>
          <w:tcPr>
            <w:tcW w:w="0" w:type="dxa"/>
            <w:vAlign w:val="bottom"/>
          </w:tcPr>
          <w:p>
            <w:pPr>
              <w:spacing w:after="0"/>
              <w:rPr>
                <w:sz w:val="1"/>
                <w:szCs w:val="1"/>
                <w:color w:val="auto"/>
              </w:rPr>
            </w:pPr>
          </w:p>
        </w:tc>
      </w:tr>
      <w:tr>
        <w:trPr>
          <w:trHeight w:val="262"/>
        </w:trPr>
        <w:tc>
          <w:tcPr>
            <w:tcW w:w="1060" w:type="dxa"/>
            <w:vAlign w:val="bottom"/>
            <w:vMerge w:val="restart"/>
          </w:tcPr>
          <w:p>
            <w:pPr>
              <w:spacing w:after="0" w:line="141" w:lineRule="exact"/>
              <w:rPr>
                <w:sz w:val="20"/>
                <w:szCs w:val="20"/>
                <w:color w:val="auto"/>
              </w:rPr>
            </w:pPr>
            <w:r>
              <w:rPr>
                <w:rFonts w:ascii="MS PGothic" w:cs="MS PGothic" w:eastAsia="MS PGothic" w:hAnsi="MS PGothic"/>
                <w:sz w:val="14"/>
                <w:szCs w:val="14"/>
                <w:color w:val="auto"/>
              </w:rPr>
              <w:t>☒</w:t>
            </w:r>
          </w:p>
        </w:tc>
        <w:tc>
          <w:tcPr>
            <w:tcW w:w="8300" w:type="dxa"/>
            <w:vAlign w:val="bottom"/>
          </w:tcPr>
          <w:p>
            <w:pPr>
              <w:jc w:val="center"/>
              <w:ind w:left="219"/>
              <w:spacing w:after="0"/>
              <w:rPr>
                <w:sz w:val="20"/>
                <w:szCs w:val="20"/>
                <w:color w:val="auto"/>
              </w:rPr>
            </w:pPr>
            <w:r>
              <w:rPr>
                <w:rFonts w:ascii="Times New Roman" w:cs="Times New Roman" w:eastAsia="Times New Roman" w:hAnsi="Times New Roman"/>
                <w:sz w:val="20"/>
                <w:szCs w:val="20"/>
                <w:b w:val="1"/>
                <w:bCs w:val="1"/>
                <w:color w:val="auto"/>
                <w:w w:val="99"/>
              </w:rPr>
              <w:t>FORM 10-Q</w:t>
            </w:r>
          </w:p>
        </w:tc>
        <w:tc>
          <w:tcPr>
            <w:tcW w:w="0" w:type="dxa"/>
            <w:vAlign w:val="bottom"/>
          </w:tcPr>
          <w:p>
            <w:pPr>
              <w:spacing w:after="0"/>
              <w:rPr>
                <w:sz w:val="1"/>
                <w:szCs w:val="1"/>
                <w:color w:val="auto"/>
              </w:rPr>
            </w:pPr>
          </w:p>
        </w:tc>
      </w:tr>
      <w:tr>
        <w:trPr>
          <w:trHeight w:val="214"/>
        </w:trPr>
        <w:tc>
          <w:tcPr>
            <w:tcW w:w="1060" w:type="dxa"/>
            <w:vAlign w:val="bottom"/>
            <w:vMerge w:val="continue"/>
          </w:tcPr>
          <w:p>
            <w:pPr>
              <w:spacing w:after="0"/>
              <w:rPr>
                <w:sz w:val="18"/>
                <w:szCs w:val="18"/>
                <w:color w:val="auto"/>
              </w:rPr>
            </w:pPr>
          </w:p>
        </w:tc>
        <w:tc>
          <w:tcPr>
            <w:tcW w:w="8300" w:type="dxa"/>
            <w:vAlign w:val="bottom"/>
          </w:tcPr>
          <w:p>
            <w:pPr>
              <w:ind w:left="960"/>
              <w:spacing w:after="0"/>
              <w:rPr>
                <w:sz w:val="20"/>
                <w:szCs w:val="20"/>
                <w:color w:val="auto"/>
              </w:rPr>
            </w:pPr>
            <w:r>
              <w:rPr>
                <w:rFonts w:ascii="Times New Roman" w:cs="Times New Roman" w:eastAsia="Times New Roman" w:hAnsi="Times New Roman"/>
                <w:sz w:val="14"/>
                <w:szCs w:val="14"/>
                <w:b w:val="1"/>
                <w:bCs w:val="1"/>
                <w:color w:val="auto"/>
              </w:rPr>
              <w:t>QUARTERLY REPORT PURSUANT TO SECTION 13 OR 15(D) OF THE SECURITIES EXCHANGE ACT OF 1934</w:t>
            </w:r>
          </w:p>
        </w:tc>
        <w:tc>
          <w:tcPr>
            <w:tcW w:w="0" w:type="dxa"/>
            <w:vAlign w:val="bottom"/>
          </w:tcPr>
          <w:p>
            <w:pPr>
              <w:spacing w:after="0"/>
              <w:rPr>
                <w:sz w:val="1"/>
                <w:szCs w:val="1"/>
                <w:color w:val="auto"/>
              </w:rPr>
            </w:pPr>
          </w:p>
        </w:tc>
      </w:tr>
      <w:tr>
        <w:trPr>
          <w:trHeight w:val="268"/>
        </w:trPr>
        <w:tc>
          <w:tcPr>
            <w:tcW w:w="1060" w:type="dxa"/>
            <w:vAlign w:val="bottom"/>
          </w:tcPr>
          <w:p>
            <w:pPr>
              <w:spacing w:after="0"/>
              <w:rPr>
                <w:sz w:val="23"/>
                <w:szCs w:val="23"/>
                <w:color w:val="auto"/>
              </w:rPr>
            </w:pPr>
          </w:p>
        </w:tc>
        <w:tc>
          <w:tcPr>
            <w:tcW w:w="8300" w:type="dxa"/>
            <w:vAlign w:val="bottom"/>
          </w:tcPr>
          <w:p>
            <w:pPr>
              <w:jc w:val="center"/>
              <w:ind w:left="239"/>
              <w:spacing w:after="0"/>
              <w:rPr>
                <w:sz w:val="20"/>
                <w:szCs w:val="20"/>
                <w:color w:val="auto"/>
              </w:rPr>
            </w:pPr>
            <w:r>
              <w:rPr>
                <w:rFonts w:ascii="Times New Roman" w:cs="Times New Roman" w:eastAsia="Times New Roman" w:hAnsi="Times New Roman"/>
                <w:sz w:val="14"/>
                <w:szCs w:val="14"/>
                <w:b w:val="1"/>
                <w:bCs w:val="1"/>
                <w:color w:val="auto"/>
              </w:rPr>
              <w:t>For the quarterly period ended March 31, 2022</w:t>
            </w:r>
          </w:p>
        </w:tc>
        <w:tc>
          <w:tcPr>
            <w:tcW w:w="0" w:type="dxa"/>
            <w:vAlign w:val="bottom"/>
          </w:tcPr>
          <w:p>
            <w:pPr>
              <w:spacing w:after="0"/>
              <w:rPr>
                <w:sz w:val="1"/>
                <w:szCs w:val="1"/>
                <w:color w:val="auto"/>
              </w:rPr>
            </w:pPr>
          </w:p>
        </w:tc>
      </w:tr>
      <w:tr>
        <w:trPr>
          <w:trHeight w:val="190"/>
        </w:trPr>
        <w:tc>
          <w:tcPr>
            <w:tcW w:w="1060" w:type="dxa"/>
            <w:vAlign w:val="bottom"/>
          </w:tcPr>
          <w:p>
            <w:pPr>
              <w:spacing w:after="0"/>
              <w:rPr>
                <w:sz w:val="16"/>
                <w:szCs w:val="16"/>
                <w:color w:val="auto"/>
              </w:rPr>
            </w:pPr>
          </w:p>
        </w:tc>
        <w:tc>
          <w:tcPr>
            <w:tcW w:w="8300" w:type="dxa"/>
            <w:vAlign w:val="bottom"/>
          </w:tcPr>
          <w:p>
            <w:pPr>
              <w:jc w:val="center"/>
              <w:ind w:left="239"/>
              <w:spacing w:after="0"/>
              <w:rPr>
                <w:sz w:val="20"/>
                <w:szCs w:val="20"/>
                <w:color w:val="auto"/>
              </w:rPr>
            </w:pPr>
            <w:r>
              <w:rPr>
                <w:rFonts w:ascii="Times New Roman" w:cs="Times New Roman" w:eastAsia="Times New Roman" w:hAnsi="Times New Roman"/>
                <w:sz w:val="14"/>
                <w:szCs w:val="14"/>
                <w:b w:val="1"/>
                <w:bCs w:val="1"/>
                <w:color w:val="auto"/>
              </w:rPr>
              <w:t>OR</w:t>
            </w:r>
          </w:p>
        </w:tc>
        <w:tc>
          <w:tcPr>
            <w:tcW w:w="0" w:type="dxa"/>
            <w:vAlign w:val="bottom"/>
          </w:tcPr>
          <w:p>
            <w:pPr>
              <w:spacing w:after="0"/>
              <w:rPr>
                <w:sz w:val="1"/>
                <w:szCs w:val="1"/>
                <w:color w:val="auto"/>
              </w:rPr>
            </w:pPr>
          </w:p>
        </w:tc>
      </w:tr>
      <w:tr>
        <w:trPr>
          <w:trHeight w:val="230"/>
        </w:trPr>
        <w:tc>
          <w:tcPr>
            <w:tcW w:w="1060" w:type="dxa"/>
            <w:vAlign w:val="bottom"/>
          </w:tcPr>
          <w:p>
            <w:pPr>
              <w:spacing w:after="0" w:line="141" w:lineRule="exact"/>
              <w:rPr>
                <w:sz w:val="20"/>
                <w:szCs w:val="20"/>
                <w:color w:val="auto"/>
              </w:rPr>
            </w:pPr>
            <w:r>
              <w:rPr>
                <w:rFonts w:ascii="MS PGothic" w:cs="MS PGothic" w:eastAsia="MS PGothic" w:hAnsi="MS PGothic"/>
                <w:sz w:val="14"/>
                <w:szCs w:val="14"/>
                <w:color w:val="auto"/>
              </w:rPr>
              <w:t>☐</w:t>
            </w:r>
          </w:p>
        </w:tc>
        <w:tc>
          <w:tcPr>
            <w:tcW w:w="8300" w:type="dxa"/>
            <w:vAlign w:val="bottom"/>
          </w:tcPr>
          <w:p>
            <w:pPr>
              <w:ind w:left="940"/>
              <w:spacing w:after="0"/>
              <w:rPr>
                <w:sz w:val="20"/>
                <w:szCs w:val="20"/>
                <w:color w:val="auto"/>
              </w:rPr>
            </w:pPr>
            <w:r>
              <w:rPr>
                <w:rFonts w:ascii="Times New Roman" w:cs="Times New Roman" w:eastAsia="Times New Roman" w:hAnsi="Times New Roman"/>
                <w:sz w:val="14"/>
                <w:szCs w:val="14"/>
                <w:b w:val="1"/>
                <w:bCs w:val="1"/>
                <w:color w:val="auto"/>
              </w:rPr>
              <w:t>TRANSITION REPORT PURSUANT TO SECTION 13 OR 15(D) OF THE SECURITIES EXCHANGE ACT OF 1934</w:t>
            </w:r>
          </w:p>
        </w:tc>
        <w:tc>
          <w:tcPr>
            <w:tcW w:w="0" w:type="dxa"/>
            <w:vAlign w:val="bottom"/>
          </w:tcPr>
          <w:p>
            <w:pPr>
              <w:spacing w:after="0"/>
              <w:rPr>
                <w:sz w:val="1"/>
                <w:szCs w:val="1"/>
                <w:color w:val="auto"/>
              </w:rPr>
            </w:pPr>
          </w:p>
        </w:tc>
      </w:tr>
      <w:tr>
        <w:trPr>
          <w:trHeight w:val="283"/>
        </w:trPr>
        <w:tc>
          <w:tcPr>
            <w:tcW w:w="1060" w:type="dxa"/>
            <w:vAlign w:val="bottom"/>
          </w:tcPr>
          <w:p>
            <w:pPr>
              <w:spacing w:after="0"/>
              <w:rPr>
                <w:sz w:val="24"/>
                <w:szCs w:val="24"/>
                <w:color w:val="auto"/>
              </w:rPr>
            </w:pPr>
          </w:p>
        </w:tc>
        <w:tc>
          <w:tcPr>
            <w:tcW w:w="8300" w:type="dxa"/>
            <w:vAlign w:val="bottom"/>
          </w:tcPr>
          <w:p>
            <w:pPr>
              <w:jc w:val="center"/>
              <w:ind w:left="219"/>
              <w:spacing w:after="0"/>
              <w:rPr>
                <w:sz w:val="20"/>
                <w:szCs w:val="20"/>
                <w:color w:val="auto"/>
              </w:rPr>
            </w:pPr>
            <w:r>
              <w:rPr>
                <w:rFonts w:ascii="Times New Roman" w:cs="Times New Roman" w:eastAsia="Times New Roman" w:hAnsi="Times New Roman"/>
                <w:sz w:val="14"/>
                <w:szCs w:val="14"/>
                <w:b w:val="1"/>
                <w:bCs w:val="1"/>
                <w:color w:val="auto"/>
              </w:rPr>
              <w:t>Commission file number 001-34057</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276860</wp:posOffset>
            </wp:positionH>
            <wp:positionV relativeFrom="page">
              <wp:posOffset>517525</wp:posOffset>
            </wp:positionV>
            <wp:extent cx="699516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page">
              <wp:posOffset>276860</wp:posOffset>
            </wp:positionH>
            <wp:positionV relativeFrom="page">
              <wp:posOffset>483235</wp:posOffset>
            </wp:positionV>
            <wp:extent cx="699516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995160" cy="8255"/>
                    </a:xfrm>
                    <a:prstGeom prst="rect">
                      <a:avLst/>
                    </a:prstGeom>
                    <a:noFill/>
                  </pic:spPr>
                </pic:pic>
              </a:graphicData>
            </a:graphic>
          </wp:anchor>
        </w:drawing>
        <w:drawing>
          <wp:anchor simplePos="0" relativeHeight="251657728" behindDoc="1" locked="0" layoutInCell="0" allowOverlap="1">
            <wp:simplePos x="0" y="0"/>
            <wp:positionH relativeFrom="column">
              <wp:posOffset>2756535</wp:posOffset>
            </wp:positionH>
            <wp:positionV relativeFrom="paragraph">
              <wp:posOffset>109220</wp:posOffset>
            </wp:positionV>
            <wp:extent cx="2040255" cy="6172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040255" cy="6172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tbl>
      <w:tblPr>
        <w:tblLayout w:type="fixed"/>
        <w:tblInd w:w="0" w:type="dxa"/>
        <w:tblCellMar>
          <w:top w:w="0" w:type="dxa"/>
          <w:left w:w="0" w:type="dxa"/>
          <w:bottom w:w="0" w:type="dxa"/>
          <w:right w:w="0" w:type="dxa"/>
        </w:tblCellMar>
      </w:tblPr>
      <w:tr>
        <w:trPr>
          <w:trHeight w:val="245"/>
        </w:trPr>
        <w:tc>
          <w:tcPr>
            <w:tcW w:w="4040" w:type="dxa"/>
            <w:vAlign w:val="bottom"/>
          </w:tcPr>
          <w:p>
            <w:pPr>
              <w:spacing w:after="0"/>
              <w:rPr>
                <w:sz w:val="21"/>
                <w:szCs w:val="21"/>
                <w:color w:val="auto"/>
              </w:rPr>
            </w:pPr>
          </w:p>
        </w:tc>
        <w:tc>
          <w:tcPr>
            <w:tcW w:w="3880" w:type="dxa"/>
            <w:vAlign w:val="bottom"/>
            <w:gridSpan w:val="5"/>
          </w:tcPr>
          <w:p>
            <w:pPr>
              <w:jc w:val="center"/>
              <w:ind w:right="720"/>
              <w:spacing w:after="0"/>
              <w:rPr>
                <w:sz w:val="20"/>
                <w:szCs w:val="20"/>
                <w:color w:val="auto"/>
              </w:rPr>
            </w:pPr>
            <w:r>
              <w:rPr>
                <w:rFonts w:ascii="Times New Roman" w:cs="Times New Roman" w:eastAsia="Times New Roman" w:hAnsi="Times New Roman"/>
                <w:sz w:val="20"/>
                <w:szCs w:val="20"/>
                <w:b w:val="1"/>
                <w:bCs w:val="1"/>
                <w:color w:val="auto"/>
                <w:w w:val="98"/>
              </w:rPr>
              <w:t>AGNC INVESTMENT CORP.</w:t>
            </w:r>
          </w:p>
        </w:tc>
        <w:tc>
          <w:tcPr>
            <w:tcW w:w="33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8"/>
        </w:trPr>
        <w:tc>
          <w:tcPr>
            <w:tcW w:w="4040" w:type="dxa"/>
            <w:vAlign w:val="bottom"/>
          </w:tcPr>
          <w:p>
            <w:pPr>
              <w:spacing w:after="0"/>
              <w:rPr>
                <w:sz w:val="15"/>
                <w:szCs w:val="15"/>
                <w:color w:val="auto"/>
              </w:rPr>
            </w:pPr>
          </w:p>
        </w:tc>
        <w:tc>
          <w:tcPr>
            <w:tcW w:w="3880" w:type="dxa"/>
            <w:vAlign w:val="bottom"/>
            <w:gridSpan w:val="5"/>
          </w:tcPr>
          <w:p>
            <w:pPr>
              <w:jc w:val="center"/>
              <w:ind w:right="700"/>
              <w:spacing w:after="0"/>
              <w:rPr>
                <w:sz w:val="20"/>
                <w:szCs w:val="20"/>
                <w:color w:val="auto"/>
              </w:rPr>
            </w:pPr>
            <w:r>
              <w:rPr>
                <w:rFonts w:ascii="Times New Roman" w:cs="Times New Roman" w:eastAsia="Times New Roman" w:hAnsi="Times New Roman"/>
                <w:sz w:val="14"/>
                <w:szCs w:val="14"/>
                <w:b w:val="1"/>
                <w:bCs w:val="1"/>
                <w:color w:val="auto"/>
              </w:rPr>
              <w:t>(Exact name of registrant as specified in its charter)</w:t>
            </w:r>
          </w:p>
        </w:tc>
        <w:tc>
          <w:tcPr>
            <w:tcW w:w="3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7920" w:type="dxa"/>
            <w:vAlign w:val="bottom"/>
            <w:gridSpan w:val="6"/>
          </w:tcPr>
          <w:p>
            <w:pPr>
              <w:jc w:val="right"/>
              <w:ind w:right="500"/>
              <w:spacing w:after="0"/>
              <w:rPr>
                <w:sz w:val="20"/>
                <w:szCs w:val="20"/>
                <w:color w:val="auto"/>
              </w:rPr>
            </w:pPr>
            <w:r>
              <w:rPr>
                <w:rFonts w:ascii="Times New Roman" w:cs="Times New Roman" w:eastAsia="Times New Roman" w:hAnsi="Times New Roman"/>
                <w:sz w:val="14"/>
                <w:szCs w:val="14"/>
                <w:color w:val="auto"/>
              </w:rPr>
              <w:t>__________________________________________________</w:t>
            </w:r>
          </w:p>
        </w:tc>
        <w:tc>
          <w:tcPr>
            <w:tcW w:w="3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4040" w:type="dxa"/>
            <w:vAlign w:val="bottom"/>
          </w:tcPr>
          <w:p>
            <w:pPr>
              <w:jc w:val="center"/>
              <w:ind w:left="1308"/>
              <w:spacing w:after="0"/>
              <w:rPr>
                <w:sz w:val="20"/>
                <w:szCs w:val="20"/>
                <w:color w:val="auto"/>
              </w:rPr>
            </w:pPr>
            <w:r>
              <w:rPr>
                <w:rFonts w:ascii="Times New Roman" w:cs="Times New Roman" w:eastAsia="Times New Roman" w:hAnsi="Times New Roman"/>
                <w:sz w:val="14"/>
                <w:szCs w:val="14"/>
                <w:b w:val="1"/>
                <w:bCs w:val="1"/>
                <w:color w:val="auto"/>
              </w:rPr>
              <w:t>Delaware</w:t>
            </w:r>
          </w:p>
        </w:tc>
        <w:tc>
          <w:tcPr>
            <w:tcW w:w="1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3320" w:type="dxa"/>
            <w:vAlign w:val="bottom"/>
          </w:tcPr>
          <w:p>
            <w:pPr>
              <w:jc w:val="center"/>
              <w:ind w:right="1808"/>
              <w:spacing w:after="0"/>
              <w:rPr>
                <w:sz w:val="20"/>
                <w:szCs w:val="20"/>
                <w:color w:val="auto"/>
              </w:rPr>
            </w:pPr>
            <w:r>
              <w:rPr>
                <w:rFonts w:ascii="Times New Roman" w:cs="Times New Roman" w:eastAsia="Times New Roman" w:hAnsi="Times New Roman"/>
                <w:sz w:val="14"/>
                <w:szCs w:val="14"/>
                <w:b w:val="1"/>
                <w:bCs w:val="1"/>
                <w:color w:val="auto"/>
              </w:rPr>
              <w:t>26-1701984</w:t>
            </w:r>
          </w:p>
        </w:tc>
        <w:tc>
          <w:tcPr>
            <w:tcW w:w="0" w:type="dxa"/>
            <w:vAlign w:val="bottom"/>
          </w:tcPr>
          <w:p>
            <w:pPr>
              <w:spacing w:after="0"/>
              <w:rPr>
                <w:sz w:val="1"/>
                <w:szCs w:val="1"/>
                <w:color w:val="auto"/>
              </w:rPr>
            </w:pPr>
          </w:p>
        </w:tc>
      </w:tr>
      <w:tr>
        <w:trPr>
          <w:trHeight w:val="161"/>
        </w:trPr>
        <w:tc>
          <w:tcPr>
            <w:tcW w:w="4040" w:type="dxa"/>
            <w:vAlign w:val="bottom"/>
          </w:tcPr>
          <w:p>
            <w:pPr>
              <w:jc w:val="center"/>
              <w:ind w:left="1308"/>
              <w:spacing w:after="0"/>
              <w:rPr>
                <w:sz w:val="20"/>
                <w:szCs w:val="20"/>
                <w:color w:val="auto"/>
              </w:rPr>
            </w:pPr>
            <w:r>
              <w:rPr>
                <w:rFonts w:ascii="Times New Roman" w:cs="Times New Roman" w:eastAsia="Times New Roman" w:hAnsi="Times New Roman"/>
                <w:sz w:val="14"/>
                <w:szCs w:val="14"/>
                <w:b w:val="1"/>
                <w:bCs w:val="1"/>
                <w:color w:val="auto"/>
              </w:rPr>
              <w:t>(State or Other Jurisdiction of</w:t>
            </w:r>
          </w:p>
        </w:tc>
        <w:tc>
          <w:tcPr>
            <w:tcW w:w="15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20" w:type="dxa"/>
            <w:vAlign w:val="bottom"/>
          </w:tcPr>
          <w:p>
            <w:pPr>
              <w:spacing w:after="0"/>
              <w:rPr>
                <w:sz w:val="13"/>
                <w:szCs w:val="13"/>
                <w:color w:val="auto"/>
              </w:rPr>
            </w:pPr>
          </w:p>
        </w:tc>
        <w:tc>
          <w:tcPr>
            <w:tcW w:w="3320" w:type="dxa"/>
            <w:vAlign w:val="bottom"/>
          </w:tcPr>
          <w:p>
            <w:pPr>
              <w:jc w:val="center"/>
              <w:ind w:right="1808"/>
              <w:spacing w:after="0"/>
              <w:rPr>
                <w:sz w:val="20"/>
                <w:szCs w:val="20"/>
                <w:color w:val="auto"/>
              </w:rPr>
            </w:pPr>
            <w:r>
              <w:rPr>
                <w:rFonts w:ascii="Times New Roman" w:cs="Times New Roman" w:eastAsia="Times New Roman" w:hAnsi="Times New Roman"/>
                <w:sz w:val="14"/>
                <w:szCs w:val="14"/>
                <w:b w:val="1"/>
                <w:bCs w:val="1"/>
                <w:color w:val="auto"/>
              </w:rPr>
              <w:t>(I.R.S. Employer</w:t>
            </w:r>
          </w:p>
        </w:tc>
        <w:tc>
          <w:tcPr>
            <w:tcW w:w="0" w:type="dxa"/>
            <w:vAlign w:val="bottom"/>
          </w:tcPr>
          <w:p>
            <w:pPr>
              <w:spacing w:after="0"/>
              <w:rPr>
                <w:sz w:val="1"/>
                <w:szCs w:val="1"/>
                <w:color w:val="auto"/>
              </w:rPr>
            </w:pPr>
          </w:p>
        </w:tc>
      </w:tr>
      <w:tr>
        <w:trPr>
          <w:trHeight w:val="190"/>
        </w:trPr>
        <w:tc>
          <w:tcPr>
            <w:tcW w:w="4040" w:type="dxa"/>
            <w:vAlign w:val="bottom"/>
          </w:tcPr>
          <w:p>
            <w:pPr>
              <w:jc w:val="center"/>
              <w:ind w:left="1308"/>
              <w:spacing w:after="0"/>
              <w:rPr>
                <w:sz w:val="20"/>
                <w:szCs w:val="20"/>
                <w:color w:val="auto"/>
              </w:rPr>
            </w:pPr>
            <w:r>
              <w:rPr>
                <w:rFonts w:ascii="Times New Roman" w:cs="Times New Roman" w:eastAsia="Times New Roman" w:hAnsi="Times New Roman"/>
                <w:sz w:val="14"/>
                <w:szCs w:val="14"/>
                <w:b w:val="1"/>
                <w:bCs w:val="1"/>
                <w:color w:val="auto"/>
              </w:rPr>
              <w:t>Incorporation or Organization)</w:t>
            </w:r>
          </w:p>
        </w:tc>
        <w:tc>
          <w:tcPr>
            <w:tcW w:w="1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320" w:type="dxa"/>
            <w:vAlign w:val="bottom"/>
          </w:tcPr>
          <w:p>
            <w:pPr>
              <w:jc w:val="center"/>
              <w:ind w:right="1808"/>
              <w:spacing w:after="0"/>
              <w:rPr>
                <w:sz w:val="20"/>
                <w:szCs w:val="20"/>
                <w:color w:val="auto"/>
              </w:rPr>
            </w:pPr>
            <w:r>
              <w:rPr>
                <w:rFonts w:ascii="Times New Roman" w:cs="Times New Roman" w:eastAsia="Times New Roman" w:hAnsi="Times New Roman"/>
                <w:sz w:val="14"/>
                <w:szCs w:val="14"/>
                <w:b w:val="1"/>
                <w:bCs w:val="1"/>
                <w:color w:val="auto"/>
              </w:rPr>
              <w:t>Identification No.)</w:t>
            </w:r>
          </w:p>
        </w:tc>
        <w:tc>
          <w:tcPr>
            <w:tcW w:w="0" w:type="dxa"/>
            <w:vAlign w:val="bottom"/>
          </w:tcPr>
          <w:p>
            <w:pPr>
              <w:spacing w:after="0"/>
              <w:rPr>
                <w:sz w:val="1"/>
                <w:szCs w:val="1"/>
                <w:color w:val="auto"/>
              </w:rPr>
            </w:pPr>
          </w:p>
        </w:tc>
      </w:tr>
      <w:tr>
        <w:trPr>
          <w:trHeight w:val="269"/>
        </w:trPr>
        <w:tc>
          <w:tcPr>
            <w:tcW w:w="4040" w:type="dxa"/>
            <w:vAlign w:val="bottom"/>
          </w:tcPr>
          <w:p>
            <w:pPr>
              <w:spacing w:after="0"/>
              <w:rPr>
                <w:sz w:val="23"/>
                <w:szCs w:val="23"/>
                <w:color w:val="auto"/>
              </w:rPr>
            </w:pPr>
          </w:p>
        </w:tc>
        <w:tc>
          <w:tcPr>
            <w:tcW w:w="3880" w:type="dxa"/>
            <w:vAlign w:val="bottom"/>
            <w:gridSpan w:val="5"/>
          </w:tcPr>
          <w:p>
            <w:pPr>
              <w:jc w:val="center"/>
              <w:ind w:right="720"/>
              <w:spacing w:after="0"/>
              <w:rPr>
                <w:sz w:val="20"/>
                <w:szCs w:val="20"/>
                <w:color w:val="auto"/>
              </w:rPr>
            </w:pPr>
            <w:r>
              <w:rPr>
                <w:rFonts w:ascii="Times New Roman" w:cs="Times New Roman" w:eastAsia="Times New Roman" w:hAnsi="Times New Roman"/>
                <w:sz w:val="14"/>
                <w:szCs w:val="14"/>
                <w:b w:val="1"/>
                <w:bCs w:val="1"/>
                <w:color w:val="auto"/>
              </w:rPr>
              <w:t>2 Bethesda Metro Center, 12th Floor</w:t>
            </w:r>
          </w:p>
        </w:tc>
        <w:tc>
          <w:tcPr>
            <w:tcW w:w="33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5"/>
        </w:trPr>
        <w:tc>
          <w:tcPr>
            <w:tcW w:w="4040" w:type="dxa"/>
            <w:vAlign w:val="bottom"/>
          </w:tcPr>
          <w:p>
            <w:pPr>
              <w:spacing w:after="0"/>
              <w:rPr>
                <w:sz w:val="15"/>
                <w:szCs w:val="15"/>
                <w:color w:val="auto"/>
              </w:rPr>
            </w:pPr>
          </w:p>
        </w:tc>
        <w:tc>
          <w:tcPr>
            <w:tcW w:w="3880" w:type="dxa"/>
            <w:vAlign w:val="bottom"/>
            <w:gridSpan w:val="5"/>
          </w:tcPr>
          <w:p>
            <w:pPr>
              <w:jc w:val="center"/>
              <w:ind w:right="720"/>
              <w:spacing w:after="0"/>
              <w:rPr>
                <w:sz w:val="20"/>
                <w:szCs w:val="20"/>
                <w:color w:val="auto"/>
              </w:rPr>
            </w:pPr>
            <w:r>
              <w:rPr>
                <w:rFonts w:ascii="Times New Roman" w:cs="Times New Roman" w:eastAsia="Times New Roman" w:hAnsi="Times New Roman"/>
                <w:sz w:val="14"/>
                <w:szCs w:val="14"/>
                <w:b w:val="1"/>
                <w:bCs w:val="1"/>
                <w:color w:val="auto"/>
              </w:rPr>
              <w:t>Bethesda, Maryland 20814</w:t>
            </w:r>
          </w:p>
        </w:tc>
        <w:tc>
          <w:tcPr>
            <w:tcW w:w="3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4040" w:type="dxa"/>
            <w:vAlign w:val="bottom"/>
          </w:tcPr>
          <w:p>
            <w:pPr>
              <w:spacing w:after="0"/>
              <w:rPr>
                <w:sz w:val="15"/>
                <w:szCs w:val="15"/>
                <w:color w:val="auto"/>
              </w:rPr>
            </w:pPr>
          </w:p>
        </w:tc>
        <w:tc>
          <w:tcPr>
            <w:tcW w:w="3880" w:type="dxa"/>
            <w:vAlign w:val="bottom"/>
            <w:gridSpan w:val="5"/>
          </w:tcPr>
          <w:p>
            <w:pPr>
              <w:jc w:val="center"/>
              <w:ind w:right="700"/>
              <w:spacing w:after="0"/>
              <w:rPr>
                <w:sz w:val="20"/>
                <w:szCs w:val="20"/>
                <w:color w:val="auto"/>
              </w:rPr>
            </w:pPr>
            <w:r>
              <w:rPr>
                <w:rFonts w:ascii="Times New Roman" w:cs="Times New Roman" w:eastAsia="Times New Roman" w:hAnsi="Times New Roman"/>
                <w:sz w:val="14"/>
                <w:szCs w:val="14"/>
                <w:b w:val="1"/>
                <w:bCs w:val="1"/>
                <w:color w:val="auto"/>
              </w:rPr>
              <w:t>(Address of principal executive offices)</w:t>
            </w:r>
          </w:p>
        </w:tc>
        <w:tc>
          <w:tcPr>
            <w:tcW w:w="3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5"/>
        </w:trPr>
        <w:tc>
          <w:tcPr>
            <w:tcW w:w="4040" w:type="dxa"/>
            <w:vAlign w:val="bottom"/>
          </w:tcPr>
          <w:p>
            <w:pPr>
              <w:spacing w:after="0"/>
              <w:rPr>
                <w:sz w:val="15"/>
                <w:szCs w:val="15"/>
                <w:color w:val="auto"/>
              </w:rPr>
            </w:pPr>
          </w:p>
        </w:tc>
        <w:tc>
          <w:tcPr>
            <w:tcW w:w="3240" w:type="dxa"/>
            <w:vAlign w:val="bottom"/>
            <w:gridSpan w:val="3"/>
          </w:tcPr>
          <w:p>
            <w:pPr>
              <w:jc w:val="right"/>
              <w:ind w:right="1128"/>
              <w:spacing w:after="0"/>
              <w:rPr>
                <w:sz w:val="20"/>
                <w:szCs w:val="20"/>
                <w:color w:val="auto"/>
              </w:rPr>
            </w:pPr>
            <w:r>
              <w:rPr>
                <w:rFonts w:ascii="Times New Roman" w:cs="Times New Roman" w:eastAsia="Times New Roman" w:hAnsi="Times New Roman"/>
                <w:sz w:val="14"/>
                <w:szCs w:val="14"/>
                <w:b w:val="1"/>
                <w:bCs w:val="1"/>
                <w:color w:val="auto"/>
              </w:rPr>
              <w:t>(301) 968-9315</w:t>
            </w:r>
          </w:p>
        </w:tc>
        <w:tc>
          <w:tcPr>
            <w:tcW w:w="120" w:type="dxa"/>
            <w:vAlign w:val="bottom"/>
          </w:tcPr>
          <w:p>
            <w:pPr>
              <w:spacing w:after="0"/>
              <w:rPr>
                <w:sz w:val="15"/>
                <w:szCs w:val="15"/>
                <w:color w:val="auto"/>
              </w:rPr>
            </w:pPr>
          </w:p>
        </w:tc>
        <w:tc>
          <w:tcPr>
            <w:tcW w:w="520" w:type="dxa"/>
            <w:vAlign w:val="bottom"/>
          </w:tcPr>
          <w:p>
            <w:pPr>
              <w:spacing w:after="0"/>
              <w:rPr>
                <w:sz w:val="15"/>
                <w:szCs w:val="15"/>
                <w:color w:val="auto"/>
              </w:rPr>
            </w:pPr>
          </w:p>
        </w:tc>
        <w:tc>
          <w:tcPr>
            <w:tcW w:w="3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64"/>
        </w:trPr>
        <w:tc>
          <w:tcPr>
            <w:tcW w:w="7920" w:type="dxa"/>
            <w:vAlign w:val="bottom"/>
            <w:gridSpan w:val="6"/>
          </w:tcPr>
          <w:p>
            <w:pPr>
              <w:jc w:val="center"/>
              <w:ind w:left="3248"/>
              <w:spacing w:after="0"/>
              <w:rPr>
                <w:sz w:val="20"/>
                <w:szCs w:val="20"/>
                <w:color w:val="auto"/>
              </w:rPr>
            </w:pPr>
            <w:r>
              <w:rPr>
                <w:rFonts w:ascii="Times New Roman" w:cs="Times New Roman" w:eastAsia="Times New Roman" w:hAnsi="Times New Roman"/>
                <w:sz w:val="14"/>
                <w:szCs w:val="14"/>
                <w:b w:val="1"/>
                <w:bCs w:val="1"/>
                <w:color w:val="auto"/>
              </w:rPr>
              <w:t>(Registrant’s telephone number, including area code)</w:t>
            </w:r>
          </w:p>
        </w:tc>
        <w:tc>
          <w:tcPr>
            <w:tcW w:w="33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7920" w:type="dxa"/>
            <w:vAlign w:val="bottom"/>
            <w:gridSpan w:val="6"/>
          </w:tcPr>
          <w:p>
            <w:pPr>
              <w:jc w:val="center"/>
              <w:ind w:left="3288"/>
              <w:spacing w:after="0"/>
              <w:rPr>
                <w:sz w:val="20"/>
                <w:szCs w:val="20"/>
                <w:color w:val="auto"/>
              </w:rPr>
            </w:pPr>
            <w:r>
              <w:rPr>
                <w:rFonts w:ascii="Times New Roman" w:cs="Times New Roman" w:eastAsia="Times New Roman" w:hAnsi="Times New Roman"/>
                <w:sz w:val="14"/>
                <w:szCs w:val="14"/>
                <w:color w:val="auto"/>
              </w:rPr>
              <w:t>__________________________________________________</w:t>
            </w:r>
          </w:p>
        </w:tc>
        <w:tc>
          <w:tcPr>
            <w:tcW w:w="33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8"/>
        </w:trPr>
        <w:tc>
          <w:tcPr>
            <w:tcW w:w="4040" w:type="dxa"/>
            <w:vAlign w:val="bottom"/>
          </w:tcPr>
          <w:p>
            <w:pPr>
              <w:spacing w:after="0"/>
              <w:rPr>
                <w:sz w:val="20"/>
                <w:szCs w:val="20"/>
                <w:color w:val="auto"/>
              </w:rPr>
            </w:pPr>
            <w:r>
              <w:rPr>
                <w:rFonts w:ascii="Times New Roman" w:cs="Times New Roman" w:eastAsia="Times New Roman" w:hAnsi="Times New Roman"/>
                <w:sz w:val="14"/>
                <w:szCs w:val="14"/>
                <w:color w:val="auto"/>
              </w:rPr>
              <w:t>Securities registered pursuant to Section 12(b) of the Act:</w:t>
            </w:r>
          </w:p>
        </w:tc>
        <w:tc>
          <w:tcPr>
            <w:tcW w:w="1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33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040" w:type="dxa"/>
            <w:vAlign w:val="bottom"/>
          </w:tcPr>
          <w:p>
            <w:pPr>
              <w:jc w:val="center"/>
              <w:ind w:left="1528"/>
              <w:spacing w:after="0"/>
              <w:rPr>
                <w:sz w:val="20"/>
                <w:szCs w:val="20"/>
                <w:color w:val="auto"/>
              </w:rPr>
            </w:pPr>
            <w:r>
              <w:rPr>
                <w:rFonts w:ascii="Times New Roman" w:cs="Times New Roman" w:eastAsia="Times New Roman" w:hAnsi="Times New Roman"/>
                <w:sz w:val="14"/>
                <w:szCs w:val="14"/>
                <w:b w:val="1"/>
                <w:bCs w:val="1"/>
                <w:color w:val="auto"/>
              </w:rPr>
              <w:t>Title of Each Class</w:t>
            </w:r>
          </w:p>
        </w:tc>
        <w:tc>
          <w:tcPr>
            <w:tcW w:w="15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180" w:type="dxa"/>
            <w:vAlign w:val="bottom"/>
            <w:gridSpan w:val="3"/>
          </w:tcPr>
          <w:p>
            <w:pPr>
              <w:jc w:val="center"/>
              <w:ind w:right="640"/>
              <w:spacing w:after="0"/>
              <w:rPr>
                <w:sz w:val="20"/>
                <w:szCs w:val="20"/>
                <w:color w:val="auto"/>
              </w:rPr>
            </w:pPr>
            <w:r>
              <w:rPr>
                <w:rFonts w:ascii="Times New Roman" w:cs="Times New Roman" w:eastAsia="Times New Roman" w:hAnsi="Times New Roman"/>
                <w:sz w:val="14"/>
                <w:szCs w:val="14"/>
                <w:b w:val="1"/>
                <w:bCs w:val="1"/>
                <w:color w:val="auto"/>
              </w:rPr>
              <w:t>Trading Symbol(s)</w:t>
            </w:r>
          </w:p>
        </w:tc>
        <w:tc>
          <w:tcPr>
            <w:tcW w:w="3320" w:type="dxa"/>
            <w:vAlign w:val="bottom"/>
          </w:tcPr>
          <w:p>
            <w:pPr>
              <w:jc w:val="center"/>
              <w:ind w:right="448"/>
              <w:spacing w:after="0"/>
              <w:rPr>
                <w:sz w:val="20"/>
                <w:szCs w:val="20"/>
                <w:color w:val="auto"/>
              </w:rPr>
            </w:pPr>
            <w:r>
              <w:rPr>
                <w:rFonts w:ascii="Times New Roman" w:cs="Times New Roman" w:eastAsia="Times New Roman" w:hAnsi="Times New Roman"/>
                <w:sz w:val="14"/>
                <w:szCs w:val="14"/>
                <w:b w:val="1"/>
                <w:bCs w:val="1"/>
                <w:color w:val="auto"/>
              </w:rPr>
              <w:t>Name of Exchange on Which Registered</w:t>
            </w:r>
          </w:p>
        </w:tc>
        <w:tc>
          <w:tcPr>
            <w:tcW w:w="0" w:type="dxa"/>
            <w:vAlign w:val="bottom"/>
          </w:tcPr>
          <w:p>
            <w:pPr>
              <w:spacing w:after="0"/>
              <w:rPr>
                <w:sz w:val="1"/>
                <w:szCs w:val="1"/>
                <w:color w:val="auto"/>
              </w:rPr>
            </w:pPr>
          </w:p>
        </w:tc>
      </w:tr>
      <w:tr>
        <w:trPr>
          <w:trHeight w:val="23"/>
        </w:trPr>
        <w:tc>
          <w:tcPr>
            <w:tcW w:w="4040" w:type="dxa"/>
            <w:vAlign w:val="bottom"/>
          </w:tcPr>
          <w:p>
            <w:pPr>
              <w:spacing w:after="0"/>
              <w:rPr>
                <w:sz w:val="2"/>
                <w:szCs w:val="2"/>
                <w:color w:val="auto"/>
              </w:rPr>
            </w:pPr>
          </w:p>
        </w:tc>
        <w:tc>
          <w:tcPr>
            <w:tcW w:w="15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540" w:type="dxa"/>
            <w:vAlign w:val="bottom"/>
          </w:tcPr>
          <w:p>
            <w:pPr>
              <w:spacing w:after="0"/>
              <w:rPr>
                <w:sz w:val="2"/>
                <w:szCs w:val="2"/>
                <w:color w:val="auto"/>
              </w:rPr>
            </w:pPr>
          </w:p>
        </w:tc>
        <w:tc>
          <w:tcPr>
            <w:tcW w:w="640" w:type="dxa"/>
            <w:vAlign w:val="bottom"/>
            <w:gridSpan w:val="2"/>
          </w:tcPr>
          <w:p>
            <w:pPr>
              <w:spacing w:after="0"/>
              <w:rPr>
                <w:sz w:val="2"/>
                <w:szCs w:val="2"/>
                <w:color w:val="auto"/>
              </w:rPr>
            </w:pPr>
          </w:p>
        </w:tc>
        <w:tc>
          <w:tcPr>
            <w:tcW w:w="33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82"/>
        </w:trPr>
        <w:tc>
          <w:tcPr>
            <w:tcW w:w="4040" w:type="dxa"/>
            <w:vAlign w:val="bottom"/>
            <w:tcBorders>
              <w:top w:val="single" w:sz="8" w:color="auto"/>
            </w:tcBorders>
          </w:tcPr>
          <w:p>
            <w:pPr>
              <w:jc w:val="center"/>
              <w:ind w:left="1508"/>
              <w:spacing w:after="0"/>
              <w:rPr>
                <w:sz w:val="20"/>
                <w:szCs w:val="20"/>
                <w:color w:val="auto"/>
              </w:rPr>
            </w:pPr>
            <w:r>
              <w:rPr>
                <w:rFonts w:ascii="Times New Roman" w:cs="Times New Roman" w:eastAsia="Times New Roman" w:hAnsi="Times New Roman"/>
                <w:sz w:val="14"/>
                <w:szCs w:val="14"/>
                <w:color w:val="auto"/>
              </w:rPr>
              <w:t>Common Stock, par value $0.01 per share</w:t>
            </w:r>
          </w:p>
        </w:tc>
        <w:tc>
          <w:tcPr>
            <w:tcW w:w="1580" w:type="dxa"/>
            <w:vAlign w:val="bottom"/>
            <w:tcBorders>
              <w:top w:val="single" w:sz="8" w:color="auto"/>
            </w:tcBorders>
          </w:tcPr>
          <w:p>
            <w:pPr>
              <w:spacing w:after="0"/>
              <w:rPr>
                <w:sz w:val="15"/>
                <w:szCs w:val="15"/>
                <w:color w:val="auto"/>
              </w:rPr>
            </w:pPr>
          </w:p>
        </w:tc>
        <w:tc>
          <w:tcPr>
            <w:tcW w:w="120" w:type="dxa"/>
            <w:vAlign w:val="bottom"/>
          </w:tcPr>
          <w:p>
            <w:pPr>
              <w:spacing w:after="0"/>
              <w:rPr>
                <w:sz w:val="15"/>
                <w:szCs w:val="15"/>
                <w:color w:val="auto"/>
              </w:rPr>
            </w:pPr>
          </w:p>
        </w:tc>
        <w:tc>
          <w:tcPr>
            <w:tcW w:w="15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AGNC</w:t>
            </w:r>
          </w:p>
        </w:tc>
        <w:tc>
          <w:tcPr>
            <w:tcW w:w="120" w:type="dxa"/>
            <w:vAlign w:val="bottom"/>
          </w:tcPr>
          <w:p>
            <w:pPr>
              <w:spacing w:after="0"/>
              <w:rPr>
                <w:sz w:val="15"/>
                <w:szCs w:val="15"/>
                <w:color w:val="auto"/>
              </w:rPr>
            </w:pPr>
          </w:p>
        </w:tc>
        <w:tc>
          <w:tcPr>
            <w:tcW w:w="520" w:type="dxa"/>
            <w:vAlign w:val="bottom"/>
            <w:tcBorders>
              <w:top w:val="single" w:sz="8" w:color="auto"/>
            </w:tcBorders>
          </w:tcPr>
          <w:p>
            <w:pPr>
              <w:spacing w:after="0"/>
              <w:rPr>
                <w:sz w:val="15"/>
                <w:szCs w:val="15"/>
                <w:color w:val="auto"/>
              </w:rPr>
            </w:pPr>
          </w:p>
        </w:tc>
        <w:tc>
          <w:tcPr>
            <w:tcW w:w="3320" w:type="dxa"/>
            <w:vAlign w:val="bottom"/>
            <w:tcBorders>
              <w:top w:val="single" w:sz="8" w:color="auto"/>
            </w:tcBorders>
          </w:tcPr>
          <w:p>
            <w:pPr>
              <w:jc w:val="center"/>
              <w:ind w:right="448"/>
              <w:spacing w:after="0"/>
              <w:rPr>
                <w:sz w:val="20"/>
                <w:szCs w:val="20"/>
                <w:color w:val="auto"/>
              </w:rPr>
            </w:pPr>
            <w:r>
              <w:rPr>
                <w:rFonts w:ascii="Times New Roman" w:cs="Times New Roman" w:eastAsia="Times New Roman" w:hAnsi="Times New Roman"/>
                <w:sz w:val="14"/>
                <w:szCs w:val="14"/>
                <w:color w:val="auto"/>
              </w:rPr>
              <w:t>The Nasdaq Global Select Market</w:t>
            </w:r>
          </w:p>
        </w:tc>
        <w:tc>
          <w:tcPr>
            <w:tcW w:w="0" w:type="dxa"/>
            <w:vAlign w:val="bottom"/>
          </w:tcPr>
          <w:p>
            <w:pPr>
              <w:spacing w:after="0"/>
              <w:rPr>
                <w:sz w:val="1"/>
                <w:szCs w:val="1"/>
                <w:color w:val="auto"/>
              </w:rPr>
            </w:pPr>
          </w:p>
        </w:tc>
      </w:tr>
      <w:tr>
        <w:trPr>
          <w:trHeight w:val="154"/>
        </w:trPr>
        <w:tc>
          <w:tcPr>
            <w:tcW w:w="5740" w:type="dxa"/>
            <w:vAlign w:val="bottom"/>
            <w:gridSpan w:val="3"/>
          </w:tcPr>
          <w:p>
            <w:pPr>
              <w:jc w:val="center"/>
              <w:ind w:right="100"/>
              <w:spacing w:after="0" w:line="153" w:lineRule="exact"/>
              <w:rPr>
                <w:sz w:val="20"/>
                <w:szCs w:val="20"/>
                <w:color w:val="auto"/>
              </w:rPr>
            </w:pPr>
            <w:r>
              <w:rPr>
                <w:rFonts w:ascii="Times New Roman" w:cs="Times New Roman" w:eastAsia="Times New Roman" w:hAnsi="Times New Roman"/>
                <w:sz w:val="14"/>
                <w:szCs w:val="14"/>
                <w:color w:val="auto"/>
              </w:rPr>
              <w:t>Depositary shares of 7.000% Series C Fixed-to-Floating Rate Cumulative Redeemable Preferred</w:t>
            </w:r>
          </w:p>
        </w:tc>
        <w:tc>
          <w:tcPr>
            <w:tcW w:w="2180" w:type="dxa"/>
            <w:vAlign w:val="bottom"/>
            <w:gridSpan w:val="3"/>
            <w:vMerge w:val="restart"/>
          </w:tcPr>
          <w:p>
            <w:pPr>
              <w:jc w:val="center"/>
              <w:ind w:right="640"/>
              <w:spacing w:after="0"/>
              <w:rPr>
                <w:sz w:val="20"/>
                <w:szCs w:val="20"/>
                <w:color w:val="auto"/>
              </w:rPr>
            </w:pPr>
            <w:r>
              <w:rPr>
                <w:rFonts w:ascii="Times New Roman" w:cs="Times New Roman" w:eastAsia="Times New Roman" w:hAnsi="Times New Roman"/>
                <w:sz w:val="14"/>
                <w:szCs w:val="14"/>
                <w:color w:val="auto"/>
              </w:rPr>
              <w:t>AGNCN</w:t>
            </w:r>
          </w:p>
        </w:tc>
        <w:tc>
          <w:tcPr>
            <w:tcW w:w="3320" w:type="dxa"/>
            <w:vAlign w:val="bottom"/>
            <w:vMerge w:val="restart"/>
          </w:tcPr>
          <w:p>
            <w:pPr>
              <w:jc w:val="center"/>
              <w:ind w:right="448"/>
              <w:spacing w:after="0"/>
              <w:rPr>
                <w:sz w:val="20"/>
                <w:szCs w:val="20"/>
                <w:color w:val="auto"/>
              </w:rPr>
            </w:pPr>
            <w:r>
              <w:rPr>
                <w:rFonts w:ascii="Times New Roman" w:cs="Times New Roman" w:eastAsia="Times New Roman" w:hAnsi="Times New Roman"/>
                <w:sz w:val="14"/>
                <w:szCs w:val="14"/>
                <w:color w:val="auto"/>
              </w:rPr>
              <w:t>The Nasdaq Global Select Market</w:t>
            </w:r>
          </w:p>
        </w:tc>
        <w:tc>
          <w:tcPr>
            <w:tcW w:w="0" w:type="dxa"/>
            <w:vAlign w:val="bottom"/>
          </w:tcPr>
          <w:p>
            <w:pPr>
              <w:spacing w:after="0"/>
              <w:rPr>
                <w:sz w:val="1"/>
                <w:szCs w:val="1"/>
                <w:color w:val="auto"/>
              </w:rPr>
            </w:pPr>
          </w:p>
        </w:tc>
      </w:tr>
      <w:tr>
        <w:trPr>
          <w:trHeight w:val="107"/>
        </w:trPr>
        <w:tc>
          <w:tcPr>
            <w:tcW w:w="4040" w:type="dxa"/>
            <w:vAlign w:val="bottom"/>
            <w:vMerge w:val="restart"/>
          </w:tcPr>
          <w:p>
            <w:pPr>
              <w:jc w:val="center"/>
              <w:ind w:left="1528"/>
              <w:spacing w:after="0"/>
              <w:rPr>
                <w:sz w:val="20"/>
                <w:szCs w:val="20"/>
                <w:color w:val="auto"/>
              </w:rPr>
            </w:pPr>
            <w:r>
              <w:rPr>
                <w:rFonts w:ascii="Times New Roman" w:cs="Times New Roman" w:eastAsia="Times New Roman" w:hAnsi="Times New Roman"/>
                <w:sz w:val="14"/>
                <w:szCs w:val="14"/>
                <w:color w:val="auto"/>
              </w:rPr>
              <w:t>Stock</w:t>
            </w: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180" w:type="dxa"/>
            <w:vAlign w:val="bottom"/>
            <w:gridSpan w:val="3"/>
            <w:vMerge w:val="continue"/>
          </w:tcPr>
          <w:p>
            <w:pPr>
              <w:spacing w:after="0"/>
              <w:rPr>
                <w:sz w:val="9"/>
                <w:szCs w:val="9"/>
                <w:color w:val="auto"/>
              </w:rPr>
            </w:pPr>
          </w:p>
        </w:tc>
        <w:tc>
          <w:tcPr>
            <w:tcW w:w="33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1"/>
        </w:trPr>
        <w:tc>
          <w:tcPr>
            <w:tcW w:w="4040" w:type="dxa"/>
            <w:vAlign w:val="bottom"/>
            <w:vMerge w:val="continue"/>
          </w:tcPr>
          <w:p>
            <w:pPr>
              <w:spacing w:after="0"/>
              <w:rPr>
                <w:sz w:val="7"/>
                <w:szCs w:val="7"/>
                <w:color w:val="auto"/>
              </w:rPr>
            </w:pPr>
          </w:p>
        </w:tc>
        <w:tc>
          <w:tcPr>
            <w:tcW w:w="1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3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9"/>
        </w:trPr>
        <w:tc>
          <w:tcPr>
            <w:tcW w:w="5740" w:type="dxa"/>
            <w:vAlign w:val="bottom"/>
            <w:gridSpan w:val="3"/>
          </w:tcPr>
          <w:p>
            <w:pPr>
              <w:jc w:val="center"/>
              <w:ind w:right="100"/>
              <w:spacing w:after="0" w:line="149" w:lineRule="exact"/>
              <w:rPr>
                <w:sz w:val="20"/>
                <w:szCs w:val="20"/>
                <w:color w:val="auto"/>
              </w:rPr>
            </w:pPr>
            <w:r>
              <w:rPr>
                <w:rFonts w:ascii="Times New Roman" w:cs="Times New Roman" w:eastAsia="Times New Roman" w:hAnsi="Times New Roman"/>
                <w:sz w:val="14"/>
                <w:szCs w:val="14"/>
                <w:color w:val="auto"/>
              </w:rPr>
              <w:t>Depositary shares of 6.875% Series D Fixed-to-Floating Rate Cumulative Redeemable Preferred</w:t>
            </w:r>
          </w:p>
        </w:tc>
        <w:tc>
          <w:tcPr>
            <w:tcW w:w="2180" w:type="dxa"/>
            <w:vAlign w:val="bottom"/>
            <w:gridSpan w:val="3"/>
            <w:vMerge w:val="restart"/>
          </w:tcPr>
          <w:p>
            <w:pPr>
              <w:jc w:val="center"/>
              <w:ind w:right="640"/>
              <w:spacing w:after="0"/>
              <w:rPr>
                <w:sz w:val="20"/>
                <w:szCs w:val="20"/>
                <w:color w:val="auto"/>
              </w:rPr>
            </w:pPr>
            <w:r>
              <w:rPr>
                <w:rFonts w:ascii="Times New Roman" w:cs="Times New Roman" w:eastAsia="Times New Roman" w:hAnsi="Times New Roman"/>
                <w:sz w:val="14"/>
                <w:szCs w:val="14"/>
                <w:color w:val="auto"/>
              </w:rPr>
              <w:t>AGNCM</w:t>
            </w:r>
          </w:p>
        </w:tc>
        <w:tc>
          <w:tcPr>
            <w:tcW w:w="3320" w:type="dxa"/>
            <w:vAlign w:val="bottom"/>
            <w:vMerge w:val="restart"/>
          </w:tcPr>
          <w:p>
            <w:pPr>
              <w:jc w:val="center"/>
              <w:ind w:right="448"/>
              <w:spacing w:after="0"/>
              <w:rPr>
                <w:sz w:val="20"/>
                <w:szCs w:val="20"/>
                <w:color w:val="auto"/>
              </w:rPr>
            </w:pPr>
            <w:r>
              <w:rPr>
                <w:rFonts w:ascii="Times New Roman" w:cs="Times New Roman" w:eastAsia="Times New Roman" w:hAnsi="Times New Roman"/>
                <w:sz w:val="14"/>
                <w:szCs w:val="14"/>
                <w:color w:val="auto"/>
              </w:rPr>
              <w:t>The Nasdaq Global Select Market</w:t>
            </w:r>
          </w:p>
        </w:tc>
        <w:tc>
          <w:tcPr>
            <w:tcW w:w="0" w:type="dxa"/>
            <w:vAlign w:val="bottom"/>
          </w:tcPr>
          <w:p>
            <w:pPr>
              <w:spacing w:after="0"/>
              <w:rPr>
                <w:sz w:val="1"/>
                <w:szCs w:val="1"/>
                <w:color w:val="auto"/>
              </w:rPr>
            </w:pPr>
          </w:p>
        </w:tc>
      </w:tr>
      <w:tr>
        <w:trPr>
          <w:trHeight w:val="107"/>
        </w:trPr>
        <w:tc>
          <w:tcPr>
            <w:tcW w:w="4040" w:type="dxa"/>
            <w:vAlign w:val="bottom"/>
            <w:vMerge w:val="restart"/>
          </w:tcPr>
          <w:p>
            <w:pPr>
              <w:jc w:val="center"/>
              <w:ind w:left="1528"/>
              <w:spacing w:after="0"/>
              <w:rPr>
                <w:sz w:val="20"/>
                <w:szCs w:val="20"/>
                <w:color w:val="auto"/>
              </w:rPr>
            </w:pPr>
            <w:r>
              <w:rPr>
                <w:rFonts w:ascii="Times New Roman" w:cs="Times New Roman" w:eastAsia="Times New Roman" w:hAnsi="Times New Roman"/>
                <w:sz w:val="14"/>
                <w:szCs w:val="14"/>
                <w:color w:val="auto"/>
              </w:rPr>
              <w:t>Stock</w:t>
            </w: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180" w:type="dxa"/>
            <w:vAlign w:val="bottom"/>
            <w:gridSpan w:val="3"/>
            <w:vMerge w:val="continue"/>
          </w:tcPr>
          <w:p>
            <w:pPr>
              <w:spacing w:after="0"/>
              <w:rPr>
                <w:sz w:val="9"/>
                <w:szCs w:val="9"/>
                <w:color w:val="auto"/>
              </w:rPr>
            </w:pPr>
          </w:p>
        </w:tc>
        <w:tc>
          <w:tcPr>
            <w:tcW w:w="33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1"/>
        </w:trPr>
        <w:tc>
          <w:tcPr>
            <w:tcW w:w="4040" w:type="dxa"/>
            <w:vAlign w:val="bottom"/>
            <w:vMerge w:val="continue"/>
          </w:tcPr>
          <w:p>
            <w:pPr>
              <w:spacing w:after="0"/>
              <w:rPr>
                <w:sz w:val="7"/>
                <w:szCs w:val="7"/>
                <w:color w:val="auto"/>
              </w:rPr>
            </w:pPr>
          </w:p>
        </w:tc>
        <w:tc>
          <w:tcPr>
            <w:tcW w:w="1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3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9"/>
        </w:trPr>
        <w:tc>
          <w:tcPr>
            <w:tcW w:w="5740" w:type="dxa"/>
            <w:vAlign w:val="bottom"/>
            <w:gridSpan w:val="3"/>
          </w:tcPr>
          <w:p>
            <w:pPr>
              <w:jc w:val="center"/>
              <w:ind w:right="100"/>
              <w:spacing w:after="0" w:line="149" w:lineRule="exact"/>
              <w:rPr>
                <w:sz w:val="20"/>
                <w:szCs w:val="20"/>
                <w:color w:val="auto"/>
              </w:rPr>
            </w:pPr>
            <w:r>
              <w:rPr>
                <w:rFonts w:ascii="Times New Roman" w:cs="Times New Roman" w:eastAsia="Times New Roman" w:hAnsi="Times New Roman"/>
                <w:sz w:val="14"/>
                <w:szCs w:val="14"/>
                <w:color w:val="auto"/>
              </w:rPr>
              <w:t>Depositary shares of 6.50% Series E Fixed-to-Floating Rate Cumulative Redeemable Preferred</w:t>
            </w:r>
          </w:p>
        </w:tc>
        <w:tc>
          <w:tcPr>
            <w:tcW w:w="2180" w:type="dxa"/>
            <w:vAlign w:val="bottom"/>
            <w:gridSpan w:val="3"/>
            <w:vMerge w:val="restart"/>
          </w:tcPr>
          <w:p>
            <w:pPr>
              <w:jc w:val="center"/>
              <w:ind w:right="640"/>
              <w:spacing w:after="0"/>
              <w:rPr>
                <w:sz w:val="20"/>
                <w:szCs w:val="20"/>
                <w:color w:val="auto"/>
              </w:rPr>
            </w:pPr>
            <w:r>
              <w:rPr>
                <w:rFonts w:ascii="Times New Roman" w:cs="Times New Roman" w:eastAsia="Times New Roman" w:hAnsi="Times New Roman"/>
                <w:sz w:val="14"/>
                <w:szCs w:val="14"/>
                <w:color w:val="auto"/>
              </w:rPr>
              <w:t>AGNCO</w:t>
            </w:r>
          </w:p>
        </w:tc>
        <w:tc>
          <w:tcPr>
            <w:tcW w:w="3320" w:type="dxa"/>
            <w:vAlign w:val="bottom"/>
            <w:vMerge w:val="restart"/>
          </w:tcPr>
          <w:p>
            <w:pPr>
              <w:jc w:val="center"/>
              <w:ind w:right="448"/>
              <w:spacing w:after="0"/>
              <w:rPr>
                <w:sz w:val="20"/>
                <w:szCs w:val="20"/>
                <w:color w:val="auto"/>
              </w:rPr>
            </w:pPr>
            <w:r>
              <w:rPr>
                <w:rFonts w:ascii="Times New Roman" w:cs="Times New Roman" w:eastAsia="Times New Roman" w:hAnsi="Times New Roman"/>
                <w:sz w:val="14"/>
                <w:szCs w:val="14"/>
                <w:color w:val="auto"/>
              </w:rPr>
              <w:t>The Nasdaq Global Select Market</w:t>
            </w:r>
          </w:p>
        </w:tc>
        <w:tc>
          <w:tcPr>
            <w:tcW w:w="0" w:type="dxa"/>
            <w:vAlign w:val="bottom"/>
          </w:tcPr>
          <w:p>
            <w:pPr>
              <w:spacing w:after="0"/>
              <w:rPr>
                <w:sz w:val="1"/>
                <w:szCs w:val="1"/>
                <w:color w:val="auto"/>
              </w:rPr>
            </w:pPr>
          </w:p>
        </w:tc>
      </w:tr>
      <w:tr>
        <w:trPr>
          <w:trHeight w:val="107"/>
        </w:trPr>
        <w:tc>
          <w:tcPr>
            <w:tcW w:w="4040" w:type="dxa"/>
            <w:vAlign w:val="bottom"/>
            <w:vMerge w:val="restart"/>
          </w:tcPr>
          <w:p>
            <w:pPr>
              <w:jc w:val="center"/>
              <w:ind w:left="1528"/>
              <w:spacing w:after="0"/>
              <w:rPr>
                <w:sz w:val="20"/>
                <w:szCs w:val="20"/>
                <w:color w:val="auto"/>
              </w:rPr>
            </w:pPr>
            <w:r>
              <w:rPr>
                <w:rFonts w:ascii="Times New Roman" w:cs="Times New Roman" w:eastAsia="Times New Roman" w:hAnsi="Times New Roman"/>
                <w:sz w:val="14"/>
                <w:szCs w:val="14"/>
                <w:color w:val="auto"/>
              </w:rPr>
              <w:t>Stock</w:t>
            </w: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180" w:type="dxa"/>
            <w:vAlign w:val="bottom"/>
            <w:gridSpan w:val="3"/>
            <w:vMerge w:val="continue"/>
          </w:tcPr>
          <w:p>
            <w:pPr>
              <w:spacing w:after="0"/>
              <w:rPr>
                <w:sz w:val="9"/>
                <w:szCs w:val="9"/>
                <w:color w:val="auto"/>
              </w:rPr>
            </w:pPr>
          </w:p>
        </w:tc>
        <w:tc>
          <w:tcPr>
            <w:tcW w:w="33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1"/>
        </w:trPr>
        <w:tc>
          <w:tcPr>
            <w:tcW w:w="4040" w:type="dxa"/>
            <w:vAlign w:val="bottom"/>
            <w:vMerge w:val="continue"/>
          </w:tcPr>
          <w:p>
            <w:pPr>
              <w:spacing w:after="0"/>
              <w:rPr>
                <w:sz w:val="7"/>
                <w:szCs w:val="7"/>
                <w:color w:val="auto"/>
              </w:rPr>
            </w:pPr>
          </w:p>
        </w:tc>
        <w:tc>
          <w:tcPr>
            <w:tcW w:w="1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3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49"/>
        </w:trPr>
        <w:tc>
          <w:tcPr>
            <w:tcW w:w="5740" w:type="dxa"/>
            <w:vAlign w:val="bottom"/>
            <w:gridSpan w:val="3"/>
          </w:tcPr>
          <w:p>
            <w:pPr>
              <w:jc w:val="center"/>
              <w:ind w:right="120"/>
              <w:spacing w:after="0" w:line="149" w:lineRule="exact"/>
              <w:rPr>
                <w:sz w:val="20"/>
                <w:szCs w:val="20"/>
                <w:color w:val="auto"/>
              </w:rPr>
            </w:pPr>
            <w:r>
              <w:rPr>
                <w:rFonts w:ascii="Times New Roman" w:cs="Times New Roman" w:eastAsia="Times New Roman" w:hAnsi="Times New Roman"/>
                <w:sz w:val="14"/>
                <w:szCs w:val="14"/>
                <w:color w:val="auto"/>
              </w:rPr>
              <w:t>Depositary shares of 6.125% Series F Fixed-to-Floating Rate Cumulative Redeemable Preferred</w:t>
            </w:r>
          </w:p>
        </w:tc>
        <w:tc>
          <w:tcPr>
            <w:tcW w:w="2180" w:type="dxa"/>
            <w:vAlign w:val="bottom"/>
            <w:gridSpan w:val="3"/>
            <w:vMerge w:val="restart"/>
          </w:tcPr>
          <w:p>
            <w:pPr>
              <w:jc w:val="center"/>
              <w:ind w:right="640"/>
              <w:spacing w:after="0"/>
              <w:rPr>
                <w:sz w:val="20"/>
                <w:szCs w:val="20"/>
                <w:color w:val="auto"/>
              </w:rPr>
            </w:pPr>
            <w:r>
              <w:rPr>
                <w:rFonts w:ascii="Times New Roman" w:cs="Times New Roman" w:eastAsia="Times New Roman" w:hAnsi="Times New Roman"/>
                <w:sz w:val="14"/>
                <w:szCs w:val="14"/>
                <w:color w:val="auto"/>
              </w:rPr>
              <w:t>AGNCP</w:t>
            </w:r>
          </w:p>
        </w:tc>
        <w:tc>
          <w:tcPr>
            <w:tcW w:w="3320" w:type="dxa"/>
            <w:vAlign w:val="bottom"/>
            <w:vMerge w:val="restart"/>
          </w:tcPr>
          <w:p>
            <w:pPr>
              <w:jc w:val="center"/>
              <w:ind w:right="448"/>
              <w:spacing w:after="0"/>
              <w:rPr>
                <w:sz w:val="20"/>
                <w:szCs w:val="20"/>
                <w:color w:val="auto"/>
              </w:rPr>
            </w:pPr>
            <w:r>
              <w:rPr>
                <w:rFonts w:ascii="Times New Roman" w:cs="Times New Roman" w:eastAsia="Times New Roman" w:hAnsi="Times New Roman"/>
                <w:sz w:val="14"/>
                <w:szCs w:val="14"/>
                <w:color w:val="auto"/>
              </w:rPr>
              <w:t>The Nasdaq Global Select Market</w:t>
            </w:r>
          </w:p>
        </w:tc>
        <w:tc>
          <w:tcPr>
            <w:tcW w:w="0" w:type="dxa"/>
            <w:vAlign w:val="bottom"/>
          </w:tcPr>
          <w:p>
            <w:pPr>
              <w:spacing w:after="0"/>
              <w:rPr>
                <w:sz w:val="1"/>
                <w:szCs w:val="1"/>
                <w:color w:val="auto"/>
              </w:rPr>
            </w:pPr>
          </w:p>
        </w:tc>
      </w:tr>
      <w:tr>
        <w:trPr>
          <w:trHeight w:val="107"/>
        </w:trPr>
        <w:tc>
          <w:tcPr>
            <w:tcW w:w="4040" w:type="dxa"/>
            <w:vAlign w:val="bottom"/>
            <w:vMerge w:val="restart"/>
          </w:tcPr>
          <w:p>
            <w:pPr>
              <w:jc w:val="center"/>
              <w:ind w:left="1528"/>
              <w:spacing w:after="0"/>
              <w:rPr>
                <w:sz w:val="20"/>
                <w:szCs w:val="20"/>
                <w:color w:val="auto"/>
              </w:rPr>
            </w:pPr>
            <w:r>
              <w:rPr>
                <w:rFonts w:ascii="Times New Roman" w:cs="Times New Roman" w:eastAsia="Times New Roman" w:hAnsi="Times New Roman"/>
                <w:sz w:val="14"/>
                <w:szCs w:val="14"/>
                <w:color w:val="auto"/>
              </w:rPr>
              <w:t>Stock</w:t>
            </w:r>
          </w:p>
        </w:tc>
        <w:tc>
          <w:tcPr>
            <w:tcW w:w="1580" w:type="dxa"/>
            <w:vAlign w:val="bottom"/>
          </w:tcPr>
          <w:p>
            <w:pPr>
              <w:spacing w:after="0"/>
              <w:rPr>
                <w:sz w:val="9"/>
                <w:szCs w:val="9"/>
                <w:color w:val="auto"/>
              </w:rPr>
            </w:pPr>
          </w:p>
        </w:tc>
        <w:tc>
          <w:tcPr>
            <w:tcW w:w="120" w:type="dxa"/>
            <w:vAlign w:val="bottom"/>
          </w:tcPr>
          <w:p>
            <w:pPr>
              <w:spacing w:after="0"/>
              <w:rPr>
                <w:sz w:val="9"/>
                <w:szCs w:val="9"/>
                <w:color w:val="auto"/>
              </w:rPr>
            </w:pPr>
          </w:p>
        </w:tc>
        <w:tc>
          <w:tcPr>
            <w:tcW w:w="2180" w:type="dxa"/>
            <w:vAlign w:val="bottom"/>
            <w:gridSpan w:val="3"/>
            <w:vMerge w:val="continue"/>
          </w:tcPr>
          <w:p>
            <w:pPr>
              <w:spacing w:after="0"/>
              <w:rPr>
                <w:sz w:val="9"/>
                <w:szCs w:val="9"/>
                <w:color w:val="auto"/>
              </w:rPr>
            </w:pPr>
          </w:p>
        </w:tc>
        <w:tc>
          <w:tcPr>
            <w:tcW w:w="33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81"/>
        </w:trPr>
        <w:tc>
          <w:tcPr>
            <w:tcW w:w="4040" w:type="dxa"/>
            <w:vAlign w:val="bottom"/>
            <w:vMerge w:val="continue"/>
          </w:tcPr>
          <w:p>
            <w:pPr>
              <w:spacing w:after="0"/>
              <w:rPr>
                <w:sz w:val="7"/>
                <w:szCs w:val="7"/>
                <w:color w:val="auto"/>
              </w:rPr>
            </w:pPr>
          </w:p>
        </w:tc>
        <w:tc>
          <w:tcPr>
            <w:tcW w:w="1580" w:type="dxa"/>
            <w:vAlign w:val="bottom"/>
          </w:tcPr>
          <w:p>
            <w:pPr>
              <w:spacing w:after="0"/>
              <w:rPr>
                <w:sz w:val="7"/>
                <w:szCs w:val="7"/>
                <w:color w:val="auto"/>
              </w:rPr>
            </w:pPr>
          </w:p>
        </w:tc>
        <w:tc>
          <w:tcPr>
            <w:tcW w:w="120" w:type="dxa"/>
            <w:vAlign w:val="bottom"/>
          </w:tcPr>
          <w:p>
            <w:pPr>
              <w:spacing w:after="0"/>
              <w:rPr>
                <w:sz w:val="7"/>
                <w:szCs w:val="7"/>
                <w:color w:val="auto"/>
              </w:rPr>
            </w:pPr>
          </w:p>
        </w:tc>
        <w:tc>
          <w:tcPr>
            <w:tcW w:w="1540" w:type="dxa"/>
            <w:vAlign w:val="bottom"/>
          </w:tcPr>
          <w:p>
            <w:pPr>
              <w:spacing w:after="0"/>
              <w:rPr>
                <w:sz w:val="7"/>
                <w:szCs w:val="7"/>
                <w:color w:val="auto"/>
              </w:rPr>
            </w:pPr>
          </w:p>
        </w:tc>
        <w:tc>
          <w:tcPr>
            <w:tcW w:w="120" w:type="dxa"/>
            <w:vAlign w:val="bottom"/>
          </w:tcPr>
          <w:p>
            <w:pPr>
              <w:spacing w:after="0"/>
              <w:rPr>
                <w:sz w:val="7"/>
                <w:szCs w:val="7"/>
                <w:color w:val="auto"/>
              </w:rPr>
            </w:pPr>
          </w:p>
        </w:tc>
        <w:tc>
          <w:tcPr>
            <w:tcW w:w="520" w:type="dxa"/>
            <w:vAlign w:val="bottom"/>
          </w:tcPr>
          <w:p>
            <w:pPr>
              <w:spacing w:after="0"/>
              <w:rPr>
                <w:sz w:val="7"/>
                <w:szCs w:val="7"/>
                <w:color w:val="auto"/>
              </w:rPr>
            </w:pPr>
          </w:p>
        </w:tc>
        <w:tc>
          <w:tcPr>
            <w:tcW w:w="33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60"/>
        </w:trPr>
        <w:tc>
          <w:tcPr>
            <w:tcW w:w="7920" w:type="dxa"/>
            <w:vAlign w:val="bottom"/>
            <w:gridSpan w:val="6"/>
          </w:tcPr>
          <w:p>
            <w:pPr>
              <w:ind w:left="3820"/>
              <w:spacing w:after="0"/>
              <w:rPr>
                <w:sz w:val="20"/>
                <w:szCs w:val="20"/>
                <w:color w:val="auto"/>
              </w:rPr>
            </w:pPr>
            <w:r>
              <w:rPr>
                <w:rFonts w:ascii="Times New Roman" w:cs="Times New Roman" w:eastAsia="Times New Roman" w:hAnsi="Times New Roman"/>
                <w:sz w:val="14"/>
                <w:szCs w:val="14"/>
                <w:b w:val="1"/>
                <w:bCs w:val="1"/>
                <w:color w:val="auto"/>
              </w:rPr>
              <w:t>Securities Registered Pursuant to Section 12(g) of the Act: None</w:t>
            </w:r>
          </w:p>
        </w:tc>
        <w:tc>
          <w:tcPr>
            <w:tcW w:w="3320" w:type="dxa"/>
            <w:vAlign w:val="bottom"/>
          </w:tcPr>
          <w:p>
            <w:pPr>
              <w:spacing w:after="0"/>
              <w:rPr>
                <w:sz w:val="22"/>
                <w:szCs w:val="22"/>
                <w:color w:val="auto"/>
              </w:rPr>
            </w:pPr>
          </w:p>
        </w:tc>
        <w:tc>
          <w:tcPr>
            <w:tcW w:w="0" w:type="dxa"/>
            <w:vAlign w:val="bottom"/>
          </w:tcPr>
          <w:p>
            <w:pPr>
              <w:spacing w:after="0"/>
              <w:rPr>
                <w:sz w:val="1"/>
                <w:szCs w:val="1"/>
                <w:color w:val="auto"/>
              </w:rPr>
            </w:pPr>
          </w:p>
        </w:tc>
      </w:tr>
    </w:tbl>
    <w:p>
      <w:pPr>
        <w:ind w:right="100" w:firstLine="324"/>
        <w:spacing w:after="0" w:line="183" w:lineRule="exact"/>
        <w:rPr>
          <w:sz w:val="20"/>
          <w:szCs w:val="20"/>
          <w:color w:val="auto"/>
        </w:rPr>
      </w:pPr>
      <w:r>
        <w:rPr>
          <w:rFonts w:ascii="Times New Roman" w:cs="Times New Roman" w:eastAsia="Times New Roman" w:hAnsi="Times New Roman"/>
          <w:sz w:val="14"/>
          <w:szCs w:val="14"/>
          <w:color w:val="auto"/>
        </w:rPr>
        <w:t xml:space="preserve">Indicate by check mark whether the registrant (1) has filed all reports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Arial" w:cs="Arial" w:eastAsia="Arial" w:hAnsi="Arial"/>
          <w:sz w:val="14"/>
          <w:szCs w:val="14"/>
          <w:color w:val="auto"/>
        </w:rPr>
        <w:t>x</w:t>
      </w:r>
      <w:r>
        <w:rPr>
          <w:rFonts w:ascii="Times New Roman" w:cs="Times New Roman" w:eastAsia="Times New Roman" w:hAnsi="Times New Roman"/>
          <w:sz w:val="14"/>
          <w:szCs w:val="14"/>
          <w:color w:val="auto"/>
        </w:rPr>
        <w:t xml:space="preserve"> No </w:t>
      </w:r>
      <w:r>
        <w:rPr>
          <w:rFonts w:ascii="MS PGothic" w:cs="MS PGothic" w:eastAsia="MS PGothic" w:hAnsi="MS PGothic"/>
          <w:sz w:val="14"/>
          <w:szCs w:val="14"/>
          <w:color w:val="auto"/>
        </w:rPr>
        <w:t>☐</w:t>
      </w:r>
    </w:p>
    <w:p>
      <w:pPr>
        <w:ind w:firstLine="324"/>
        <w:spacing w:after="0" w:line="183" w:lineRule="exact"/>
        <w:rPr>
          <w:sz w:val="20"/>
          <w:szCs w:val="20"/>
          <w:color w:val="auto"/>
        </w:rPr>
      </w:pPr>
      <w:r>
        <w:rPr>
          <w:rFonts w:ascii="Times New Roman" w:cs="Times New Roman" w:eastAsia="Times New Roman" w:hAnsi="Times New Roman"/>
          <w:sz w:val="14"/>
          <w:szCs w:val="14"/>
          <w:color w:val="auto"/>
        </w:rP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Pr>
          <w:rFonts w:ascii="Arial" w:cs="Arial" w:eastAsia="Arial" w:hAnsi="Arial"/>
          <w:sz w:val="14"/>
          <w:szCs w:val="14"/>
          <w:color w:val="auto"/>
        </w:rPr>
        <w:t>x</w:t>
      </w:r>
      <w:r>
        <w:rPr>
          <w:rFonts w:ascii="Times New Roman" w:cs="Times New Roman" w:eastAsia="Times New Roman" w:hAnsi="Times New Roman"/>
          <w:sz w:val="14"/>
          <w:szCs w:val="14"/>
          <w:color w:val="auto"/>
        </w:rPr>
        <w:t xml:space="preserve"> No </w:t>
      </w:r>
      <w:r>
        <w:rPr>
          <w:rFonts w:ascii="MS PGothic" w:cs="MS PGothic" w:eastAsia="MS PGothic" w:hAnsi="MS PGothic"/>
          <w:sz w:val="14"/>
          <w:szCs w:val="14"/>
          <w:color w:val="auto"/>
        </w:rPr>
        <w:t>☐</w:t>
      </w:r>
    </w:p>
    <w:p>
      <w:pPr>
        <w:ind w:right="320" w:firstLine="324"/>
        <w:spacing w:after="0" w:line="252" w:lineRule="auto"/>
        <w:rPr>
          <w:sz w:val="20"/>
          <w:szCs w:val="20"/>
          <w:color w:val="auto"/>
        </w:rPr>
      </w:pPr>
      <w:r>
        <w:rPr>
          <w:rFonts w:ascii="Times New Roman" w:cs="Times New Roman" w:eastAsia="Times New Roman" w:hAnsi="Times New Roman"/>
          <w:sz w:val="14"/>
          <w:szCs w:val="14"/>
          <w:color w:val="auto"/>
        </w:rPr>
        <w:t>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w:t>
      </w:r>
    </w:p>
    <w:p>
      <w:pPr>
        <w:spacing w:after="0" w:line="1" w:lineRule="exact"/>
        <w:rPr>
          <w:sz w:val="24"/>
          <w:szCs w:val="24"/>
          <w:color w:val="auto"/>
        </w:rPr>
      </w:pPr>
    </w:p>
    <w:tbl>
      <w:tblPr>
        <w:tblLayout w:type="fixed"/>
        <w:tblInd w:w="2300" w:type="dxa"/>
        <w:tblCellMar>
          <w:top w:w="0" w:type="dxa"/>
          <w:left w:w="0" w:type="dxa"/>
          <w:bottom w:w="0" w:type="dxa"/>
          <w:right w:w="0" w:type="dxa"/>
        </w:tblCellMar>
      </w:tblPr>
      <w:tr>
        <w:trPr>
          <w:trHeight w:val="203"/>
        </w:trPr>
        <w:tc>
          <w:tcPr>
            <w:tcW w:w="2140" w:type="dxa"/>
            <w:vAlign w:val="bottom"/>
          </w:tcPr>
          <w:p>
            <w:pPr>
              <w:spacing w:after="0"/>
              <w:rPr>
                <w:sz w:val="20"/>
                <w:szCs w:val="20"/>
                <w:color w:val="auto"/>
              </w:rPr>
            </w:pPr>
            <w:r>
              <w:rPr>
                <w:rFonts w:ascii="Times New Roman" w:cs="Times New Roman" w:eastAsia="Times New Roman" w:hAnsi="Times New Roman"/>
                <w:sz w:val="14"/>
                <w:szCs w:val="14"/>
                <w:color w:val="auto"/>
              </w:rPr>
              <w:t>Large accelerated filer</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Accelerated filer</w:t>
            </w:r>
          </w:p>
        </w:tc>
        <w:tc>
          <w:tcPr>
            <w:tcW w:w="940" w:type="dxa"/>
            <w:vAlign w:val="bottom"/>
          </w:tcPr>
          <w:p>
            <w:pPr>
              <w:ind w:left="80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16"/>
        </w:trPr>
        <w:tc>
          <w:tcPr>
            <w:tcW w:w="2140" w:type="dxa"/>
            <w:vAlign w:val="bottom"/>
          </w:tcPr>
          <w:p>
            <w:pPr>
              <w:spacing w:after="0"/>
              <w:rPr>
                <w:sz w:val="20"/>
                <w:szCs w:val="20"/>
                <w:color w:val="auto"/>
              </w:rPr>
            </w:pPr>
            <w:r>
              <w:rPr>
                <w:rFonts w:ascii="Times New Roman" w:cs="Times New Roman" w:eastAsia="Times New Roman" w:hAnsi="Times New Roman"/>
                <w:sz w:val="14"/>
                <w:szCs w:val="14"/>
                <w:color w:val="auto"/>
              </w:rPr>
              <w:t>Non-accelerated filer</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Smaller Reporting Company</w:t>
            </w:r>
          </w:p>
        </w:tc>
        <w:tc>
          <w:tcPr>
            <w:tcW w:w="940" w:type="dxa"/>
            <w:vAlign w:val="bottom"/>
          </w:tcPr>
          <w:p>
            <w:pPr>
              <w:ind w:left="800"/>
              <w:spacing w:after="0" w:line="141" w:lineRule="exact"/>
              <w:rPr>
                <w:sz w:val="20"/>
                <w:szCs w:val="20"/>
                <w:color w:val="auto"/>
              </w:rPr>
            </w:pPr>
            <w:r>
              <w:rPr>
                <w:rFonts w:ascii="MS PGothic" w:cs="MS PGothic" w:eastAsia="MS PGothic" w:hAnsi="MS PGothic"/>
                <w:sz w:val="14"/>
                <w:szCs w:val="14"/>
                <w:color w:val="auto"/>
                <w:w w:val="85"/>
              </w:rPr>
              <w:t>☐</w:t>
            </w:r>
          </w:p>
        </w:tc>
      </w:tr>
      <w:tr>
        <w:trPr>
          <w:trHeight w:val="226"/>
        </w:trPr>
        <w:tc>
          <w:tcPr>
            <w:tcW w:w="2140" w:type="dxa"/>
            <w:vAlign w:val="bottom"/>
          </w:tcPr>
          <w:p>
            <w:pPr>
              <w:spacing w:after="0"/>
              <w:rPr>
                <w:sz w:val="20"/>
                <w:szCs w:val="20"/>
                <w:color w:val="auto"/>
              </w:rPr>
            </w:pPr>
            <w:r>
              <w:rPr>
                <w:rFonts w:ascii="Times New Roman" w:cs="Times New Roman" w:eastAsia="Times New Roman" w:hAnsi="Times New Roman"/>
                <w:sz w:val="14"/>
                <w:szCs w:val="14"/>
                <w:color w:val="auto"/>
              </w:rPr>
              <w:t>Emerging growth company</w:t>
            </w:r>
          </w:p>
        </w:tc>
        <w:tc>
          <w:tcPr>
            <w:tcW w:w="880" w:type="dxa"/>
            <w:vAlign w:val="bottom"/>
          </w:tcPr>
          <w:p>
            <w:pPr>
              <w:ind w:left="560"/>
              <w:spacing w:after="0" w:line="141" w:lineRule="exact"/>
              <w:rPr>
                <w:sz w:val="20"/>
                <w:szCs w:val="20"/>
                <w:color w:val="auto"/>
              </w:rPr>
            </w:pPr>
            <w:r>
              <w:rPr>
                <w:rFonts w:ascii="MS PGothic" w:cs="MS PGothic" w:eastAsia="MS PGothic" w:hAnsi="MS PGothic"/>
                <w:sz w:val="14"/>
                <w:szCs w:val="14"/>
                <w:color w:val="auto"/>
              </w:rPr>
              <w:t>☐</w:t>
            </w:r>
          </w:p>
        </w:tc>
        <w:tc>
          <w:tcPr>
            <w:tcW w:w="2620" w:type="dxa"/>
            <w:vAlign w:val="bottom"/>
          </w:tcPr>
          <w:p>
            <w:pPr>
              <w:spacing w:after="0"/>
              <w:rPr>
                <w:sz w:val="19"/>
                <w:szCs w:val="19"/>
                <w:color w:val="auto"/>
              </w:rPr>
            </w:pPr>
          </w:p>
        </w:tc>
        <w:tc>
          <w:tcPr>
            <w:tcW w:w="940" w:type="dxa"/>
            <w:vAlign w:val="bottom"/>
          </w:tcPr>
          <w:p>
            <w:pPr>
              <w:spacing w:after="0"/>
              <w:rPr>
                <w:sz w:val="19"/>
                <w:szCs w:val="19"/>
                <w:color w:val="auto"/>
              </w:rPr>
            </w:pPr>
          </w:p>
        </w:tc>
      </w:tr>
    </w:tbl>
    <w:p>
      <w:pPr>
        <w:spacing w:after="0" w:line="95" w:lineRule="exact"/>
        <w:rPr>
          <w:sz w:val="24"/>
          <w:szCs w:val="24"/>
          <w:color w:val="auto"/>
        </w:rPr>
      </w:pPr>
    </w:p>
    <w:p>
      <w:pPr>
        <w:ind w:right="460" w:firstLine="324"/>
        <w:spacing w:after="0" w:line="188" w:lineRule="exact"/>
        <w:rPr>
          <w:sz w:val="20"/>
          <w:szCs w:val="20"/>
          <w:color w:val="auto"/>
        </w:rPr>
      </w:pPr>
      <w:r>
        <w:rPr>
          <w:rFonts w:ascii="Times New Roman" w:cs="Times New Roman" w:eastAsia="Times New Roman" w:hAnsi="Times New Roman"/>
          <w:sz w:val="14"/>
          <w:szCs w:val="14"/>
          <w:color w:val="auto"/>
        </w:rPr>
        <w:t xml:space="preserve">If an emerging growth company, indicate by check mark if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4"/>
          <w:szCs w:val="14"/>
          <w:color w:val="auto"/>
        </w:rPr>
        <w:t>☐</w:t>
      </w:r>
    </w:p>
    <w:p>
      <w:pPr>
        <w:spacing w:after="0" w:line="1" w:lineRule="exact"/>
        <w:rPr>
          <w:sz w:val="24"/>
          <w:szCs w:val="24"/>
          <w:color w:val="auto"/>
        </w:rPr>
      </w:pPr>
    </w:p>
    <w:p>
      <w:pPr>
        <w:ind w:left="340" w:right="3360"/>
        <w:spacing w:after="0" w:line="177" w:lineRule="exact"/>
        <w:rPr>
          <w:sz w:val="20"/>
          <w:szCs w:val="20"/>
          <w:color w:val="auto"/>
        </w:rPr>
      </w:pPr>
      <w:r>
        <w:rPr>
          <w:rFonts w:ascii="Times New Roman" w:cs="Times New Roman" w:eastAsia="Times New Roman" w:hAnsi="Times New Roman"/>
          <w:sz w:val="14"/>
          <w:szCs w:val="14"/>
          <w:color w:val="auto"/>
        </w:rPr>
        <w:t xml:space="preserve">Indicate by check mark whether the registrant is a shell company (as defined in Rule 12b-2 of the Exchange Act). Yes </w:t>
      </w: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 xml:space="preserve"> No </w:t>
      </w:r>
      <w:r>
        <w:rPr>
          <w:rFonts w:ascii="Arial" w:cs="Arial" w:eastAsia="Arial" w:hAnsi="Arial"/>
          <w:sz w:val="14"/>
          <w:szCs w:val="14"/>
          <w:color w:val="auto"/>
        </w:rPr>
        <w:t>x</w:t>
      </w:r>
      <w:r>
        <w:rPr>
          <w:rFonts w:ascii="Times New Roman" w:cs="Times New Roman" w:eastAsia="Times New Roman" w:hAnsi="Times New Roman"/>
          <w:sz w:val="14"/>
          <w:szCs w:val="14"/>
          <w:color w:val="auto"/>
        </w:rPr>
        <w:t xml:space="preserve"> The number of shares of the issuer's common stock, $0.01 par value, outstanding as of April 30, 2022 was 523,359,770.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491490</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58420</wp:posOffset>
            </wp:positionV>
            <wp:extent cx="699008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90080" cy="8255"/>
                    </a:xfrm>
                    <a:prstGeom prst="rect">
                      <a:avLst/>
                    </a:prstGeom>
                    <a:noFill/>
                  </pic:spPr>
                </pic:pic>
              </a:graphicData>
            </a:graphic>
          </wp:anchor>
        </w:drawing>
        <w:drawing>
          <wp:anchor simplePos="0" relativeHeight="251657728" behindDoc="1" locked="0" layoutInCell="0" allowOverlap="1">
            <wp:simplePos x="0" y="0"/>
            <wp:positionH relativeFrom="column">
              <wp:posOffset>210820</wp:posOffset>
            </wp:positionH>
            <wp:positionV relativeFrom="paragraph">
              <wp:posOffset>24130</wp:posOffset>
            </wp:positionV>
            <wp:extent cx="699008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6990080" cy="825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 w:name="page2"/>
    <w:bookmarkEnd w:id="1"/>
    <w:p>
      <w:pPr>
        <w:jc w:val="center"/>
        <w:ind w:right="-619"/>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104" w:lineRule="exact"/>
        <w:rPr>
          <w:sz w:val="20"/>
          <w:szCs w:val="20"/>
          <w:color w:val="auto"/>
        </w:rPr>
      </w:pPr>
    </w:p>
    <w:p>
      <w:pPr>
        <w:jc w:val="center"/>
        <w:ind w:right="-619"/>
        <w:spacing w:after="0"/>
        <w:rPr>
          <w:sz w:val="20"/>
          <w:szCs w:val="20"/>
          <w:color w:val="auto"/>
        </w:rPr>
      </w:pPr>
      <w:r>
        <w:rPr>
          <w:rFonts w:ascii="Times New Roman" w:cs="Times New Roman" w:eastAsia="Times New Roman" w:hAnsi="Times New Roman"/>
          <w:sz w:val="18"/>
          <w:szCs w:val="18"/>
          <w:b w:val="1"/>
          <w:bCs w:val="1"/>
          <w:color w:val="auto"/>
        </w:rPr>
        <w:t>TABLE OF CONTENTS</w:t>
      </w:r>
    </w:p>
    <w:p>
      <w:pPr>
        <w:spacing w:after="0" w:line="23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80" w:type="dxa"/>
            <w:vAlign w:val="bottom"/>
            <w:gridSpan w:val="2"/>
          </w:tcPr>
          <w:p>
            <w:pPr>
              <w:spacing w:after="0"/>
              <w:rPr>
                <w:sz w:val="20"/>
                <w:szCs w:val="20"/>
                <w:color w:val="auto"/>
              </w:rPr>
            </w:pPr>
            <w:r>
              <w:rPr>
                <w:rFonts w:ascii="Times New Roman" w:cs="Times New Roman" w:eastAsia="Times New Roman" w:hAnsi="Times New Roman"/>
                <w:sz w:val="16"/>
                <w:szCs w:val="16"/>
                <w:b w:val="1"/>
                <w:bCs w:val="1"/>
                <w:color w:val="0000FF"/>
                <w:w w:val="96"/>
              </w:rPr>
              <w:t>PART I.</w:t>
            </w:r>
          </w:p>
        </w:tc>
        <w:tc>
          <w:tcPr>
            <w:tcW w:w="460" w:type="dxa"/>
            <w:vAlign w:val="bottom"/>
            <w:gridSpan w:val="2"/>
          </w:tcPr>
          <w:p>
            <w:pPr>
              <w:spacing w:after="0"/>
              <w:rPr>
                <w:sz w:val="16"/>
                <w:szCs w:val="16"/>
                <w:color w:val="auto"/>
              </w:rPr>
            </w:pPr>
          </w:p>
        </w:tc>
        <w:tc>
          <w:tcPr>
            <w:tcW w:w="7580" w:type="dxa"/>
            <w:vAlign w:val="bottom"/>
            <w:gridSpan w:val="12"/>
          </w:tcPr>
          <w:p>
            <w:pPr>
              <w:spacing w:after="0"/>
              <w:rPr>
                <w:sz w:val="20"/>
                <w:szCs w:val="20"/>
                <w:color w:val="auto"/>
              </w:rPr>
            </w:pPr>
            <w:r>
              <w:rPr>
                <w:rFonts w:ascii="Times New Roman" w:cs="Times New Roman" w:eastAsia="Times New Roman" w:hAnsi="Times New Roman"/>
                <w:sz w:val="16"/>
                <w:szCs w:val="16"/>
                <w:b w:val="1"/>
                <w:bCs w:val="1"/>
                <w:color w:val="0000FF"/>
              </w:rPr>
              <w:t>FINANCIAL INFORMATION</w:t>
            </w:r>
          </w:p>
        </w:tc>
        <w:tc>
          <w:tcPr>
            <w:tcW w:w="17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40" w:type="dxa"/>
            <w:vAlign w:val="bottom"/>
          </w:tcPr>
          <w:p>
            <w:pPr>
              <w:spacing w:after="0"/>
              <w:rPr>
                <w:sz w:val="16"/>
                <w:szCs w:val="16"/>
                <w:color w:val="auto"/>
              </w:rPr>
            </w:pPr>
          </w:p>
        </w:tc>
      </w:tr>
      <w:tr>
        <w:trPr>
          <w:trHeight w:val="196"/>
        </w:trPr>
        <w:tc>
          <w:tcPr>
            <w:tcW w:w="460" w:type="dxa"/>
            <w:vAlign w:val="bottom"/>
            <w:tcBorders>
              <w:top w:val="single" w:sz="8" w:color="0000FF"/>
            </w:tcBorders>
          </w:tcPr>
          <w:p>
            <w:pPr>
              <w:spacing w:after="0"/>
              <w:rPr>
                <w:sz w:val="20"/>
                <w:szCs w:val="20"/>
                <w:color w:val="auto"/>
              </w:rPr>
            </w:pPr>
            <w:r>
              <w:rPr>
                <w:rFonts w:ascii="Times New Roman" w:cs="Times New Roman" w:eastAsia="Times New Roman" w:hAnsi="Times New Roman"/>
                <w:sz w:val="16"/>
                <w:szCs w:val="16"/>
                <w:color w:val="0000FF"/>
                <w:w w:val="92"/>
              </w:rPr>
              <w:t>Item 1.</w:t>
            </w:r>
          </w:p>
        </w:tc>
        <w:tc>
          <w:tcPr>
            <w:tcW w:w="120" w:type="dxa"/>
            <w:vAlign w:val="bottom"/>
            <w:tcBorders>
              <w:top w:val="single" w:sz="8" w:color="0000FF"/>
            </w:tcBorders>
          </w:tcPr>
          <w:p>
            <w:pPr>
              <w:spacing w:after="0"/>
              <w:rPr>
                <w:sz w:val="17"/>
                <w:szCs w:val="17"/>
                <w:color w:val="auto"/>
              </w:rPr>
            </w:pPr>
          </w:p>
        </w:tc>
        <w:tc>
          <w:tcPr>
            <w:tcW w:w="460" w:type="dxa"/>
            <w:vAlign w:val="bottom"/>
            <w:gridSpan w:val="2"/>
          </w:tcPr>
          <w:p>
            <w:pPr>
              <w:spacing w:after="0"/>
              <w:rPr>
                <w:sz w:val="17"/>
                <w:szCs w:val="17"/>
                <w:color w:val="auto"/>
              </w:rPr>
            </w:pPr>
          </w:p>
        </w:tc>
        <w:tc>
          <w:tcPr>
            <w:tcW w:w="2140" w:type="dxa"/>
            <w:vAlign w:val="bottom"/>
            <w:tcBorders>
              <w:top w:val="single" w:sz="8" w:color="0000FF"/>
            </w:tcBorders>
            <w:gridSpan w:val="9"/>
          </w:tcPr>
          <w:p>
            <w:pPr>
              <w:spacing w:after="0"/>
              <w:rPr>
                <w:sz w:val="20"/>
                <w:szCs w:val="20"/>
                <w:color w:val="auto"/>
              </w:rPr>
            </w:pPr>
            <w:r>
              <w:rPr>
                <w:rFonts w:ascii="Times New Roman" w:cs="Times New Roman" w:eastAsia="Times New Roman" w:hAnsi="Times New Roman"/>
                <w:sz w:val="16"/>
                <w:szCs w:val="16"/>
                <w:color w:val="0000FF"/>
              </w:rPr>
              <w:t>Financial Statements</w:t>
            </w:r>
          </w:p>
        </w:tc>
        <w:tc>
          <w:tcPr>
            <w:tcW w:w="5440" w:type="dxa"/>
            <w:vAlign w:val="bottom"/>
            <w:gridSpan w:val="3"/>
          </w:tcPr>
          <w:p>
            <w:pPr>
              <w:spacing w:after="0"/>
              <w:rPr>
                <w:sz w:val="17"/>
                <w:szCs w:val="17"/>
                <w:color w:val="auto"/>
              </w:rPr>
            </w:pPr>
          </w:p>
        </w:tc>
        <w:tc>
          <w:tcPr>
            <w:tcW w:w="192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0000FF"/>
              </w:rPr>
              <w:t>2</w:t>
            </w:r>
          </w:p>
        </w:tc>
        <w:tc>
          <w:tcPr>
            <w:tcW w:w="40" w:type="dxa"/>
            <w:vAlign w:val="bottom"/>
          </w:tcPr>
          <w:p>
            <w:pPr>
              <w:spacing w:after="0"/>
              <w:rPr>
                <w:sz w:val="17"/>
                <w:szCs w:val="17"/>
                <w:color w:val="auto"/>
              </w:rPr>
            </w:pPr>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460" w:type="dxa"/>
            <w:vAlign w:val="bottom"/>
          </w:tcPr>
          <w:p>
            <w:pPr>
              <w:spacing w:after="0"/>
              <w:rPr>
                <w:sz w:val="20"/>
                <w:szCs w:val="20"/>
                <w:color w:val="auto"/>
              </w:rPr>
            </w:pPr>
            <w:r>
              <w:rPr>
                <w:rFonts w:ascii="Times New Roman" w:cs="Times New Roman" w:eastAsia="Times New Roman" w:hAnsi="Times New Roman"/>
                <w:sz w:val="16"/>
                <w:szCs w:val="16"/>
                <w:color w:val="0000FF"/>
                <w:w w:val="92"/>
              </w:rPr>
              <w:t>Item 2.</w:t>
            </w:r>
          </w:p>
        </w:tc>
        <w:tc>
          <w:tcPr>
            <w:tcW w:w="120" w:type="dxa"/>
            <w:vAlign w:val="bottom"/>
          </w:tcPr>
          <w:p>
            <w:pPr>
              <w:spacing w:after="0"/>
              <w:rPr>
                <w:sz w:val="17"/>
                <w:szCs w:val="17"/>
                <w:color w:val="auto"/>
              </w:rPr>
            </w:pPr>
          </w:p>
        </w:tc>
        <w:tc>
          <w:tcPr>
            <w:tcW w:w="460" w:type="dxa"/>
            <w:vAlign w:val="bottom"/>
            <w:gridSpan w:val="2"/>
          </w:tcPr>
          <w:p>
            <w:pPr>
              <w:spacing w:after="0"/>
              <w:rPr>
                <w:sz w:val="17"/>
                <w:szCs w:val="17"/>
                <w:color w:val="auto"/>
              </w:rPr>
            </w:pPr>
          </w:p>
        </w:tc>
        <w:tc>
          <w:tcPr>
            <w:tcW w:w="7580" w:type="dxa"/>
            <w:vAlign w:val="bottom"/>
            <w:gridSpan w:val="12"/>
          </w:tcPr>
          <w:p>
            <w:pPr>
              <w:spacing w:after="0"/>
              <w:rPr>
                <w:sz w:val="20"/>
                <w:szCs w:val="20"/>
                <w:color w:val="auto"/>
              </w:rPr>
            </w:pPr>
            <w:r>
              <w:rPr>
                <w:rFonts w:ascii="Times New Roman" w:cs="Times New Roman" w:eastAsia="Times New Roman" w:hAnsi="Times New Roman"/>
                <w:sz w:val="16"/>
                <w:szCs w:val="16"/>
                <w:color w:val="0000FF"/>
              </w:rPr>
              <w:t>Management's Discussion and Analysis of Financial Condition and Results of Operations</w:t>
            </w: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23</w:t>
            </w:r>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860" w:type="dxa"/>
            <w:vAlign w:val="bottom"/>
            <w:gridSpan w:val="2"/>
            <w:shd w:val="clear" w:color="auto" w:fill="0000FF"/>
          </w:tcPr>
          <w:p>
            <w:pPr>
              <w:spacing w:after="0" w:line="20" w:lineRule="exact"/>
              <w:rPr>
                <w:sz w:val="1"/>
                <w:szCs w:val="1"/>
                <w:color w:val="auto"/>
              </w:rPr>
            </w:pPr>
          </w:p>
        </w:tc>
        <w:tc>
          <w:tcPr>
            <w:tcW w:w="1880" w:type="dxa"/>
            <w:vAlign w:val="bottom"/>
            <w:tcBorders>
              <w:left w:val="single" w:sz="8" w:color="0000FF"/>
            </w:tcBorders>
            <w:shd w:val="clear" w:color="auto" w:fill="0000FF"/>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6"/>
        </w:trPr>
        <w:tc>
          <w:tcPr>
            <w:tcW w:w="460" w:type="dxa"/>
            <w:vAlign w:val="bottom"/>
          </w:tcPr>
          <w:p>
            <w:pPr>
              <w:spacing w:after="0"/>
              <w:rPr>
                <w:sz w:val="20"/>
                <w:szCs w:val="20"/>
                <w:color w:val="auto"/>
              </w:rPr>
            </w:pPr>
            <w:r>
              <w:rPr>
                <w:rFonts w:ascii="Times New Roman" w:cs="Times New Roman" w:eastAsia="Times New Roman" w:hAnsi="Times New Roman"/>
                <w:sz w:val="16"/>
                <w:szCs w:val="16"/>
                <w:color w:val="0000FF"/>
                <w:w w:val="92"/>
              </w:rPr>
              <w:t>Item 3.</w:t>
            </w:r>
          </w:p>
        </w:tc>
        <w:tc>
          <w:tcPr>
            <w:tcW w:w="120" w:type="dxa"/>
            <w:vAlign w:val="bottom"/>
          </w:tcPr>
          <w:p>
            <w:pPr>
              <w:spacing w:after="0"/>
              <w:rPr>
                <w:sz w:val="17"/>
                <w:szCs w:val="17"/>
                <w:color w:val="auto"/>
              </w:rPr>
            </w:pPr>
          </w:p>
        </w:tc>
        <w:tc>
          <w:tcPr>
            <w:tcW w:w="460" w:type="dxa"/>
            <w:vAlign w:val="bottom"/>
            <w:gridSpan w:val="2"/>
          </w:tcPr>
          <w:p>
            <w:pPr>
              <w:spacing w:after="0"/>
              <w:rPr>
                <w:sz w:val="17"/>
                <w:szCs w:val="17"/>
                <w:color w:val="auto"/>
              </w:rPr>
            </w:pPr>
          </w:p>
        </w:tc>
        <w:tc>
          <w:tcPr>
            <w:tcW w:w="3900" w:type="dxa"/>
            <w:vAlign w:val="bottom"/>
            <w:gridSpan w:val="10"/>
          </w:tcPr>
          <w:p>
            <w:pPr>
              <w:spacing w:after="0"/>
              <w:rPr>
                <w:sz w:val="20"/>
                <w:szCs w:val="20"/>
                <w:color w:val="auto"/>
              </w:rPr>
            </w:pPr>
            <w:r>
              <w:rPr>
                <w:rFonts w:ascii="Times New Roman" w:cs="Times New Roman" w:eastAsia="Times New Roman" w:hAnsi="Times New Roman"/>
                <w:sz w:val="16"/>
                <w:szCs w:val="16"/>
                <w:color w:val="0000FF"/>
                <w:w w:val="99"/>
              </w:rPr>
              <w:t>Quantitative and Qualitative Disclosures About Market Risk</w:t>
            </w:r>
          </w:p>
        </w:tc>
        <w:tc>
          <w:tcPr>
            <w:tcW w:w="1880" w:type="dxa"/>
            <w:vAlign w:val="bottom"/>
          </w:tcPr>
          <w:p>
            <w:pPr>
              <w:spacing w:after="0"/>
              <w:rPr>
                <w:sz w:val="17"/>
                <w:szCs w:val="17"/>
                <w:color w:val="auto"/>
              </w:rPr>
            </w:pPr>
          </w:p>
        </w:tc>
        <w:tc>
          <w:tcPr>
            <w:tcW w:w="1800" w:type="dxa"/>
            <w:vAlign w:val="bottom"/>
          </w:tcPr>
          <w:p>
            <w:pPr>
              <w:spacing w:after="0"/>
              <w:rPr>
                <w:sz w:val="17"/>
                <w:szCs w:val="17"/>
                <w:color w:val="auto"/>
              </w:rPr>
            </w:pP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41</w:t>
            </w:r>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860" w:type="dxa"/>
            <w:vAlign w:val="bottom"/>
            <w:gridSpan w:val="2"/>
            <w:shd w:val="clear" w:color="auto" w:fill="0000FF"/>
          </w:tcPr>
          <w:p>
            <w:pPr>
              <w:spacing w:after="0" w:line="20" w:lineRule="exact"/>
              <w:rPr>
                <w:sz w:val="1"/>
                <w:szCs w:val="1"/>
                <w:color w:val="auto"/>
              </w:rPr>
            </w:pPr>
          </w:p>
        </w:tc>
        <w:tc>
          <w:tcPr>
            <w:tcW w:w="3680" w:type="dxa"/>
            <w:vAlign w:val="bottom"/>
            <w:tcBorders>
              <w:left w:val="single" w:sz="8" w:color="0000FF"/>
            </w:tcBorders>
            <w:gridSpan w:val="2"/>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Borders>
              <w:right w:val="single" w:sz="8" w:color="0000FF"/>
            </w:tcBorders>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6"/>
        </w:trPr>
        <w:tc>
          <w:tcPr>
            <w:tcW w:w="460" w:type="dxa"/>
            <w:vAlign w:val="bottom"/>
          </w:tcPr>
          <w:p>
            <w:pPr>
              <w:spacing w:after="0"/>
              <w:rPr>
                <w:sz w:val="20"/>
                <w:szCs w:val="20"/>
                <w:color w:val="auto"/>
              </w:rPr>
            </w:pPr>
            <w:r>
              <w:rPr>
                <w:rFonts w:ascii="Times New Roman" w:cs="Times New Roman" w:eastAsia="Times New Roman" w:hAnsi="Times New Roman"/>
                <w:sz w:val="16"/>
                <w:szCs w:val="16"/>
                <w:color w:val="0000FF"/>
                <w:w w:val="92"/>
              </w:rPr>
              <w:t>Item 4.</w:t>
            </w:r>
          </w:p>
        </w:tc>
        <w:tc>
          <w:tcPr>
            <w:tcW w:w="580" w:type="dxa"/>
            <w:vAlign w:val="bottom"/>
            <w:gridSpan w:val="3"/>
          </w:tcPr>
          <w:p>
            <w:pPr>
              <w:spacing w:after="0"/>
              <w:rPr>
                <w:sz w:val="17"/>
                <w:szCs w:val="17"/>
                <w:color w:val="auto"/>
              </w:rPr>
            </w:pPr>
          </w:p>
        </w:tc>
        <w:tc>
          <w:tcPr>
            <w:tcW w:w="3900" w:type="dxa"/>
            <w:vAlign w:val="bottom"/>
            <w:gridSpan w:val="10"/>
          </w:tcPr>
          <w:p>
            <w:pPr>
              <w:spacing w:after="0"/>
              <w:rPr>
                <w:sz w:val="20"/>
                <w:szCs w:val="20"/>
                <w:color w:val="auto"/>
              </w:rPr>
            </w:pPr>
            <w:r>
              <w:rPr>
                <w:rFonts w:ascii="Times New Roman" w:cs="Times New Roman" w:eastAsia="Times New Roman" w:hAnsi="Times New Roman"/>
                <w:sz w:val="16"/>
                <w:szCs w:val="16"/>
                <w:color w:val="0000FF"/>
              </w:rPr>
              <w:t>Controls and Procedures</w:t>
            </w:r>
          </w:p>
        </w:tc>
        <w:tc>
          <w:tcPr>
            <w:tcW w:w="3680" w:type="dxa"/>
            <w:vAlign w:val="bottom"/>
            <w:gridSpan w:val="2"/>
          </w:tcPr>
          <w:p>
            <w:pPr>
              <w:spacing w:after="0"/>
              <w:rPr>
                <w:sz w:val="17"/>
                <w:szCs w:val="17"/>
                <w:color w:val="auto"/>
              </w:rPr>
            </w:pP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44</w:t>
            </w:r>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380" w:type="dxa"/>
            <w:vAlign w:val="bottom"/>
            <w:gridSpan w:val="2"/>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r>
        <w:trPr>
          <w:trHeight w:val="453"/>
        </w:trPr>
        <w:tc>
          <w:tcPr>
            <w:tcW w:w="680" w:type="dxa"/>
            <w:vAlign w:val="bottom"/>
            <w:tcBorders>
              <w:bottom w:val="single" w:sz="8" w:color="0000FF"/>
            </w:tcBorders>
            <w:gridSpan w:val="3"/>
          </w:tcPr>
          <w:p>
            <w:pPr>
              <w:spacing w:after="0"/>
              <w:rPr>
                <w:sz w:val="20"/>
                <w:szCs w:val="20"/>
                <w:color w:val="auto"/>
              </w:rPr>
            </w:pPr>
            <w:r>
              <w:rPr>
                <w:rFonts w:ascii="Times New Roman" w:cs="Times New Roman" w:eastAsia="Times New Roman" w:hAnsi="Times New Roman"/>
                <w:sz w:val="16"/>
                <w:szCs w:val="16"/>
                <w:b w:val="1"/>
                <w:bCs w:val="1"/>
                <w:color w:val="0000FF"/>
                <w:w w:val="99"/>
              </w:rPr>
              <w:t>PART II.</w:t>
            </w:r>
          </w:p>
        </w:tc>
        <w:tc>
          <w:tcPr>
            <w:tcW w:w="360" w:type="dxa"/>
            <w:vAlign w:val="bottom"/>
          </w:tcPr>
          <w:p>
            <w:pPr>
              <w:spacing w:after="0"/>
              <w:rPr>
                <w:sz w:val="24"/>
                <w:szCs w:val="24"/>
                <w:color w:val="auto"/>
              </w:rPr>
            </w:pPr>
          </w:p>
        </w:tc>
        <w:tc>
          <w:tcPr>
            <w:tcW w:w="1820" w:type="dxa"/>
            <w:vAlign w:val="bottom"/>
            <w:tcBorders>
              <w:bottom w:val="single" w:sz="8" w:color="0000FF"/>
            </w:tcBorders>
            <w:gridSpan w:val="7"/>
          </w:tcPr>
          <w:p>
            <w:pPr>
              <w:spacing w:after="0"/>
              <w:rPr>
                <w:sz w:val="20"/>
                <w:szCs w:val="20"/>
                <w:color w:val="auto"/>
              </w:rPr>
            </w:pPr>
            <w:r>
              <w:rPr>
                <w:rFonts w:ascii="Times New Roman" w:cs="Times New Roman" w:eastAsia="Times New Roman" w:hAnsi="Times New Roman"/>
                <w:sz w:val="16"/>
                <w:szCs w:val="16"/>
                <w:b w:val="1"/>
                <w:bCs w:val="1"/>
                <w:color w:val="0000FF"/>
                <w:w w:val="99"/>
              </w:rPr>
              <w:t>OTHER INFORMATION</w:t>
            </w:r>
          </w:p>
        </w:tc>
        <w:tc>
          <w:tcPr>
            <w:tcW w:w="5760" w:type="dxa"/>
            <w:vAlign w:val="bottom"/>
            <w:gridSpan w:val="5"/>
          </w:tcPr>
          <w:p>
            <w:pPr>
              <w:spacing w:after="0"/>
              <w:rPr>
                <w:sz w:val="24"/>
                <w:szCs w:val="24"/>
                <w:color w:val="auto"/>
              </w:rPr>
            </w:pPr>
          </w:p>
        </w:tc>
        <w:tc>
          <w:tcPr>
            <w:tcW w:w="17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0" w:type="dxa"/>
            <w:vAlign w:val="bottom"/>
          </w:tcPr>
          <w:p>
            <w:pPr>
              <w:spacing w:after="0"/>
              <w:rPr>
                <w:sz w:val="24"/>
                <w:szCs w:val="24"/>
                <w:color w:val="auto"/>
              </w:rPr>
            </w:pPr>
          </w:p>
        </w:tc>
      </w:tr>
      <w:tr>
        <w:trPr>
          <w:trHeight w:val="216"/>
        </w:trPr>
        <w:tc>
          <w:tcPr>
            <w:tcW w:w="580" w:type="dxa"/>
            <w:vAlign w:val="bottom"/>
            <w:tcBorders>
              <w:bottom w:val="single" w:sz="8" w:color="0000FF"/>
            </w:tcBorders>
            <w:gridSpan w:val="2"/>
          </w:tcPr>
          <w:p>
            <w:pPr>
              <w:spacing w:after="0" w:line="183" w:lineRule="exact"/>
              <w:rPr>
                <w:sz w:val="20"/>
                <w:szCs w:val="20"/>
                <w:color w:val="auto"/>
              </w:rPr>
            </w:pPr>
            <w:r>
              <w:rPr>
                <w:rFonts w:ascii="Times New Roman" w:cs="Times New Roman" w:eastAsia="Times New Roman" w:hAnsi="Times New Roman"/>
                <w:sz w:val="16"/>
                <w:szCs w:val="16"/>
                <w:color w:val="0000FF"/>
              </w:rPr>
              <w:t>Item 1.</w:t>
            </w:r>
          </w:p>
        </w:tc>
        <w:tc>
          <w:tcPr>
            <w:tcW w:w="460" w:type="dxa"/>
            <w:vAlign w:val="bottom"/>
            <w:gridSpan w:val="2"/>
          </w:tcPr>
          <w:p>
            <w:pPr>
              <w:spacing w:after="0"/>
              <w:rPr>
                <w:sz w:val="18"/>
                <w:szCs w:val="18"/>
                <w:color w:val="auto"/>
              </w:rPr>
            </w:pPr>
          </w:p>
        </w:tc>
        <w:tc>
          <w:tcPr>
            <w:tcW w:w="1200" w:type="dxa"/>
            <w:vAlign w:val="bottom"/>
            <w:tcBorders>
              <w:bottom w:val="single" w:sz="8" w:color="0000FF"/>
            </w:tcBorders>
            <w:gridSpan w:val="4"/>
          </w:tcPr>
          <w:p>
            <w:pPr>
              <w:spacing w:after="0" w:line="183" w:lineRule="exact"/>
              <w:rPr>
                <w:sz w:val="20"/>
                <w:szCs w:val="20"/>
                <w:color w:val="auto"/>
              </w:rPr>
            </w:pPr>
            <w:r>
              <w:rPr>
                <w:rFonts w:ascii="Times New Roman" w:cs="Times New Roman" w:eastAsia="Times New Roman" w:hAnsi="Times New Roman"/>
                <w:sz w:val="16"/>
                <w:szCs w:val="16"/>
                <w:color w:val="0000FF"/>
                <w:w w:val="99"/>
              </w:rPr>
              <w:t>Legal Proceedings</w:t>
            </w:r>
          </w:p>
        </w:tc>
        <w:tc>
          <w:tcPr>
            <w:tcW w:w="840" w:type="dxa"/>
            <w:vAlign w:val="bottom"/>
            <w:tcBorders>
              <w:bottom w:val="single" w:sz="8" w:color="0000FF"/>
            </w:tcBorders>
            <w:gridSpan w:val="4"/>
          </w:tcPr>
          <w:p>
            <w:pPr>
              <w:spacing w:after="0"/>
              <w:rPr>
                <w:sz w:val="18"/>
                <w:szCs w:val="18"/>
                <w:color w:val="auto"/>
              </w:rPr>
            </w:pPr>
          </w:p>
        </w:tc>
        <w:tc>
          <w:tcPr>
            <w:tcW w:w="1860" w:type="dxa"/>
            <w:vAlign w:val="bottom"/>
            <w:gridSpan w:val="2"/>
          </w:tcPr>
          <w:p>
            <w:pPr>
              <w:spacing w:after="0"/>
              <w:rPr>
                <w:sz w:val="18"/>
                <w:szCs w:val="18"/>
                <w:color w:val="auto"/>
              </w:rPr>
            </w:pPr>
          </w:p>
        </w:tc>
        <w:tc>
          <w:tcPr>
            <w:tcW w:w="3680" w:type="dxa"/>
            <w:vAlign w:val="bottom"/>
            <w:gridSpan w:val="2"/>
          </w:tcPr>
          <w:p>
            <w:pPr>
              <w:spacing w:after="0"/>
              <w:rPr>
                <w:sz w:val="18"/>
                <w:szCs w:val="18"/>
                <w:color w:val="auto"/>
              </w:rPr>
            </w:pPr>
          </w:p>
        </w:tc>
        <w:tc>
          <w:tcPr>
            <w:tcW w:w="1780" w:type="dxa"/>
            <w:vAlign w:val="bottom"/>
          </w:tcPr>
          <w:p>
            <w:pPr>
              <w:spacing w:after="0"/>
              <w:rPr>
                <w:sz w:val="18"/>
                <w:szCs w:val="18"/>
                <w:color w:val="auto"/>
              </w:rPr>
            </w:pPr>
          </w:p>
        </w:tc>
        <w:tc>
          <w:tcPr>
            <w:tcW w:w="180" w:type="dxa"/>
            <w:vAlign w:val="bottom"/>
            <w:tcBorders>
              <w:bottom w:val="single" w:sz="8" w:color="0000FF"/>
            </w:tcBorders>
            <w:gridSpan w:val="3"/>
          </w:tcPr>
          <w:p>
            <w:pPr>
              <w:jc w:val="right"/>
              <w:spacing w:after="0" w:line="176" w:lineRule="exact"/>
              <w:rPr>
                <w:sz w:val="20"/>
                <w:szCs w:val="20"/>
                <w:color w:val="auto"/>
              </w:rPr>
            </w:pPr>
            <w:r>
              <w:rPr>
                <w:rFonts w:ascii="Times New Roman" w:cs="Times New Roman" w:eastAsia="Times New Roman" w:hAnsi="Times New Roman"/>
                <w:sz w:val="18"/>
                <w:szCs w:val="18"/>
                <w:color w:val="0000FF"/>
                <w:w w:val="88"/>
              </w:rPr>
              <w:t>45</w:t>
            </w:r>
          </w:p>
        </w:tc>
      </w:tr>
      <w:tr>
        <w:trPr>
          <w:trHeight w:val="190"/>
        </w:trPr>
        <w:tc>
          <w:tcPr>
            <w:tcW w:w="1040" w:type="dxa"/>
            <w:vAlign w:val="bottom"/>
            <w:gridSpan w:val="4"/>
          </w:tcPr>
          <w:p>
            <w:pPr>
              <w:spacing w:after="0"/>
              <w:rPr>
                <w:sz w:val="20"/>
                <w:szCs w:val="20"/>
                <w:color w:val="auto"/>
              </w:rPr>
            </w:pPr>
            <w:r>
              <w:rPr>
                <w:rFonts w:ascii="Times New Roman" w:cs="Times New Roman" w:eastAsia="Times New Roman" w:hAnsi="Times New Roman"/>
                <w:sz w:val="16"/>
                <w:szCs w:val="16"/>
                <w:color w:val="0000FF"/>
              </w:rPr>
              <w:t>Item 1A.</w:t>
            </w:r>
          </w:p>
        </w:tc>
        <w:tc>
          <w:tcPr>
            <w:tcW w:w="7580" w:type="dxa"/>
            <w:vAlign w:val="bottom"/>
            <w:gridSpan w:val="12"/>
          </w:tcPr>
          <w:p>
            <w:pPr>
              <w:spacing w:after="0"/>
              <w:rPr>
                <w:sz w:val="20"/>
                <w:szCs w:val="20"/>
                <w:color w:val="auto"/>
              </w:rPr>
            </w:pPr>
            <w:r>
              <w:rPr>
                <w:rFonts w:ascii="Times New Roman" w:cs="Times New Roman" w:eastAsia="Times New Roman" w:hAnsi="Times New Roman"/>
                <w:sz w:val="16"/>
                <w:szCs w:val="16"/>
                <w:color w:val="0000FF"/>
              </w:rPr>
              <w:t>Risk Factors</w:t>
            </w: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45</w:t>
            </w:r>
          </w:p>
        </w:tc>
      </w:tr>
      <w:tr>
        <w:trPr>
          <w:trHeight w:val="20"/>
        </w:trPr>
        <w:tc>
          <w:tcPr>
            <w:tcW w:w="580" w:type="dxa"/>
            <w:vAlign w:val="bottom"/>
            <w:gridSpan w:val="2"/>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shd w:val="clear" w:color="auto" w:fill="0000FF"/>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860" w:type="dxa"/>
            <w:vAlign w:val="bottom"/>
            <w:gridSpan w:val="5"/>
          </w:tcPr>
          <w:p>
            <w:pPr>
              <w:spacing w:after="0" w:line="20" w:lineRule="exact"/>
              <w:rPr>
                <w:sz w:val="1"/>
                <w:szCs w:val="1"/>
                <w:color w:val="auto"/>
              </w:rPr>
            </w:pPr>
          </w:p>
        </w:tc>
        <w:tc>
          <w:tcPr>
            <w:tcW w:w="1860" w:type="dxa"/>
            <w:vAlign w:val="bottom"/>
            <w:gridSpan w:val="2"/>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84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6"/>
        </w:trPr>
        <w:tc>
          <w:tcPr>
            <w:tcW w:w="460" w:type="dxa"/>
            <w:vAlign w:val="bottom"/>
          </w:tcPr>
          <w:p>
            <w:pPr>
              <w:spacing w:after="0"/>
              <w:rPr>
                <w:sz w:val="20"/>
                <w:szCs w:val="20"/>
                <w:color w:val="auto"/>
              </w:rPr>
            </w:pPr>
            <w:r>
              <w:rPr>
                <w:rFonts w:ascii="Times New Roman" w:cs="Times New Roman" w:eastAsia="Times New Roman" w:hAnsi="Times New Roman"/>
                <w:sz w:val="16"/>
                <w:szCs w:val="16"/>
                <w:color w:val="0000FF"/>
                <w:w w:val="92"/>
              </w:rPr>
              <w:t>Item 2.</w:t>
            </w:r>
          </w:p>
        </w:tc>
        <w:tc>
          <w:tcPr>
            <w:tcW w:w="120" w:type="dxa"/>
            <w:vAlign w:val="bottom"/>
          </w:tcPr>
          <w:p>
            <w:pPr>
              <w:spacing w:after="0"/>
              <w:rPr>
                <w:sz w:val="17"/>
                <w:szCs w:val="17"/>
                <w:color w:val="auto"/>
              </w:rPr>
            </w:pPr>
          </w:p>
        </w:tc>
        <w:tc>
          <w:tcPr>
            <w:tcW w:w="460" w:type="dxa"/>
            <w:vAlign w:val="bottom"/>
            <w:gridSpan w:val="2"/>
          </w:tcPr>
          <w:p>
            <w:pPr>
              <w:spacing w:after="0"/>
              <w:rPr>
                <w:sz w:val="17"/>
                <w:szCs w:val="17"/>
                <w:color w:val="auto"/>
              </w:rPr>
            </w:pPr>
          </w:p>
        </w:tc>
        <w:tc>
          <w:tcPr>
            <w:tcW w:w="7580" w:type="dxa"/>
            <w:vAlign w:val="bottom"/>
            <w:gridSpan w:val="12"/>
          </w:tcPr>
          <w:p>
            <w:pPr>
              <w:spacing w:after="0"/>
              <w:rPr>
                <w:sz w:val="20"/>
                <w:szCs w:val="20"/>
                <w:color w:val="auto"/>
              </w:rPr>
            </w:pPr>
            <w:r>
              <w:rPr>
                <w:rFonts w:ascii="Times New Roman" w:cs="Times New Roman" w:eastAsia="Times New Roman" w:hAnsi="Times New Roman"/>
                <w:sz w:val="16"/>
                <w:szCs w:val="16"/>
                <w:color w:val="0000FF"/>
              </w:rPr>
              <w:t>Unregistered Sales of Equity Securities and Use of Proceeds</w:t>
            </w: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45</w:t>
            </w:r>
          </w:p>
        </w:tc>
      </w:tr>
      <w:tr>
        <w:trPr>
          <w:trHeight w:val="20"/>
        </w:trPr>
        <w:tc>
          <w:tcPr>
            <w:tcW w:w="460" w:type="dxa"/>
            <w:vAlign w:val="bottom"/>
            <w:shd w:val="clear" w:color="auto" w:fill="0000FF"/>
          </w:tcPr>
          <w:p>
            <w:pPr>
              <w:spacing w:after="0" w:line="20" w:lineRule="exact"/>
              <w:rPr>
                <w:sz w:val="1"/>
                <w:szCs w:val="1"/>
                <w:color w:val="auto"/>
              </w:rPr>
            </w:pPr>
          </w:p>
        </w:tc>
        <w:tc>
          <w:tcPr>
            <w:tcW w:w="220" w:type="dxa"/>
            <w:vAlign w:val="bottom"/>
            <w:tcBorders>
              <w:left w:val="single" w:sz="8" w:color="0000FF"/>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640" w:type="dxa"/>
            <w:vAlign w:val="bottom"/>
            <w:gridSpan w:val="2"/>
            <w:shd w:val="clear" w:color="auto" w:fill="0000FF"/>
          </w:tcPr>
          <w:p>
            <w:pPr>
              <w:spacing w:after="0" w:line="20" w:lineRule="exact"/>
              <w:rPr>
                <w:sz w:val="1"/>
                <w:szCs w:val="1"/>
                <w:color w:val="auto"/>
              </w:rPr>
            </w:pPr>
          </w:p>
        </w:tc>
        <w:tc>
          <w:tcPr>
            <w:tcW w:w="860" w:type="dxa"/>
            <w:vAlign w:val="bottom"/>
            <w:gridSpan w:val="5"/>
            <w:shd w:val="clear" w:color="auto" w:fill="0000FF"/>
          </w:tcPr>
          <w:p>
            <w:pPr>
              <w:spacing w:after="0" w:line="20" w:lineRule="exact"/>
              <w:rPr>
                <w:sz w:val="1"/>
                <w:szCs w:val="1"/>
                <w:color w:val="auto"/>
              </w:rPr>
            </w:pPr>
          </w:p>
        </w:tc>
        <w:tc>
          <w:tcPr>
            <w:tcW w:w="1860" w:type="dxa"/>
            <w:vAlign w:val="bottom"/>
            <w:gridSpan w:val="2"/>
            <w:shd w:val="clear" w:color="auto" w:fill="0000FF"/>
          </w:tcPr>
          <w:p>
            <w:pPr>
              <w:spacing w:after="0" w:line="20" w:lineRule="exact"/>
              <w:rPr>
                <w:sz w:val="1"/>
                <w:szCs w:val="1"/>
                <w:color w:val="auto"/>
              </w:rPr>
            </w:pPr>
          </w:p>
        </w:tc>
        <w:tc>
          <w:tcPr>
            <w:tcW w:w="3680" w:type="dxa"/>
            <w:vAlign w:val="bottom"/>
            <w:gridSpan w:val="2"/>
          </w:tcPr>
          <w:p>
            <w:pPr>
              <w:spacing w:after="0" w:line="20" w:lineRule="exact"/>
              <w:rPr>
                <w:sz w:val="1"/>
                <w:szCs w:val="1"/>
                <w:color w:val="auto"/>
              </w:rPr>
            </w:pPr>
          </w:p>
        </w:tc>
        <w:tc>
          <w:tcPr>
            <w:tcW w:w="184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203"/>
        </w:trPr>
        <w:tc>
          <w:tcPr>
            <w:tcW w:w="460" w:type="dxa"/>
            <w:vAlign w:val="bottom"/>
            <w:tcBorders>
              <w:bottom w:val="single" w:sz="8" w:color="0000FF"/>
            </w:tcBorders>
          </w:tcPr>
          <w:p>
            <w:pPr>
              <w:spacing w:after="0" w:line="183" w:lineRule="exact"/>
              <w:rPr>
                <w:sz w:val="20"/>
                <w:szCs w:val="20"/>
                <w:color w:val="auto"/>
              </w:rPr>
            </w:pPr>
            <w:r>
              <w:rPr>
                <w:rFonts w:ascii="Times New Roman" w:cs="Times New Roman" w:eastAsia="Times New Roman" w:hAnsi="Times New Roman"/>
                <w:sz w:val="16"/>
                <w:szCs w:val="16"/>
                <w:color w:val="0000FF"/>
                <w:w w:val="92"/>
              </w:rPr>
              <w:t>Item 3.</w:t>
            </w:r>
          </w:p>
        </w:tc>
        <w:tc>
          <w:tcPr>
            <w:tcW w:w="220" w:type="dxa"/>
            <w:vAlign w:val="bottom"/>
            <w:tcBorders>
              <w:bottom w:val="single" w:sz="8" w:color="0000FF"/>
            </w:tcBorders>
            <w:gridSpan w:val="2"/>
          </w:tcPr>
          <w:p>
            <w:pPr>
              <w:spacing w:after="0"/>
              <w:rPr>
                <w:sz w:val="17"/>
                <w:szCs w:val="17"/>
                <w:color w:val="auto"/>
              </w:rPr>
            </w:pPr>
          </w:p>
        </w:tc>
        <w:tc>
          <w:tcPr>
            <w:tcW w:w="360" w:type="dxa"/>
            <w:vAlign w:val="bottom"/>
          </w:tcPr>
          <w:p>
            <w:pPr>
              <w:spacing w:after="0"/>
              <w:rPr>
                <w:sz w:val="17"/>
                <w:szCs w:val="17"/>
                <w:color w:val="auto"/>
              </w:rPr>
            </w:pPr>
          </w:p>
        </w:tc>
        <w:tc>
          <w:tcPr>
            <w:tcW w:w="3900" w:type="dxa"/>
            <w:vAlign w:val="bottom"/>
            <w:tcBorders>
              <w:bottom w:val="single" w:sz="8" w:color="0000FF"/>
            </w:tcBorders>
            <w:gridSpan w:val="10"/>
          </w:tcPr>
          <w:p>
            <w:pPr>
              <w:spacing w:after="0" w:line="183" w:lineRule="exact"/>
              <w:rPr>
                <w:sz w:val="20"/>
                <w:szCs w:val="20"/>
                <w:color w:val="auto"/>
              </w:rPr>
            </w:pPr>
            <w:r>
              <w:rPr>
                <w:rFonts w:ascii="Times New Roman" w:cs="Times New Roman" w:eastAsia="Times New Roman" w:hAnsi="Times New Roman"/>
                <w:sz w:val="16"/>
                <w:szCs w:val="16"/>
                <w:color w:val="0000FF"/>
              </w:rPr>
              <w:t>Defaults upon Senior Securities</w:t>
            </w:r>
          </w:p>
        </w:tc>
        <w:tc>
          <w:tcPr>
            <w:tcW w:w="3680" w:type="dxa"/>
            <w:vAlign w:val="bottom"/>
            <w:tcBorders>
              <w:bottom w:val="single" w:sz="8" w:color="0000FF"/>
            </w:tcBorders>
            <w:gridSpan w:val="2"/>
          </w:tcPr>
          <w:p>
            <w:pPr>
              <w:spacing w:after="0"/>
              <w:rPr>
                <w:sz w:val="17"/>
                <w:szCs w:val="17"/>
                <w:color w:val="auto"/>
              </w:rPr>
            </w:pPr>
          </w:p>
        </w:tc>
        <w:tc>
          <w:tcPr>
            <w:tcW w:w="1780" w:type="dxa"/>
            <w:vAlign w:val="bottom"/>
          </w:tcPr>
          <w:p>
            <w:pPr>
              <w:spacing w:after="0"/>
              <w:rPr>
                <w:sz w:val="17"/>
                <w:szCs w:val="17"/>
                <w:color w:val="auto"/>
              </w:rPr>
            </w:pPr>
          </w:p>
        </w:tc>
        <w:tc>
          <w:tcPr>
            <w:tcW w:w="180" w:type="dxa"/>
            <w:vAlign w:val="bottom"/>
            <w:tcBorders>
              <w:bottom w:val="single" w:sz="8" w:color="0000FF"/>
            </w:tcBorders>
            <w:gridSpan w:val="3"/>
          </w:tcPr>
          <w:p>
            <w:pPr>
              <w:jc w:val="right"/>
              <w:spacing w:after="0" w:line="182" w:lineRule="exact"/>
              <w:rPr>
                <w:sz w:val="20"/>
                <w:szCs w:val="20"/>
                <w:color w:val="auto"/>
              </w:rPr>
            </w:pPr>
            <w:r>
              <w:rPr>
                <w:rFonts w:ascii="Times New Roman" w:cs="Times New Roman" w:eastAsia="Times New Roman" w:hAnsi="Times New Roman"/>
                <w:sz w:val="18"/>
                <w:szCs w:val="18"/>
                <w:color w:val="0000FF"/>
                <w:w w:val="88"/>
              </w:rPr>
              <w:t>45</w:t>
            </w:r>
          </w:p>
        </w:tc>
      </w:tr>
      <w:tr>
        <w:trPr>
          <w:trHeight w:val="203"/>
        </w:trPr>
        <w:tc>
          <w:tcPr>
            <w:tcW w:w="680" w:type="dxa"/>
            <w:vAlign w:val="bottom"/>
            <w:gridSpan w:val="3"/>
          </w:tcPr>
          <w:p>
            <w:pPr>
              <w:spacing w:after="0"/>
              <w:rPr>
                <w:sz w:val="20"/>
                <w:szCs w:val="20"/>
                <w:color w:val="auto"/>
              </w:rPr>
            </w:pPr>
            <w:r>
              <w:rPr>
                <w:rFonts w:ascii="Times New Roman" w:cs="Times New Roman" w:eastAsia="Times New Roman" w:hAnsi="Times New Roman"/>
                <w:sz w:val="16"/>
                <w:szCs w:val="16"/>
                <w:color w:val="0000FF"/>
              </w:rPr>
              <w:t>Item 4.</w:t>
            </w:r>
          </w:p>
        </w:tc>
        <w:tc>
          <w:tcPr>
            <w:tcW w:w="360" w:type="dxa"/>
            <w:vAlign w:val="bottom"/>
          </w:tcPr>
          <w:p>
            <w:pPr>
              <w:spacing w:after="0"/>
              <w:rPr>
                <w:sz w:val="17"/>
                <w:szCs w:val="17"/>
                <w:color w:val="auto"/>
              </w:rPr>
            </w:pPr>
          </w:p>
        </w:tc>
        <w:tc>
          <w:tcPr>
            <w:tcW w:w="7580" w:type="dxa"/>
            <w:vAlign w:val="bottom"/>
            <w:gridSpan w:val="12"/>
          </w:tcPr>
          <w:p>
            <w:pPr>
              <w:spacing w:after="0"/>
              <w:rPr>
                <w:sz w:val="20"/>
                <w:szCs w:val="20"/>
                <w:color w:val="auto"/>
              </w:rPr>
            </w:pPr>
            <w:r>
              <w:rPr>
                <w:rFonts w:ascii="Times New Roman" w:cs="Times New Roman" w:eastAsia="Times New Roman" w:hAnsi="Times New Roman"/>
                <w:sz w:val="16"/>
                <w:szCs w:val="16"/>
                <w:color w:val="0000FF"/>
              </w:rPr>
              <w:t>Mine Safety Disclosures</w:t>
            </w: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45</w:t>
            </w:r>
          </w:p>
        </w:tc>
      </w:tr>
      <w:tr>
        <w:trPr>
          <w:trHeight w:val="196"/>
        </w:trPr>
        <w:tc>
          <w:tcPr>
            <w:tcW w:w="460" w:type="dxa"/>
            <w:vAlign w:val="bottom"/>
            <w:tcBorders>
              <w:top w:val="single" w:sz="8" w:color="0000FF"/>
            </w:tcBorders>
          </w:tcPr>
          <w:p>
            <w:pPr>
              <w:spacing w:after="0"/>
              <w:rPr>
                <w:sz w:val="20"/>
                <w:szCs w:val="20"/>
                <w:color w:val="auto"/>
              </w:rPr>
            </w:pPr>
            <w:r>
              <w:rPr>
                <w:rFonts w:ascii="Times New Roman" w:cs="Times New Roman" w:eastAsia="Times New Roman" w:hAnsi="Times New Roman"/>
                <w:sz w:val="16"/>
                <w:szCs w:val="16"/>
                <w:color w:val="0000FF"/>
                <w:w w:val="92"/>
              </w:rPr>
              <w:t>Item 5.</w:t>
            </w:r>
          </w:p>
        </w:tc>
        <w:tc>
          <w:tcPr>
            <w:tcW w:w="220" w:type="dxa"/>
            <w:vAlign w:val="bottom"/>
            <w:tcBorders>
              <w:top w:val="single" w:sz="8" w:color="0000FF"/>
            </w:tcBorders>
            <w:gridSpan w:val="2"/>
          </w:tcPr>
          <w:p>
            <w:pPr>
              <w:spacing w:after="0"/>
              <w:rPr>
                <w:sz w:val="17"/>
                <w:szCs w:val="17"/>
                <w:color w:val="auto"/>
              </w:rPr>
            </w:pPr>
          </w:p>
        </w:tc>
        <w:tc>
          <w:tcPr>
            <w:tcW w:w="360" w:type="dxa"/>
            <w:vAlign w:val="bottom"/>
          </w:tcPr>
          <w:p>
            <w:pPr>
              <w:spacing w:after="0"/>
              <w:rPr>
                <w:sz w:val="17"/>
                <w:szCs w:val="17"/>
                <w:color w:val="auto"/>
              </w:rPr>
            </w:pPr>
          </w:p>
        </w:tc>
        <w:tc>
          <w:tcPr>
            <w:tcW w:w="1180" w:type="dxa"/>
            <w:vAlign w:val="bottom"/>
            <w:tcBorders>
              <w:top w:val="single" w:sz="8" w:color="0000FF"/>
            </w:tcBorders>
            <w:gridSpan w:val="3"/>
          </w:tcPr>
          <w:p>
            <w:pPr>
              <w:spacing w:after="0"/>
              <w:rPr>
                <w:sz w:val="20"/>
                <w:szCs w:val="20"/>
                <w:color w:val="auto"/>
              </w:rPr>
            </w:pPr>
            <w:r>
              <w:rPr>
                <w:rFonts w:ascii="Times New Roman" w:cs="Times New Roman" w:eastAsia="Times New Roman" w:hAnsi="Times New Roman"/>
                <w:sz w:val="16"/>
                <w:szCs w:val="16"/>
                <w:color w:val="0000FF"/>
                <w:w w:val="99"/>
              </w:rPr>
              <w:t>Other Information</w:t>
            </w:r>
          </w:p>
        </w:tc>
        <w:tc>
          <w:tcPr>
            <w:tcW w:w="400" w:type="dxa"/>
            <w:vAlign w:val="bottom"/>
            <w:tcBorders>
              <w:top w:val="single" w:sz="8" w:color="0000FF"/>
            </w:tcBorders>
            <w:gridSpan w:val="3"/>
          </w:tcPr>
          <w:p>
            <w:pPr>
              <w:spacing w:after="0"/>
              <w:rPr>
                <w:sz w:val="17"/>
                <w:szCs w:val="17"/>
                <w:color w:val="auto"/>
              </w:rPr>
            </w:pPr>
          </w:p>
        </w:tc>
        <w:tc>
          <w:tcPr>
            <w:tcW w:w="6000" w:type="dxa"/>
            <w:vAlign w:val="bottom"/>
            <w:gridSpan w:val="6"/>
          </w:tcPr>
          <w:p>
            <w:pPr>
              <w:spacing w:after="0"/>
              <w:rPr>
                <w:sz w:val="17"/>
                <w:szCs w:val="17"/>
                <w:color w:val="auto"/>
              </w:rPr>
            </w:pP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45</w:t>
            </w:r>
          </w:p>
        </w:tc>
      </w:tr>
      <w:tr>
        <w:trPr>
          <w:trHeight w:val="20"/>
        </w:trPr>
        <w:tc>
          <w:tcPr>
            <w:tcW w:w="460" w:type="dxa"/>
            <w:vAlign w:val="bottom"/>
            <w:shd w:val="clear" w:color="auto" w:fill="0000FF"/>
          </w:tcPr>
          <w:p>
            <w:pPr>
              <w:spacing w:after="0" w:line="20" w:lineRule="exact"/>
              <w:rPr>
                <w:sz w:val="1"/>
                <w:szCs w:val="1"/>
                <w:color w:val="auto"/>
              </w:rPr>
            </w:pPr>
          </w:p>
        </w:tc>
        <w:tc>
          <w:tcPr>
            <w:tcW w:w="220" w:type="dxa"/>
            <w:vAlign w:val="bottom"/>
            <w:tcBorders>
              <w:left w:val="single" w:sz="8" w:color="0000FF"/>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640" w:type="dxa"/>
            <w:vAlign w:val="bottom"/>
            <w:gridSpan w:val="2"/>
            <w:shd w:val="clear" w:color="auto" w:fill="0000FF"/>
          </w:tcPr>
          <w:p>
            <w:pPr>
              <w:spacing w:after="0" w:line="20" w:lineRule="exact"/>
              <w:rPr>
                <w:sz w:val="1"/>
                <w:szCs w:val="1"/>
                <w:color w:val="auto"/>
              </w:rPr>
            </w:pPr>
          </w:p>
        </w:tc>
        <w:tc>
          <w:tcPr>
            <w:tcW w:w="6400" w:type="dxa"/>
            <w:vAlign w:val="bottom"/>
            <w:gridSpan w:val="9"/>
          </w:tcPr>
          <w:p>
            <w:pPr>
              <w:spacing w:after="0" w:line="20" w:lineRule="exact"/>
              <w:rPr>
                <w:sz w:val="1"/>
                <w:szCs w:val="1"/>
                <w:color w:val="auto"/>
              </w:rPr>
            </w:pPr>
          </w:p>
        </w:tc>
        <w:tc>
          <w:tcPr>
            <w:tcW w:w="184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196"/>
        </w:trPr>
        <w:tc>
          <w:tcPr>
            <w:tcW w:w="460" w:type="dxa"/>
            <w:vAlign w:val="bottom"/>
          </w:tcPr>
          <w:p>
            <w:pPr>
              <w:spacing w:after="0"/>
              <w:rPr>
                <w:sz w:val="20"/>
                <w:szCs w:val="20"/>
                <w:color w:val="auto"/>
              </w:rPr>
            </w:pPr>
            <w:r>
              <w:rPr>
                <w:rFonts w:ascii="Times New Roman" w:cs="Times New Roman" w:eastAsia="Times New Roman" w:hAnsi="Times New Roman"/>
                <w:sz w:val="16"/>
                <w:szCs w:val="16"/>
                <w:color w:val="0000FF"/>
                <w:w w:val="92"/>
              </w:rPr>
              <w:t>Item 6.</w:t>
            </w:r>
          </w:p>
        </w:tc>
        <w:tc>
          <w:tcPr>
            <w:tcW w:w="580" w:type="dxa"/>
            <w:vAlign w:val="bottom"/>
            <w:gridSpan w:val="3"/>
          </w:tcPr>
          <w:p>
            <w:pPr>
              <w:spacing w:after="0"/>
              <w:rPr>
                <w:sz w:val="17"/>
                <w:szCs w:val="17"/>
                <w:color w:val="auto"/>
              </w:rPr>
            </w:pPr>
          </w:p>
        </w:tc>
        <w:tc>
          <w:tcPr>
            <w:tcW w:w="540" w:type="dxa"/>
            <w:vAlign w:val="bottom"/>
          </w:tcPr>
          <w:p>
            <w:pPr>
              <w:spacing w:after="0"/>
              <w:rPr>
                <w:sz w:val="20"/>
                <w:szCs w:val="20"/>
                <w:color w:val="auto"/>
              </w:rPr>
            </w:pPr>
            <w:r>
              <w:rPr>
                <w:rFonts w:ascii="Times New Roman" w:cs="Times New Roman" w:eastAsia="Times New Roman" w:hAnsi="Times New Roman"/>
                <w:sz w:val="16"/>
                <w:szCs w:val="16"/>
                <w:color w:val="0000FF"/>
                <w:w w:val="97"/>
              </w:rPr>
              <w:t>Exhibits</w:t>
            </w:r>
          </w:p>
        </w:tc>
        <w:tc>
          <w:tcPr>
            <w:tcW w:w="640" w:type="dxa"/>
            <w:vAlign w:val="bottom"/>
            <w:gridSpan w:val="2"/>
          </w:tcPr>
          <w:p>
            <w:pPr>
              <w:spacing w:after="0"/>
              <w:rPr>
                <w:sz w:val="17"/>
                <w:szCs w:val="17"/>
                <w:color w:val="auto"/>
              </w:rPr>
            </w:pPr>
          </w:p>
        </w:tc>
        <w:tc>
          <w:tcPr>
            <w:tcW w:w="6400" w:type="dxa"/>
            <w:vAlign w:val="bottom"/>
            <w:gridSpan w:val="9"/>
          </w:tcPr>
          <w:p>
            <w:pPr>
              <w:spacing w:after="0"/>
              <w:rPr>
                <w:sz w:val="17"/>
                <w:szCs w:val="17"/>
                <w:color w:val="auto"/>
              </w:rPr>
            </w:pP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45</w:t>
            </w:r>
          </w:p>
        </w:tc>
      </w:tr>
      <w:tr>
        <w:trPr>
          <w:trHeight w:val="20"/>
        </w:trPr>
        <w:tc>
          <w:tcPr>
            <w:tcW w:w="460" w:type="dxa"/>
            <w:vAlign w:val="bottom"/>
            <w:shd w:val="clear" w:color="auto" w:fill="0000FF"/>
          </w:tcPr>
          <w:p>
            <w:pPr>
              <w:spacing w:after="0" w:line="20" w:lineRule="exact"/>
              <w:rPr>
                <w:sz w:val="1"/>
                <w:szCs w:val="1"/>
                <w:color w:val="auto"/>
              </w:rPr>
            </w:pPr>
          </w:p>
        </w:tc>
        <w:tc>
          <w:tcPr>
            <w:tcW w:w="220" w:type="dxa"/>
            <w:vAlign w:val="bottom"/>
            <w:tcBorders>
              <w:left w:val="single" w:sz="8" w:color="0000FF"/>
            </w:tcBorders>
            <w:gridSpan w:val="2"/>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shd w:val="clear" w:color="auto" w:fill="0000FF"/>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840" w:type="dxa"/>
            <w:vAlign w:val="bottom"/>
            <w:tcBorders>
              <w:right w:val="single" w:sz="8" w:color="0000FF"/>
            </w:tcBorders>
            <w:gridSpan w:val="2"/>
          </w:tcPr>
          <w:p>
            <w:pPr>
              <w:spacing w:after="0" w:line="20" w:lineRule="exact"/>
              <w:rPr>
                <w:sz w:val="1"/>
                <w:szCs w:val="1"/>
                <w:color w:val="auto"/>
              </w:rPr>
            </w:pPr>
          </w:p>
        </w:tc>
        <w:tc>
          <w:tcPr>
            <w:tcW w:w="120" w:type="dxa"/>
            <w:vAlign w:val="bottom"/>
            <w:gridSpan w:val="2"/>
            <w:shd w:val="clear" w:color="auto" w:fill="0000FF"/>
          </w:tcPr>
          <w:p>
            <w:pPr>
              <w:spacing w:after="0" w:line="20" w:lineRule="exact"/>
              <w:rPr>
                <w:sz w:val="1"/>
                <w:szCs w:val="1"/>
                <w:color w:val="auto"/>
              </w:rPr>
            </w:pPr>
          </w:p>
        </w:tc>
      </w:tr>
      <w:tr>
        <w:trPr>
          <w:trHeight w:val="453"/>
        </w:trPr>
        <w:tc>
          <w:tcPr>
            <w:tcW w:w="1040" w:type="dxa"/>
            <w:vAlign w:val="bottom"/>
            <w:gridSpan w:val="4"/>
          </w:tcPr>
          <w:p>
            <w:pPr>
              <w:spacing w:after="0"/>
              <w:rPr>
                <w:sz w:val="20"/>
                <w:szCs w:val="20"/>
                <w:color w:val="auto"/>
              </w:rPr>
            </w:pPr>
            <w:r>
              <w:rPr>
                <w:rFonts w:ascii="Times New Roman" w:cs="Times New Roman" w:eastAsia="Times New Roman" w:hAnsi="Times New Roman"/>
                <w:sz w:val="16"/>
                <w:szCs w:val="16"/>
                <w:color w:val="0000FF"/>
              </w:rPr>
              <w:t>Signatures</w:t>
            </w:r>
          </w:p>
        </w:tc>
        <w:tc>
          <w:tcPr>
            <w:tcW w:w="5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88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96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0000FF"/>
              </w:rPr>
              <w:t>48</w:t>
            </w:r>
          </w:p>
        </w:tc>
      </w:tr>
      <w:tr>
        <w:trPr>
          <w:trHeight w:val="20"/>
        </w:trPr>
        <w:tc>
          <w:tcPr>
            <w:tcW w:w="46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right w:val="single" w:sz="8" w:color="0000FF"/>
            </w:tcBorders>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7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1800" w:type="dxa"/>
            <w:vAlign w:val="bottom"/>
          </w:tcPr>
          <w:p>
            <w:pPr>
              <w:spacing w:after="0" w:line="20" w:lineRule="exact"/>
              <w:rPr>
                <w:sz w:val="1"/>
                <w:szCs w:val="1"/>
                <w:color w:val="auto"/>
              </w:rPr>
            </w:pPr>
          </w:p>
        </w:tc>
        <w:tc>
          <w:tcPr>
            <w:tcW w:w="1780" w:type="dxa"/>
            <w:vAlign w:val="bottom"/>
          </w:tcPr>
          <w:p>
            <w:pPr>
              <w:spacing w:after="0" w:line="20" w:lineRule="exact"/>
              <w:rPr>
                <w:sz w:val="1"/>
                <w:szCs w:val="1"/>
                <w:color w:val="auto"/>
              </w:rPr>
            </w:pPr>
          </w:p>
        </w:tc>
        <w:tc>
          <w:tcPr>
            <w:tcW w:w="60" w:type="dxa"/>
            <w:vAlign w:val="bottom"/>
            <w:tcBorders>
              <w:right w:val="single" w:sz="8" w:color="0000FF"/>
            </w:tcBorders>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5560"/>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73025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580"/>
          </w:cols>
          <w:pgMar w:left="340" w:top="887" w:right="979" w:bottom="1440" w:gutter="0" w:footer="0" w:header="0"/>
        </w:sectPr>
      </w:pPr>
    </w:p>
    <w:bookmarkStart w:id="2" w:name="page3"/>
    <w:bookmarkEnd w:id="2"/>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PART I. FINANCIAL INFORMATION</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1. </w:t>
      </w:r>
      <w:r>
        <w:rPr>
          <w:rFonts w:ascii="Times New Roman" w:cs="Times New Roman" w:eastAsia="Times New Roman" w:hAnsi="Times New Roman"/>
          <w:sz w:val="18"/>
          <w:szCs w:val="18"/>
          <w:b w:val="1"/>
          <w:bCs w:val="1"/>
          <w:i w:val="1"/>
          <w:iCs w:val="1"/>
          <w:color w:val="auto"/>
        </w:rPr>
        <w:t>Financial Statements</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color w:val="auto"/>
        </w:rPr>
        <w:t>(in millions, except per share data)</w:t>
      </w:r>
    </w:p>
    <w:p>
      <w:pPr>
        <w:spacing w:after="0" w:line="25" w:lineRule="exact"/>
        <w:rPr>
          <w:sz w:val="20"/>
          <w:szCs w:val="20"/>
          <w:color w:val="auto"/>
        </w:rPr>
      </w:pPr>
    </w:p>
    <w:tbl>
      <w:tblPr>
        <w:tblLayout w:type="fixed"/>
        <w:tblInd w:w="40" w:type="dxa"/>
        <w:tblCellMar>
          <w:top w:w="0" w:type="dxa"/>
          <w:left w:w="0" w:type="dxa"/>
          <w:bottom w:w="0" w:type="dxa"/>
          <w:right w:w="0" w:type="dxa"/>
        </w:tblCellMar>
      </w:tblPr>
      <w:tr>
        <w:trPr>
          <w:trHeight w:val="190"/>
        </w:trPr>
        <w:tc>
          <w:tcPr>
            <w:tcW w:w="79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50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40" w:type="dxa"/>
            <w:vAlign w:val="bottom"/>
          </w:tcPr>
          <w:p>
            <w:pPr>
              <w:spacing w:after="0"/>
              <w:rPr>
                <w:sz w:val="16"/>
                <w:szCs w:val="16"/>
                <w:color w:val="auto"/>
              </w:rPr>
            </w:pPr>
          </w:p>
        </w:tc>
        <w:tc>
          <w:tcPr>
            <w:tcW w:w="1440" w:type="dxa"/>
            <w:vAlign w:val="bottom"/>
          </w:tcPr>
          <w:p>
            <w:pPr>
              <w:jc w:val="right"/>
              <w:ind w:right="139"/>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23"/>
        </w:trPr>
        <w:tc>
          <w:tcPr>
            <w:tcW w:w="7900" w:type="dxa"/>
            <w:vAlign w:val="bottom"/>
          </w:tcPr>
          <w:p>
            <w:pPr>
              <w:spacing w:after="0"/>
              <w:rPr>
                <w:sz w:val="2"/>
                <w:szCs w:val="2"/>
                <w:color w:val="auto"/>
              </w:rPr>
            </w:pPr>
          </w:p>
        </w:tc>
        <w:tc>
          <w:tcPr>
            <w:tcW w:w="200" w:type="dxa"/>
            <w:vAlign w:val="bottom"/>
          </w:tcPr>
          <w:p>
            <w:pPr>
              <w:spacing w:after="0"/>
              <w:rPr>
                <w:sz w:val="2"/>
                <w:szCs w:val="2"/>
                <w:color w:val="auto"/>
              </w:rPr>
            </w:pPr>
          </w:p>
        </w:tc>
        <w:tc>
          <w:tcPr>
            <w:tcW w:w="150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4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7900" w:type="dxa"/>
            <w:vAlign w:val="bottom"/>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380" w:type="dxa"/>
            <w:vAlign w:val="bottom"/>
            <w:tcBorders>
              <w:top w:val="single" w:sz="8" w:color="auto"/>
            </w:tcBorders>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(Unaudited)</w:t>
            </w:r>
          </w:p>
        </w:tc>
        <w:tc>
          <w:tcPr>
            <w:tcW w:w="120" w:type="dxa"/>
            <w:vAlign w:val="bottom"/>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440" w:type="dxa"/>
            <w:vAlign w:val="bottom"/>
            <w:tcBorders>
              <w:top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22"/>
        </w:trPr>
        <w:tc>
          <w:tcPr>
            <w:tcW w:w="790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Assets:</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Agency securities, at fair value (including pledged securities of $43,261 and $47,601, respectively)</w:t>
            </w:r>
          </w:p>
        </w:tc>
        <w:tc>
          <w:tcPr>
            <w:tcW w:w="2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47,214</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52,396</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Agency securities transferred to consolidated variable interest entities, at fair value (pledged securities)</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184</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208</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Credit risk transfer securities, at fair value (including pledged securities of $471 and $510, respectively)</w:t>
            </w:r>
          </w:p>
        </w:tc>
        <w:tc>
          <w:tcPr>
            <w:tcW w:w="2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885</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974</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Non-Agency securities, at fair value (including pledged securities of $466 and $571, respectively)</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804</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843</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U.S. Treasury securities, at fair value (including pledged securities of $684 and $471, respectively)</w:t>
            </w:r>
          </w:p>
        </w:tc>
        <w:tc>
          <w:tcPr>
            <w:tcW w:w="2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684</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471</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Cash and cash equivalents</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1,004</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998</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Restricted cash</w:t>
            </w:r>
          </w:p>
        </w:tc>
        <w:tc>
          <w:tcPr>
            <w:tcW w:w="2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1,087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527</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Derivative assets, at fair value</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647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317</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Receivable for investment securities sold (including pledged securities of $2,160 and $0, respectively)</w:t>
            </w:r>
          </w:p>
        </w:tc>
        <w:tc>
          <w:tcPr>
            <w:tcW w:w="2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2,317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Receivable under reverse repurchase agreements</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10,645</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10,475</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Goodwill</w:t>
            </w:r>
          </w:p>
        </w:tc>
        <w:tc>
          <w:tcPr>
            <w:tcW w:w="2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526</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526</w:t>
            </w:r>
          </w:p>
        </w:tc>
        <w:tc>
          <w:tcPr>
            <w:tcW w:w="0" w:type="dxa"/>
            <w:vAlign w:val="bottom"/>
          </w:tcPr>
          <w:p>
            <w:pPr>
              <w:spacing w:after="0"/>
              <w:rPr>
                <w:sz w:val="1"/>
                <w:szCs w:val="1"/>
                <w:color w:val="auto"/>
              </w:rPr>
            </w:pPr>
          </w:p>
        </w:tc>
      </w:tr>
      <w:tr>
        <w:trPr>
          <w:trHeight w:val="216"/>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Other assets</w:t>
            </w:r>
          </w:p>
        </w:tc>
        <w:tc>
          <w:tcPr>
            <w:tcW w:w="200" w:type="dxa"/>
            <w:vAlign w:val="bottom"/>
            <w:tcBorders>
              <w:bottom w:val="single" w:sz="8" w:color="auto"/>
            </w:tcBorders>
            <w:shd w:val="clear" w:color="auto" w:fill="CCEEFF"/>
          </w:tcPr>
          <w:p>
            <w:pPr>
              <w:spacing w:after="0"/>
              <w:rPr>
                <w:sz w:val="18"/>
                <w:szCs w:val="18"/>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397</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414</w:t>
            </w:r>
          </w:p>
        </w:tc>
        <w:tc>
          <w:tcPr>
            <w:tcW w:w="0" w:type="dxa"/>
            <w:vAlign w:val="bottom"/>
          </w:tcPr>
          <w:p>
            <w:pPr>
              <w:spacing w:after="0"/>
              <w:rPr>
                <w:sz w:val="1"/>
                <w:szCs w:val="1"/>
                <w:color w:val="auto"/>
              </w:rPr>
            </w:pPr>
          </w:p>
        </w:tc>
      </w:tr>
      <w:tr>
        <w:trPr>
          <w:trHeight w:val="212"/>
        </w:trPr>
        <w:tc>
          <w:tcPr>
            <w:tcW w:w="7900" w:type="dxa"/>
            <w:vAlign w:val="bottom"/>
          </w:tcPr>
          <w:p>
            <w:pPr>
              <w:ind w:left="540"/>
              <w:spacing w:after="0"/>
              <w:rPr>
                <w:sz w:val="20"/>
                <w:szCs w:val="20"/>
                <w:color w:val="auto"/>
              </w:rPr>
            </w:pPr>
            <w:r>
              <w:rPr>
                <w:rFonts w:ascii="Times New Roman" w:cs="Times New Roman" w:eastAsia="Times New Roman" w:hAnsi="Times New Roman"/>
                <w:sz w:val="16"/>
                <w:szCs w:val="16"/>
                <w:color w:val="auto"/>
              </w:rPr>
              <w:t>Total assets</w:t>
            </w:r>
          </w:p>
        </w:tc>
        <w:tc>
          <w:tcPr>
            <w:tcW w:w="200" w:type="dxa"/>
            <w:vAlign w:val="bottom"/>
            <w:tcBorders>
              <w:bottom w:val="single" w:sz="8" w:color="auto"/>
            </w:tcBorders>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66,394</w:t>
            </w:r>
          </w:p>
        </w:tc>
        <w:tc>
          <w:tcPr>
            <w:tcW w:w="12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68,149</w:t>
            </w:r>
          </w:p>
        </w:tc>
        <w:tc>
          <w:tcPr>
            <w:tcW w:w="0" w:type="dxa"/>
            <w:vAlign w:val="bottom"/>
          </w:tcPr>
          <w:p>
            <w:pPr>
              <w:spacing w:after="0"/>
              <w:rPr>
                <w:sz w:val="1"/>
                <w:szCs w:val="1"/>
                <w:color w:val="auto"/>
              </w:rPr>
            </w:pPr>
          </w:p>
        </w:tc>
      </w:tr>
      <w:tr>
        <w:trPr>
          <w:trHeight w:val="20"/>
        </w:trPr>
        <w:tc>
          <w:tcPr>
            <w:tcW w:w="79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900" w:type="dxa"/>
            <w:vAlign w:val="bottom"/>
            <w:shd w:val="clear" w:color="auto" w:fill="CCEEFF"/>
          </w:tcPr>
          <w:p>
            <w:pPr>
              <w:spacing w:after="0"/>
              <w:rPr>
                <w:sz w:val="20"/>
                <w:szCs w:val="20"/>
                <w:color w:val="auto"/>
              </w:rPr>
            </w:pPr>
            <w:r>
              <w:rPr>
                <w:rFonts w:ascii="Times New Roman" w:cs="Times New Roman" w:eastAsia="Times New Roman" w:hAnsi="Times New Roman"/>
                <w:sz w:val="16"/>
                <w:szCs w:val="16"/>
                <w:b w:val="1"/>
                <w:bCs w:val="1"/>
                <w:color w:val="auto"/>
              </w:rPr>
              <w:t>Liabilities:</w:t>
            </w:r>
          </w:p>
        </w:tc>
        <w:tc>
          <w:tcPr>
            <w:tcW w:w="200" w:type="dxa"/>
            <w:vAlign w:val="bottom"/>
            <w:shd w:val="clear" w:color="auto" w:fill="CCEEFF"/>
          </w:tcPr>
          <w:p>
            <w:pPr>
              <w:spacing w:after="0"/>
              <w:rPr>
                <w:sz w:val="15"/>
                <w:szCs w:val="15"/>
                <w:color w:val="auto"/>
              </w:rPr>
            </w:pPr>
          </w:p>
        </w:tc>
        <w:tc>
          <w:tcPr>
            <w:tcW w:w="138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Repurchase agreements</w:t>
            </w:r>
          </w:p>
        </w:tc>
        <w:tc>
          <w:tcPr>
            <w:tcW w:w="200" w:type="dxa"/>
            <w:vAlign w:val="bottom"/>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44,715</w:t>
            </w:r>
          </w:p>
        </w:tc>
        <w:tc>
          <w:tcPr>
            <w:tcW w:w="12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47,381</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Debt of consolidated variable interest entities, at fair value</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116</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126</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Payable for investment securities purchased</w:t>
            </w:r>
          </w:p>
        </w:tc>
        <w:tc>
          <w:tcPr>
            <w:tcW w:w="2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857</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Derivative liabilities, at fair value</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668</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86</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Dividends payable</w:t>
            </w:r>
          </w:p>
        </w:tc>
        <w:tc>
          <w:tcPr>
            <w:tcW w:w="2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Obligation to return securities borrowed under reverse repurchase agreements, at fair value</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10,277</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9,697</w:t>
            </w:r>
          </w:p>
        </w:tc>
        <w:tc>
          <w:tcPr>
            <w:tcW w:w="0" w:type="dxa"/>
            <w:vAlign w:val="bottom"/>
          </w:tcPr>
          <w:p>
            <w:pPr>
              <w:spacing w:after="0"/>
              <w:rPr>
                <w:sz w:val="1"/>
                <w:szCs w:val="1"/>
                <w:color w:val="auto"/>
              </w:rPr>
            </w:pPr>
          </w:p>
        </w:tc>
      </w:tr>
      <w:tr>
        <w:trPr>
          <w:trHeight w:val="213"/>
        </w:trPr>
        <w:tc>
          <w:tcPr>
            <w:tcW w:w="7900" w:type="dxa"/>
            <w:vAlign w:val="bottom"/>
            <w:tcBorders>
              <w:bottom w:val="single" w:sz="8" w:color="CCEEFF"/>
            </w:tcBorders>
          </w:tcPr>
          <w:p>
            <w:pPr>
              <w:ind w:left="200"/>
              <w:spacing w:after="0"/>
              <w:rPr>
                <w:sz w:val="20"/>
                <w:szCs w:val="20"/>
                <w:color w:val="auto"/>
              </w:rPr>
            </w:pPr>
            <w:r>
              <w:rPr>
                <w:rFonts w:ascii="Times New Roman" w:cs="Times New Roman" w:eastAsia="Times New Roman" w:hAnsi="Times New Roman"/>
                <w:sz w:val="16"/>
                <w:szCs w:val="16"/>
                <w:color w:val="auto"/>
              </w:rPr>
              <w:t>Accounts payable and other liabilities</w:t>
            </w:r>
          </w:p>
        </w:tc>
        <w:tc>
          <w:tcPr>
            <w:tcW w:w="200" w:type="dxa"/>
            <w:vAlign w:val="bottom"/>
            <w:tcBorders>
              <w:bottom w:val="single" w:sz="8" w:color="auto"/>
            </w:tcBorders>
          </w:tcPr>
          <w:p>
            <w:pPr>
              <w:spacing w:after="0"/>
              <w:rPr>
                <w:sz w:val="18"/>
                <w:szCs w:val="18"/>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743</w:t>
            </w:r>
          </w:p>
        </w:tc>
        <w:tc>
          <w:tcPr>
            <w:tcW w:w="1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400</w:t>
            </w:r>
          </w:p>
        </w:tc>
        <w:tc>
          <w:tcPr>
            <w:tcW w:w="0" w:type="dxa"/>
            <w:vAlign w:val="bottom"/>
          </w:tcPr>
          <w:p>
            <w:pPr>
              <w:spacing w:after="0"/>
              <w:rPr>
                <w:sz w:val="1"/>
                <w:szCs w:val="1"/>
                <w:color w:val="auto"/>
              </w:rPr>
            </w:pPr>
          </w:p>
        </w:tc>
      </w:tr>
      <w:tr>
        <w:trPr>
          <w:trHeight w:val="212"/>
        </w:trPr>
        <w:tc>
          <w:tcPr>
            <w:tcW w:w="790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Total liabilities</w:t>
            </w:r>
          </w:p>
        </w:tc>
        <w:tc>
          <w:tcPr>
            <w:tcW w:w="200" w:type="dxa"/>
            <w:vAlign w:val="bottom"/>
            <w:tcBorders>
              <w:bottom w:val="single" w:sz="8" w:color="auto"/>
            </w:tcBorders>
            <w:shd w:val="clear" w:color="auto" w:fill="CCEEFF"/>
          </w:tcPr>
          <w:p>
            <w:pPr>
              <w:spacing w:after="0"/>
              <w:rPr>
                <w:sz w:val="18"/>
                <w:szCs w:val="18"/>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57,464</w:t>
            </w:r>
          </w:p>
        </w:tc>
        <w:tc>
          <w:tcPr>
            <w:tcW w:w="12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57,858</w:t>
            </w:r>
          </w:p>
        </w:tc>
        <w:tc>
          <w:tcPr>
            <w:tcW w:w="0" w:type="dxa"/>
            <w:vAlign w:val="bottom"/>
          </w:tcPr>
          <w:p>
            <w:pPr>
              <w:spacing w:after="0"/>
              <w:rPr>
                <w:sz w:val="1"/>
                <w:szCs w:val="1"/>
                <w:color w:val="auto"/>
              </w:rPr>
            </w:pPr>
          </w:p>
        </w:tc>
      </w:tr>
      <w:tr>
        <w:trPr>
          <w:trHeight w:val="194"/>
        </w:trPr>
        <w:tc>
          <w:tcPr>
            <w:tcW w:w="7900" w:type="dxa"/>
            <w:vAlign w:val="bottom"/>
          </w:tcPr>
          <w:p>
            <w:pPr>
              <w:spacing w:after="0"/>
              <w:rPr>
                <w:sz w:val="20"/>
                <w:szCs w:val="20"/>
                <w:color w:val="auto"/>
              </w:rPr>
            </w:pPr>
            <w:r>
              <w:rPr>
                <w:rFonts w:ascii="Times New Roman" w:cs="Times New Roman" w:eastAsia="Times New Roman" w:hAnsi="Times New Roman"/>
                <w:sz w:val="16"/>
                <w:szCs w:val="16"/>
                <w:b w:val="1"/>
                <w:bCs w:val="1"/>
                <w:color w:val="auto"/>
              </w:rPr>
              <w:t>Stockholders' equity:</w:t>
            </w:r>
          </w:p>
        </w:tc>
        <w:tc>
          <w:tcPr>
            <w:tcW w:w="20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8"/>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Preferred Stock - aggregate liquidation preference of $1,538</w:t>
            </w:r>
          </w:p>
        </w:tc>
        <w:tc>
          <w:tcPr>
            <w:tcW w:w="200" w:type="dxa"/>
            <w:vAlign w:val="bottom"/>
            <w:shd w:val="clear" w:color="auto" w:fill="CCEEFF"/>
          </w:tcPr>
          <w:p>
            <w:pPr>
              <w:spacing w:after="0"/>
              <w:rPr>
                <w:sz w:val="18"/>
                <w:szCs w:val="18"/>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1,489</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1,489</w:t>
            </w:r>
          </w:p>
        </w:tc>
        <w:tc>
          <w:tcPr>
            <w:tcW w:w="0" w:type="dxa"/>
            <w:vAlign w:val="bottom"/>
          </w:tcPr>
          <w:p>
            <w:pPr>
              <w:spacing w:after="0"/>
              <w:rPr>
                <w:sz w:val="1"/>
                <w:szCs w:val="1"/>
                <w:color w:val="auto"/>
              </w:rPr>
            </w:pPr>
          </w:p>
        </w:tc>
      </w:tr>
      <w:tr>
        <w:trPr>
          <w:trHeight w:val="162"/>
        </w:trPr>
        <w:tc>
          <w:tcPr>
            <w:tcW w:w="7900" w:type="dxa"/>
            <w:vAlign w:val="bottom"/>
          </w:tcPr>
          <w:p>
            <w:pPr>
              <w:ind w:left="200"/>
              <w:spacing w:after="0" w:line="162" w:lineRule="exact"/>
              <w:rPr>
                <w:sz w:val="20"/>
                <w:szCs w:val="20"/>
                <w:color w:val="auto"/>
              </w:rPr>
            </w:pPr>
            <w:r>
              <w:rPr>
                <w:rFonts w:ascii="Times New Roman" w:cs="Times New Roman" w:eastAsia="Times New Roman" w:hAnsi="Times New Roman"/>
                <w:sz w:val="16"/>
                <w:szCs w:val="16"/>
                <w:color w:val="auto"/>
              </w:rPr>
              <w:t>Common stock - $0.01 par value; 1,500 shares authorized; 523.3 and 522.2 shares issued and outstanding,</w:t>
            </w:r>
          </w:p>
        </w:tc>
        <w:tc>
          <w:tcPr>
            <w:tcW w:w="200" w:type="dxa"/>
            <w:vAlign w:val="bottom"/>
          </w:tcPr>
          <w:p>
            <w:pPr>
              <w:spacing w:after="0"/>
              <w:rPr>
                <w:sz w:val="14"/>
                <w:szCs w:val="14"/>
                <w:color w:val="auto"/>
              </w:rPr>
            </w:pPr>
          </w:p>
        </w:tc>
        <w:tc>
          <w:tcPr>
            <w:tcW w:w="138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w:t>
            </w: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44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5</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respectively</w:t>
            </w:r>
          </w:p>
        </w:tc>
        <w:tc>
          <w:tcPr>
            <w:tcW w:w="200" w:type="dxa"/>
            <w:vAlign w:val="bottom"/>
          </w:tcPr>
          <w:p>
            <w:pPr>
              <w:spacing w:after="0"/>
              <w:rPr>
                <w:sz w:val="18"/>
                <w:szCs w:val="18"/>
                <w:color w:val="auto"/>
              </w:rPr>
            </w:pPr>
          </w:p>
        </w:tc>
        <w:tc>
          <w:tcPr>
            <w:tcW w:w="1380" w:type="dxa"/>
            <w:vAlign w:val="bottom"/>
            <w:vMerge w:val="continue"/>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Additional paid-in capital</w:t>
            </w:r>
          </w:p>
        </w:tc>
        <w:tc>
          <w:tcPr>
            <w:tcW w:w="200" w:type="dxa"/>
            <w:vAlign w:val="bottom"/>
            <w:shd w:val="clear" w:color="auto" w:fill="CCEEFF"/>
          </w:tcPr>
          <w:p>
            <w:pPr>
              <w:spacing w:after="0"/>
              <w:rPr>
                <w:sz w:val="19"/>
                <w:szCs w:val="19"/>
                <w:color w:val="auto"/>
              </w:rPr>
            </w:pPr>
          </w:p>
        </w:tc>
        <w:tc>
          <w:tcPr>
            <w:tcW w:w="13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13,704</w:t>
            </w:r>
          </w:p>
        </w:tc>
        <w:tc>
          <w:tcPr>
            <w:tcW w:w="120" w:type="dxa"/>
            <w:vAlign w:val="bottom"/>
            <w:shd w:val="clear" w:color="auto" w:fill="CCEEFF"/>
          </w:tcPr>
          <w:p>
            <w:pPr>
              <w:spacing w:after="0"/>
              <w:rPr>
                <w:sz w:val="19"/>
                <w:szCs w:val="19"/>
                <w:color w:val="auto"/>
              </w:rPr>
            </w:pPr>
          </w:p>
        </w:tc>
        <w:tc>
          <w:tcPr>
            <w:tcW w:w="140" w:type="dxa"/>
            <w:vAlign w:val="bottom"/>
            <w:shd w:val="clear" w:color="auto" w:fill="CCEEFF"/>
          </w:tcPr>
          <w:p>
            <w:pPr>
              <w:spacing w:after="0"/>
              <w:rPr>
                <w:sz w:val="19"/>
                <w:szCs w:val="19"/>
                <w:color w:val="auto"/>
              </w:rPr>
            </w:pPr>
          </w:p>
        </w:tc>
        <w:tc>
          <w:tcPr>
            <w:tcW w:w="14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13,710</w:t>
            </w:r>
          </w:p>
        </w:tc>
        <w:tc>
          <w:tcPr>
            <w:tcW w:w="0" w:type="dxa"/>
            <w:vAlign w:val="bottom"/>
          </w:tcPr>
          <w:p>
            <w:pPr>
              <w:spacing w:after="0"/>
              <w:rPr>
                <w:sz w:val="1"/>
                <w:szCs w:val="1"/>
                <w:color w:val="auto"/>
              </w:rPr>
            </w:pPr>
          </w:p>
        </w:tc>
      </w:tr>
      <w:tr>
        <w:trPr>
          <w:trHeight w:val="213"/>
        </w:trPr>
        <w:tc>
          <w:tcPr>
            <w:tcW w:w="7900" w:type="dxa"/>
            <w:vAlign w:val="bottom"/>
          </w:tcPr>
          <w:p>
            <w:pPr>
              <w:ind w:left="200"/>
              <w:spacing w:after="0"/>
              <w:rPr>
                <w:sz w:val="20"/>
                <w:szCs w:val="20"/>
                <w:color w:val="auto"/>
              </w:rPr>
            </w:pPr>
            <w:r>
              <w:rPr>
                <w:rFonts w:ascii="Times New Roman" w:cs="Times New Roman" w:eastAsia="Times New Roman" w:hAnsi="Times New Roman"/>
                <w:sz w:val="16"/>
                <w:szCs w:val="16"/>
                <w:color w:val="auto"/>
              </w:rPr>
              <w:t>Retained deficit</w:t>
            </w:r>
          </w:p>
        </w:tc>
        <w:tc>
          <w:tcPr>
            <w:tcW w:w="200" w:type="dxa"/>
            <w:vAlign w:val="bottom"/>
          </w:tcPr>
          <w:p>
            <w:pPr>
              <w:spacing w:after="0"/>
              <w:rPr>
                <w:sz w:val="18"/>
                <w:szCs w:val="18"/>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(6,078)</w:t>
            </w: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(5,214)</w:t>
            </w:r>
          </w:p>
        </w:tc>
        <w:tc>
          <w:tcPr>
            <w:tcW w:w="0" w:type="dxa"/>
            <w:vAlign w:val="bottom"/>
          </w:tcPr>
          <w:p>
            <w:pPr>
              <w:spacing w:after="0"/>
              <w:rPr>
                <w:sz w:val="1"/>
                <w:szCs w:val="1"/>
                <w:color w:val="auto"/>
              </w:rPr>
            </w:pPr>
          </w:p>
        </w:tc>
      </w:tr>
      <w:tr>
        <w:trPr>
          <w:trHeight w:val="219"/>
        </w:trPr>
        <w:tc>
          <w:tcPr>
            <w:tcW w:w="7900" w:type="dxa"/>
            <w:vAlign w:val="bottom"/>
            <w:shd w:val="clear" w:color="auto" w:fill="CCEEFF"/>
          </w:tcPr>
          <w:p>
            <w:pPr>
              <w:ind w:left="200"/>
              <w:spacing w:after="0"/>
              <w:rPr>
                <w:sz w:val="20"/>
                <w:szCs w:val="20"/>
                <w:color w:val="auto"/>
              </w:rPr>
            </w:pPr>
            <w:r>
              <w:rPr>
                <w:rFonts w:ascii="Times New Roman" w:cs="Times New Roman" w:eastAsia="Times New Roman" w:hAnsi="Times New Roman"/>
                <w:sz w:val="16"/>
                <w:szCs w:val="16"/>
                <w:color w:val="auto"/>
              </w:rPr>
              <w:t>Accumulated other comprehensive income</w:t>
            </w:r>
          </w:p>
        </w:tc>
        <w:tc>
          <w:tcPr>
            <w:tcW w:w="200" w:type="dxa"/>
            <w:vAlign w:val="bottom"/>
            <w:tcBorders>
              <w:bottom w:val="single" w:sz="8" w:color="auto"/>
            </w:tcBorders>
            <w:shd w:val="clear" w:color="auto" w:fill="CCEEFF"/>
          </w:tcPr>
          <w:p>
            <w:pPr>
              <w:spacing w:after="0"/>
              <w:rPr>
                <w:sz w:val="19"/>
                <w:szCs w:val="19"/>
                <w:color w:val="auto"/>
              </w:rPr>
            </w:pP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(190)</w:t>
            </w:r>
          </w:p>
        </w:tc>
        <w:tc>
          <w:tcPr>
            <w:tcW w:w="12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301</w:t>
            </w:r>
          </w:p>
        </w:tc>
        <w:tc>
          <w:tcPr>
            <w:tcW w:w="0" w:type="dxa"/>
            <w:vAlign w:val="bottom"/>
          </w:tcPr>
          <w:p>
            <w:pPr>
              <w:spacing w:after="0"/>
              <w:rPr>
                <w:sz w:val="1"/>
                <w:szCs w:val="1"/>
                <w:color w:val="auto"/>
              </w:rPr>
            </w:pPr>
          </w:p>
        </w:tc>
      </w:tr>
      <w:tr>
        <w:trPr>
          <w:trHeight w:val="207"/>
        </w:trPr>
        <w:tc>
          <w:tcPr>
            <w:tcW w:w="7900" w:type="dxa"/>
            <w:vAlign w:val="bottom"/>
            <w:tcBorders>
              <w:bottom w:val="single" w:sz="8" w:color="CCEEFF"/>
            </w:tcBorders>
          </w:tcPr>
          <w:p>
            <w:pPr>
              <w:ind w:left="540"/>
              <w:spacing w:after="0"/>
              <w:rPr>
                <w:sz w:val="20"/>
                <w:szCs w:val="20"/>
                <w:color w:val="auto"/>
              </w:rPr>
            </w:pPr>
            <w:r>
              <w:rPr>
                <w:rFonts w:ascii="Times New Roman" w:cs="Times New Roman" w:eastAsia="Times New Roman" w:hAnsi="Times New Roman"/>
                <w:sz w:val="16"/>
                <w:szCs w:val="16"/>
                <w:color w:val="auto"/>
              </w:rPr>
              <w:t>Total stockholders' equity</w:t>
            </w:r>
          </w:p>
        </w:tc>
        <w:tc>
          <w:tcPr>
            <w:tcW w:w="200" w:type="dxa"/>
            <w:vAlign w:val="bottom"/>
            <w:tcBorders>
              <w:bottom w:val="single" w:sz="8" w:color="auto"/>
            </w:tcBorders>
          </w:tcPr>
          <w:p>
            <w:pPr>
              <w:spacing w:after="0"/>
              <w:rPr>
                <w:sz w:val="17"/>
                <w:szCs w:val="17"/>
                <w:color w:val="auto"/>
              </w:rPr>
            </w:pPr>
          </w:p>
        </w:tc>
        <w:tc>
          <w:tcPr>
            <w:tcW w:w="13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8,930</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4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10,291</w:t>
            </w:r>
          </w:p>
        </w:tc>
        <w:tc>
          <w:tcPr>
            <w:tcW w:w="0" w:type="dxa"/>
            <w:vAlign w:val="bottom"/>
          </w:tcPr>
          <w:p>
            <w:pPr>
              <w:spacing w:after="0"/>
              <w:rPr>
                <w:sz w:val="1"/>
                <w:szCs w:val="1"/>
                <w:color w:val="auto"/>
              </w:rPr>
            </w:pPr>
          </w:p>
        </w:tc>
      </w:tr>
      <w:tr>
        <w:trPr>
          <w:trHeight w:val="237"/>
        </w:trPr>
        <w:tc>
          <w:tcPr>
            <w:tcW w:w="7900" w:type="dxa"/>
            <w:vAlign w:val="bottom"/>
            <w:tcBorders>
              <w:bottom w:val="single" w:sz="8" w:color="CCEEFF"/>
            </w:tcBorders>
            <w:shd w:val="clear" w:color="auto" w:fill="CCEEFF"/>
          </w:tcPr>
          <w:p>
            <w:pPr>
              <w:ind w:left="540"/>
              <w:spacing w:after="0"/>
              <w:rPr>
                <w:sz w:val="20"/>
                <w:szCs w:val="20"/>
                <w:color w:val="auto"/>
              </w:rPr>
            </w:pPr>
            <w:r>
              <w:rPr>
                <w:rFonts w:ascii="Times New Roman" w:cs="Times New Roman" w:eastAsia="Times New Roman" w:hAnsi="Times New Roman"/>
                <w:sz w:val="16"/>
                <w:szCs w:val="16"/>
                <w:color w:val="auto"/>
              </w:rPr>
              <w:t>Total liabilities and stockholders' equity</w:t>
            </w:r>
          </w:p>
        </w:tc>
        <w:tc>
          <w:tcPr>
            <w:tcW w:w="200" w:type="dxa"/>
            <w:vAlign w:val="bottom"/>
            <w:tcBorders>
              <w:bottom w:val="single" w:sz="8" w:color="auto"/>
            </w:tcBorders>
            <w:shd w:val="clear" w:color="auto" w:fill="CCEEFF"/>
          </w:tcPr>
          <w:p>
            <w:pPr>
              <w:jc w:val="right"/>
              <w:ind w:right="39"/>
              <w:spacing w:after="0"/>
              <w:rPr>
                <w:sz w:val="20"/>
                <w:szCs w:val="20"/>
                <w:color w:val="auto"/>
              </w:rPr>
            </w:pPr>
            <w:r>
              <w:rPr>
                <w:rFonts w:ascii="Times New Roman" w:cs="Times New Roman" w:eastAsia="Times New Roman" w:hAnsi="Times New Roman"/>
                <w:sz w:val="16"/>
                <w:szCs w:val="16"/>
                <w:color w:val="auto"/>
                <w:w w:val="74"/>
              </w:rPr>
              <w:t>$</w:t>
            </w:r>
          </w:p>
        </w:tc>
        <w:tc>
          <w:tcPr>
            <w:tcW w:w="13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66,394</w:t>
            </w:r>
          </w:p>
        </w:tc>
        <w:tc>
          <w:tcPr>
            <w:tcW w:w="120" w:type="dxa"/>
            <w:vAlign w:val="bottom"/>
            <w:tcBorders>
              <w:bottom w:val="single" w:sz="8" w:color="CCEEFF"/>
            </w:tcBorders>
            <w:shd w:val="clear" w:color="auto" w:fill="CCEEFF"/>
          </w:tcPr>
          <w:p>
            <w:pPr>
              <w:spacing w:after="0"/>
              <w:rPr>
                <w:sz w:val="20"/>
                <w:szCs w:val="20"/>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68,149</w:t>
            </w:r>
          </w:p>
        </w:tc>
        <w:tc>
          <w:tcPr>
            <w:tcW w:w="0" w:type="dxa"/>
            <w:vAlign w:val="bottom"/>
          </w:tcPr>
          <w:p>
            <w:pPr>
              <w:spacing w:after="0"/>
              <w:rPr>
                <w:sz w:val="1"/>
                <w:szCs w:val="1"/>
                <w:color w:val="auto"/>
              </w:rPr>
            </w:pPr>
          </w:p>
        </w:tc>
      </w:tr>
      <w:tr>
        <w:trPr>
          <w:trHeight w:val="20"/>
        </w:trPr>
        <w:tc>
          <w:tcPr>
            <w:tcW w:w="79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887" w:right="359" w:bottom="1440" w:gutter="0" w:footer="0" w:header="0"/>
        </w:sectPr>
      </w:pPr>
    </w:p>
    <w:bookmarkStart w:id="3" w:name="page4"/>
    <w:bookmarkEnd w:id="3"/>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3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CONSOLIDATED STATEMENTS OF COMPREHENSIVE INCOME</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(in millions, except per share data)</w:t>
      </w:r>
    </w:p>
    <w:p>
      <w:pPr>
        <w:spacing w:after="0" w:line="221" w:lineRule="exact"/>
        <w:rPr>
          <w:sz w:val="20"/>
          <w:szCs w:val="20"/>
          <w:color w:val="auto"/>
        </w:rPr>
      </w:pPr>
    </w:p>
    <w:p>
      <w:pPr>
        <w:jc w:val="center"/>
        <w:ind w:left="7540"/>
        <w:spacing w:after="0"/>
        <w:rPr>
          <w:sz w:val="20"/>
          <w:szCs w:val="20"/>
          <w:color w:val="auto"/>
        </w:rPr>
      </w:pPr>
      <w:r>
        <w:rPr>
          <w:rFonts w:ascii="Times New Roman" w:cs="Times New Roman" w:eastAsia="Times New Roman" w:hAnsi="Times New Roman"/>
          <w:sz w:val="16"/>
          <w:szCs w:val="16"/>
          <w:b w:val="1"/>
          <w:bCs w:val="1"/>
          <w:color w:val="auto"/>
        </w:rPr>
        <w:t>Three Months Ended March</w:t>
      </w:r>
    </w:p>
    <w:p>
      <w:pPr>
        <w:jc w:val="center"/>
        <w:ind w:left="7540"/>
        <w:spacing w:after="0"/>
        <w:rPr>
          <w:sz w:val="20"/>
          <w:szCs w:val="20"/>
          <w:color w:val="auto"/>
        </w:rPr>
      </w:pPr>
      <w:r>
        <w:rPr>
          <w:rFonts w:ascii="Times New Roman" w:cs="Times New Roman" w:eastAsia="Times New Roman" w:hAnsi="Times New Roman"/>
          <w:sz w:val="16"/>
          <w:szCs w:val="16"/>
          <w:b w:val="1"/>
          <w:bCs w:val="1"/>
          <w:color w:val="auto"/>
        </w:rPr>
        <w:t>31,</w: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214"/>
        </w:trPr>
        <w:tc>
          <w:tcPr>
            <w:tcW w:w="756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210"/>
              <w:spacing w:after="0"/>
              <w:rPr>
                <w:sz w:val="20"/>
                <w:szCs w:val="20"/>
                <w:color w:val="auto"/>
              </w:rPr>
            </w:pPr>
            <w:r>
              <w:rPr>
                <w:rFonts w:ascii="Times New Roman" w:cs="Times New Roman" w:eastAsia="Times New Roman" w:hAnsi="Times New Roman"/>
                <w:sz w:val="16"/>
                <w:szCs w:val="16"/>
                <w:b w:val="1"/>
                <w:bCs w:val="1"/>
                <w:color w:val="auto"/>
              </w:rPr>
              <w:t>2022</w:t>
            </w:r>
          </w:p>
        </w:tc>
        <w:tc>
          <w:tcPr>
            <w:tcW w:w="120" w:type="dxa"/>
            <w:vAlign w:val="bottom"/>
            <w:tcBorders>
              <w:top w:val="single" w:sz="8" w:color="auto"/>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230"/>
              <w:spacing w:after="0"/>
              <w:rPr>
                <w:sz w:val="20"/>
                <w:szCs w:val="20"/>
                <w:color w:val="auto"/>
              </w:rPr>
            </w:pPr>
            <w:r>
              <w:rPr>
                <w:rFonts w:ascii="Times New Roman" w:cs="Times New Roman" w:eastAsia="Times New Roman" w:hAnsi="Times New Roman"/>
                <w:sz w:val="16"/>
                <w:szCs w:val="16"/>
                <w:b w:val="1"/>
                <w:bCs w:val="1"/>
                <w:color w:val="auto"/>
              </w:rPr>
              <w:t>2021</w:t>
            </w:r>
          </w:p>
        </w:tc>
      </w:tr>
      <w:tr>
        <w:trPr>
          <w:trHeight w:val="211"/>
        </w:trPr>
        <w:tc>
          <w:tcPr>
            <w:tcW w:w="7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Interest income:</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29"/>
        </w:trPr>
        <w:tc>
          <w:tcPr>
            <w:tcW w:w="75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Interest income</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475</w:t>
            </w:r>
          </w:p>
        </w:tc>
        <w:tc>
          <w:tcPr>
            <w:tcW w:w="12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557</w:t>
            </w:r>
          </w:p>
        </w:tc>
      </w:tr>
      <w:tr>
        <w:trPr>
          <w:trHeight w:val="230"/>
        </w:trPr>
        <w:tc>
          <w:tcPr>
            <w:tcW w:w="75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Interest expense</w:t>
            </w: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29</w:t>
            </w:r>
          </w:p>
        </w:tc>
      </w:tr>
      <w:tr>
        <w:trPr>
          <w:trHeight w:val="223"/>
        </w:trPr>
        <w:tc>
          <w:tcPr>
            <w:tcW w:w="7560" w:type="dxa"/>
            <w:vAlign w:val="bottom"/>
            <w:tcBorders>
              <w:bottom w:val="single" w:sz="8" w:color="CCEEFF"/>
            </w:tcBorders>
          </w:tcPr>
          <w:p>
            <w:pPr>
              <w:ind w:left="660"/>
              <w:spacing w:after="0"/>
              <w:rPr>
                <w:sz w:val="20"/>
                <w:szCs w:val="20"/>
                <w:color w:val="auto"/>
              </w:rPr>
            </w:pPr>
            <w:r>
              <w:rPr>
                <w:rFonts w:ascii="Times New Roman" w:cs="Times New Roman" w:eastAsia="Times New Roman" w:hAnsi="Times New Roman"/>
                <w:sz w:val="18"/>
                <w:szCs w:val="18"/>
                <w:color w:val="auto"/>
              </w:rPr>
              <w:t>Net interest income</w:t>
            </w:r>
          </w:p>
        </w:tc>
        <w:tc>
          <w:tcPr>
            <w:tcW w:w="2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448</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528</w:t>
            </w:r>
          </w:p>
        </w:tc>
      </w:tr>
      <w:tr>
        <w:trPr>
          <w:trHeight w:val="210"/>
        </w:trPr>
        <w:tc>
          <w:tcPr>
            <w:tcW w:w="75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Other gain (loss), net:</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r>
      <w:tr>
        <w:trPr>
          <w:trHeight w:val="229"/>
        </w:trPr>
        <w:tc>
          <w:tcPr>
            <w:tcW w:w="7560" w:type="dxa"/>
            <w:vAlign w:val="bottom"/>
          </w:tcPr>
          <w:p>
            <w:pPr>
              <w:ind w:left="340"/>
              <w:spacing w:after="0"/>
              <w:rPr>
                <w:sz w:val="20"/>
                <w:szCs w:val="20"/>
                <w:color w:val="auto"/>
              </w:rPr>
            </w:pPr>
            <w:r>
              <w:rPr>
                <w:rFonts w:ascii="Times New Roman" w:cs="Times New Roman" w:eastAsia="Times New Roman" w:hAnsi="Times New Roman"/>
                <w:sz w:val="18"/>
                <w:szCs w:val="18"/>
                <w:color w:val="auto"/>
              </w:rPr>
              <w:t>Loss on sale of investment securities, net</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(342)</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w:t>
            </w:r>
          </w:p>
        </w:tc>
      </w:tr>
      <w:tr>
        <w:trPr>
          <w:trHeight w:val="229"/>
        </w:trPr>
        <w:tc>
          <w:tcPr>
            <w:tcW w:w="75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Unrealized loss on investment securities measured at fair value through net income, net</w:t>
            </w:r>
          </w:p>
        </w:tc>
        <w:tc>
          <w:tcPr>
            <w:tcW w:w="2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(2,532)</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(955)</w:t>
            </w:r>
          </w:p>
        </w:tc>
      </w:tr>
      <w:tr>
        <w:trPr>
          <w:trHeight w:val="230"/>
        </w:trPr>
        <w:tc>
          <w:tcPr>
            <w:tcW w:w="7560" w:type="dxa"/>
            <w:vAlign w:val="bottom"/>
            <w:tcBorders>
              <w:bottom w:val="single" w:sz="8" w:color="CCEEFF"/>
            </w:tcBorders>
          </w:tcPr>
          <w:p>
            <w:pPr>
              <w:ind w:left="340"/>
              <w:spacing w:after="0"/>
              <w:rPr>
                <w:sz w:val="20"/>
                <w:szCs w:val="20"/>
                <w:color w:val="auto"/>
              </w:rPr>
            </w:pPr>
            <w:r>
              <w:rPr>
                <w:rFonts w:ascii="Times New Roman" w:cs="Times New Roman" w:eastAsia="Times New Roman" w:hAnsi="Times New Roman"/>
                <w:sz w:val="18"/>
                <w:szCs w:val="18"/>
                <w:color w:val="auto"/>
              </w:rPr>
              <w:t>Gain on derivative instruments and other securities, net</w:t>
            </w:r>
          </w:p>
        </w:tc>
        <w:tc>
          <w:tcPr>
            <w:tcW w:w="2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1,796</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1,439</w:t>
            </w:r>
          </w:p>
        </w:tc>
      </w:tr>
      <w:tr>
        <w:trPr>
          <w:trHeight w:val="223"/>
        </w:trPr>
        <w:tc>
          <w:tcPr>
            <w:tcW w:w="756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Total other gain (loss), net:</w:t>
            </w: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(1,078)</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471</w:t>
            </w:r>
          </w:p>
        </w:tc>
      </w:tr>
      <w:tr>
        <w:trPr>
          <w:trHeight w:val="210"/>
        </w:trPr>
        <w:tc>
          <w:tcPr>
            <w:tcW w:w="7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Expenses:</w:t>
            </w:r>
          </w:p>
        </w:tc>
        <w:tc>
          <w:tcPr>
            <w:tcW w:w="20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40" w:type="dxa"/>
            <w:vAlign w:val="bottom"/>
          </w:tcPr>
          <w:p>
            <w:pPr>
              <w:spacing w:after="0"/>
              <w:rPr>
                <w:sz w:val="18"/>
                <w:szCs w:val="18"/>
                <w:color w:val="auto"/>
              </w:rPr>
            </w:pPr>
          </w:p>
        </w:tc>
      </w:tr>
      <w:tr>
        <w:trPr>
          <w:trHeight w:val="229"/>
        </w:trPr>
        <w:tc>
          <w:tcPr>
            <w:tcW w:w="75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Compensation and benefits</w:t>
            </w:r>
          </w:p>
        </w:tc>
        <w:tc>
          <w:tcPr>
            <w:tcW w:w="20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p>
        </w:tc>
        <w:tc>
          <w:tcPr>
            <w:tcW w:w="12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w:t>
            </w:r>
          </w:p>
        </w:tc>
      </w:tr>
      <w:tr>
        <w:trPr>
          <w:trHeight w:val="230"/>
        </w:trPr>
        <w:tc>
          <w:tcPr>
            <w:tcW w:w="7560" w:type="dxa"/>
            <w:vAlign w:val="bottom"/>
            <w:tcBorders>
              <w:bottom w:val="single" w:sz="8" w:color="CCEEFF"/>
            </w:tcBorders>
          </w:tcPr>
          <w:p>
            <w:pPr>
              <w:ind w:left="340"/>
              <w:spacing w:after="0"/>
              <w:rPr>
                <w:sz w:val="20"/>
                <w:szCs w:val="20"/>
                <w:color w:val="auto"/>
              </w:rPr>
            </w:pPr>
            <w:r>
              <w:rPr>
                <w:rFonts w:ascii="Times New Roman" w:cs="Times New Roman" w:eastAsia="Times New Roman" w:hAnsi="Times New Roman"/>
                <w:sz w:val="18"/>
                <w:szCs w:val="18"/>
                <w:color w:val="auto"/>
              </w:rPr>
              <w:t>Other operating expense</w:t>
            </w:r>
          </w:p>
        </w:tc>
        <w:tc>
          <w:tcPr>
            <w:tcW w:w="2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20" w:type="dxa"/>
            <w:vAlign w:val="bottom"/>
            <w:tcBorders>
              <w:bottom w:val="single" w:sz="8" w:color="CCEEFF"/>
            </w:tcBorders>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23"/>
        </w:trPr>
        <w:tc>
          <w:tcPr>
            <w:tcW w:w="7560" w:type="dxa"/>
            <w:vAlign w:val="bottom"/>
            <w:shd w:val="clear" w:color="auto" w:fill="CCEEFF"/>
          </w:tcPr>
          <w:p>
            <w:pPr>
              <w:ind w:left="660"/>
              <w:spacing w:after="0"/>
              <w:rPr>
                <w:sz w:val="20"/>
                <w:szCs w:val="20"/>
                <w:color w:val="auto"/>
              </w:rPr>
            </w:pPr>
            <w:r>
              <w:rPr>
                <w:rFonts w:ascii="Times New Roman" w:cs="Times New Roman" w:eastAsia="Times New Roman" w:hAnsi="Times New Roman"/>
                <w:sz w:val="18"/>
                <w:szCs w:val="18"/>
                <w:color w:val="auto"/>
              </w:rPr>
              <w:t>Total operating expense</w:t>
            </w: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24</w:t>
            </w:r>
          </w:p>
        </w:tc>
      </w:tr>
      <w:tr>
        <w:trPr>
          <w:trHeight w:val="223"/>
        </w:trPr>
        <w:tc>
          <w:tcPr>
            <w:tcW w:w="7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(651)</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975</w:t>
            </w:r>
          </w:p>
        </w:tc>
      </w:tr>
      <w:tr>
        <w:trPr>
          <w:trHeight w:val="229"/>
        </w:trPr>
        <w:tc>
          <w:tcPr>
            <w:tcW w:w="75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Dividends on preferred stock</w:t>
            </w: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w:t>
            </w:r>
          </w:p>
        </w:tc>
      </w:tr>
      <w:tr>
        <w:trPr>
          <w:trHeight w:val="223"/>
        </w:trPr>
        <w:tc>
          <w:tcPr>
            <w:tcW w:w="7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(loss) available (attributable) to common stockholders</w:t>
            </w: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(676)</w:t>
            </w:r>
          </w:p>
        </w:tc>
        <w:tc>
          <w:tcPr>
            <w:tcW w:w="12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950</w:t>
            </w:r>
          </w:p>
        </w:tc>
      </w:tr>
      <w:tr>
        <w:trPr>
          <w:trHeight w:val="20"/>
        </w:trPr>
        <w:tc>
          <w:tcPr>
            <w:tcW w:w="75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37"/>
        </w:trPr>
        <w:tc>
          <w:tcPr>
            <w:tcW w:w="75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r>
      <w:tr>
        <w:trPr>
          <w:trHeight w:val="230"/>
        </w:trPr>
        <w:tc>
          <w:tcPr>
            <w:tcW w:w="7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income (loss)</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(651)</w:t>
            </w:r>
          </w:p>
        </w:tc>
        <w:tc>
          <w:tcPr>
            <w:tcW w:w="120" w:type="dxa"/>
            <w:vAlign w:val="bottom"/>
          </w:tcPr>
          <w:p>
            <w:pPr>
              <w:spacing w:after="0"/>
              <w:rPr>
                <w:sz w:val="19"/>
                <w:szCs w:val="19"/>
                <w:color w:val="auto"/>
              </w:rPr>
            </w:pPr>
          </w:p>
        </w:tc>
        <w:tc>
          <w:tcPr>
            <w:tcW w:w="220" w:type="dxa"/>
            <w:vAlign w:val="bottom"/>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975</w:t>
            </w:r>
          </w:p>
        </w:tc>
      </w:tr>
      <w:tr>
        <w:trPr>
          <w:trHeight w:val="184"/>
        </w:trPr>
        <w:tc>
          <w:tcPr>
            <w:tcW w:w="7560" w:type="dxa"/>
            <w:vAlign w:val="bottom"/>
            <w:shd w:val="clear" w:color="auto" w:fill="CCEEFF"/>
          </w:tcPr>
          <w:p>
            <w:pPr>
              <w:ind w:left="340"/>
              <w:spacing w:after="0" w:line="184" w:lineRule="exact"/>
              <w:rPr>
                <w:sz w:val="20"/>
                <w:szCs w:val="20"/>
                <w:color w:val="auto"/>
              </w:rPr>
            </w:pPr>
            <w:r>
              <w:rPr>
                <w:rFonts w:ascii="Times New Roman" w:cs="Times New Roman" w:eastAsia="Times New Roman" w:hAnsi="Times New Roman"/>
                <w:sz w:val="18"/>
                <w:szCs w:val="18"/>
                <w:color w:val="auto"/>
              </w:rPr>
              <w:t>Unrealized loss on investment securities measured at fair value through other comprehensive loss,</w:t>
            </w:r>
          </w:p>
        </w:tc>
        <w:tc>
          <w:tcPr>
            <w:tcW w:w="20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740" w:type="dxa"/>
            <w:vAlign w:val="bottom"/>
            <w:shd w:val="clear" w:color="auto" w:fill="CCEEFF"/>
          </w:tcPr>
          <w:p>
            <w:pPr>
              <w:spacing w:after="0"/>
              <w:rPr>
                <w:sz w:val="16"/>
                <w:szCs w:val="16"/>
                <w:color w:val="auto"/>
              </w:rPr>
            </w:pPr>
          </w:p>
        </w:tc>
      </w:tr>
      <w:tr>
        <w:trPr>
          <w:trHeight w:val="234"/>
        </w:trPr>
        <w:tc>
          <w:tcPr>
            <w:tcW w:w="75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net</w:t>
            </w:r>
          </w:p>
        </w:tc>
        <w:tc>
          <w:tcPr>
            <w:tcW w:w="200" w:type="dxa"/>
            <w:vAlign w:val="bottom"/>
            <w:tcBorders>
              <w:bottom w:val="single" w:sz="8" w:color="auto"/>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(491)</w:t>
            </w:r>
          </w:p>
        </w:tc>
        <w:tc>
          <w:tcPr>
            <w:tcW w:w="120" w:type="dxa"/>
            <w:vAlign w:val="bottom"/>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(237)</w:t>
            </w:r>
          </w:p>
        </w:tc>
      </w:tr>
      <w:tr>
        <w:trPr>
          <w:trHeight w:val="223"/>
        </w:trPr>
        <w:tc>
          <w:tcPr>
            <w:tcW w:w="7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Comprehensive income (loss)</w:t>
            </w:r>
          </w:p>
        </w:tc>
        <w:tc>
          <w:tcPr>
            <w:tcW w:w="20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(1,142)</w:t>
            </w:r>
          </w:p>
        </w:tc>
        <w:tc>
          <w:tcPr>
            <w:tcW w:w="1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738</w:t>
            </w:r>
          </w:p>
        </w:tc>
      </w:tr>
      <w:tr>
        <w:trPr>
          <w:trHeight w:val="230"/>
        </w:trPr>
        <w:tc>
          <w:tcPr>
            <w:tcW w:w="756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Dividends on preferred stock</w:t>
            </w:r>
          </w:p>
        </w:tc>
        <w:tc>
          <w:tcPr>
            <w:tcW w:w="20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120" w:type="dxa"/>
            <w:vAlign w:val="bottom"/>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w:t>
            </w:r>
          </w:p>
        </w:tc>
      </w:tr>
      <w:tr>
        <w:trPr>
          <w:trHeight w:val="223"/>
        </w:trPr>
        <w:tc>
          <w:tcPr>
            <w:tcW w:w="75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Comprehensive income (loss) available (attributable) to common stockholders</w:t>
            </w:r>
          </w:p>
        </w:tc>
        <w:tc>
          <w:tcPr>
            <w:tcW w:w="200" w:type="dxa"/>
            <w:vAlign w:val="bottom"/>
            <w:tcBorders>
              <w:bottom w:val="single" w:sz="8" w:color="auto"/>
            </w:tcBorders>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(1,167)</w:t>
            </w:r>
          </w:p>
        </w:tc>
        <w:tc>
          <w:tcPr>
            <w:tcW w:w="120" w:type="dxa"/>
            <w:vAlign w:val="bottom"/>
          </w:tcPr>
          <w:p>
            <w:pPr>
              <w:spacing w:after="0"/>
              <w:rPr>
                <w:sz w:val="19"/>
                <w:szCs w:val="19"/>
                <w:color w:val="auto"/>
              </w:rPr>
            </w:pPr>
          </w:p>
        </w:tc>
        <w:tc>
          <w:tcPr>
            <w:tcW w:w="220" w:type="dxa"/>
            <w:vAlign w:val="bottom"/>
            <w:tcBorders>
              <w:bottom w:val="single" w:sz="8" w:color="auto"/>
            </w:tcBorders>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713</w:t>
            </w:r>
          </w:p>
        </w:tc>
      </w:tr>
      <w:tr>
        <w:trPr>
          <w:trHeight w:val="20"/>
        </w:trPr>
        <w:tc>
          <w:tcPr>
            <w:tcW w:w="75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37"/>
        </w:trPr>
        <w:tc>
          <w:tcPr>
            <w:tcW w:w="7560" w:type="dxa"/>
            <w:vAlign w:val="bottom"/>
            <w:shd w:val="clear" w:color="auto" w:fill="CCEEFF"/>
          </w:tcPr>
          <w:p>
            <w:pPr>
              <w:spacing w:after="0"/>
              <w:rPr>
                <w:sz w:val="20"/>
                <w:szCs w:val="20"/>
                <w:color w:val="auto"/>
              </w:rPr>
            </w:pPr>
          </w:p>
        </w:tc>
        <w:tc>
          <w:tcPr>
            <w:tcW w:w="20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220" w:type="dxa"/>
            <w:vAlign w:val="bottom"/>
            <w:shd w:val="clear" w:color="auto" w:fill="CCEEFF"/>
          </w:tcPr>
          <w:p>
            <w:pPr>
              <w:spacing w:after="0"/>
              <w:rPr>
                <w:sz w:val="20"/>
                <w:szCs w:val="20"/>
                <w:color w:val="auto"/>
              </w:rPr>
            </w:pPr>
          </w:p>
        </w:tc>
        <w:tc>
          <w:tcPr>
            <w:tcW w:w="740" w:type="dxa"/>
            <w:vAlign w:val="bottom"/>
            <w:shd w:val="clear" w:color="auto" w:fill="CCEEFF"/>
          </w:tcPr>
          <w:p>
            <w:pPr>
              <w:spacing w:after="0"/>
              <w:rPr>
                <w:sz w:val="20"/>
                <w:szCs w:val="20"/>
                <w:color w:val="auto"/>
              </w:rPr>
            </w:pPr>
          </w:p>
        </w:tc>
      </w:tr>
      <w:tr>
        <w:trPr>
          <w:trHeight w:val="230"/>
        </w:trPr>
        <w:tc>
          <w:tcPr>
            <w:tcW w:w="756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Weighted average number of common shares outstanding - basic</w:t>
            </w:r>
          </w:p>
        </w:tc>
        <w:tc>
          <w:tcPr>
            <w:tcW w:w="20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524.3</w:t>
            </w:r>
          </w:p>
        </w:tc>
        <w:tc>
          <w:tcPr>
            <w:tcW w:w="12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533.7</w:t>
            </w:r>
          </w:p>
        </w:tc>
      </w:tr>
      <w:tr>
        <w:trPr>
          <w:trHeight w:val="20"/>
        </w:trPr>
        <w:tc>
          <w:tcPr>
            <w:tcW w:w="75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48"/>
        </w:trPr>
        <w:tc>
          <w:tcPr>
            <w:tcW w:w="75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Weighted average number of common shares outstanding - diluted</w:t>
            </w:r>
          </w:p>
        </w:tc>
        <w:tc>
          <w:tcPr>
            <w:tcW w:w="20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524.3</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spacing w:after="0"/>
              <w:rPr>
                <w:sz w:val="21"/>
                <w:szCs w:val="21"/>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535.6</w:t>
            </w:r>
          </w:p>
        </w:tc>
      </w:tr>
      <w:tr>
        <w:trPr>
          <w:trHeight w:val="20"/>
        </w:trPr>
        <w:tc>
          <w:tcPr>
            <w:tcW w:w="75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7560" w:type="dxa"/>
            <w:vAlign w:val="bottom"/>
          </w:tcPr>
          <w:p>
            <w:pPr>
              <w:spacing w:after="0" w:line="203" w:lineRule="exact"/>
              <w:rPr>
                <w:sz w:val="20"/>
                <w:szCs w:val="20"/>
                <w:color w:val="auto"/>
              </w:rPr>
            </w:pPr>
            <w:r>
              <w:rPr>
                <w:rFonts w:ascii="Times New Roman" w:cs="Times New Roman" w:eastAsia="Times New Roman" w:hAnsi="Times New Roman"/>
                <w:sz w:val="18"/>
                <w:szCs w:val="18"/>
                <w:b w:val="1"/>
                <w:bCs w:val="1"/>
                <w:color w:val="auto"/>
              </w:rPr>
              <w:t>Net income (loss) per common share - basic</w:t>
            </w:r>
          </w:p>
        </w:tc>
        <w:tc>
          <w:tcPr>
            <w:tcW w:w="200" w:type="dxa"/>
            <w:vAlign w:val="bottom"/>
            <w:tcBorders>
              <w:bottom w:val="single" w:sz="8" w:color="auto"/>
            </w:tcBorders>
          </w:tcPr>
          <w:p>
            <w:pPr>
              <w:jc w:val="right"/>
              <w:ind w:right="1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(1.29)</w:t>
            </w:r>
          </w:p>
        </w:tc>
        <w:tc>
          <w:tcPr>
            <w:tcW w:w="120" w:type="dxa"/>
            <w:vAlign w:val="bottom"/>
          </w:tcPr>
          <w:p>
            <w:pPr>
              <w:spacing w:after="0"/>
              <w:rPr>
                <w:sz w:val="17"/>
                <w:szCs w:val="17"/>
                <w:color w:val="auto"/>
              </w:rPr>
            </w:pPr>
          </w:p>
        </w:tc>
        <w:tc>
          <w:tcPr>
            <w:tcW w:w="220" w:type="dxa"/>
            <w:vAlign w:val="bottom"/>
            <w:tcBorders>
              <w:bottom w:val="single" w:sz="8" w:color="auto"/>
            </w:tcBorders>
          </w:tcPr>
          <w:p>
            <w:pPr>
              <w:jc w:val="right"/>
              <w:ind w:right="3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1.78</w:t>
            </w:r>
          </w:p>
        </w:tc>
      </w:tr>
      <w:tr>
        <w:trPr>
          <w:trHeight w:val="20"/>
        </w:trPr>
        <w:tc>
          <w:tcPr>
            <w:tcW w:w="75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r>
        <w:trPr>
          <w:trHeight w:val="249"/>
        </w:trPr>
        <w:tc>
          <w:tcPr>
            <w:tcW w:w="75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Net income (loss) per common share - diluted</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(1.29)</w:t>
            </w:r>
          </w:p>
        </w:tc>
        <w:tc>
          <w:tcPr>
            <w:tcW w:w="120" w:type="dxa"/>
            <w:vAlign w:val="bottom"/>
            <w:tcBorders>
              <w:bottom w:val="single" w:sz="8" w:color="CCEEFF"/>
            </w:tcBorders>
            <w:shd w:val="clear" w:color="auto" w:fill="CCEEFF"/>
          </w:tcPr>
          <w:p>
            <w:pPr>
              <w:spacing w:after="0"/>
              <w:rPr>
                <w:sz w:val="21"/>
                <w:szCs w:val="21"/>
                <w:color w:val="auto"/>
              </w:rPr>
            </w:pPr>
          </w:p>
        </w:tc>
        <w:tc>
          <w:tcPr>
            <w:tcW w:w="220" w:type="dxa"/>
            <w:vAlign w:val="bottom"/>
            <w:tcBorders>
              <w:bottom w:val="single" w:sz="8" w:color="auto"/>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1.77</w:t>
            </w:r>
          </w:p>
        </w:tc>
      </w:tr>
      <w:tr>
        <w:trPr>
          <w:trHeight w:val="20"/>
        </w:trPr>
        <w:tc>
          <w:tcPr>
            <w:tcW w:w="75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7560" w:type="dxa"/>
            <w:vAlign w:val="bottom"/>
          </w:tcPr>
          <w:p>
            <w:pPr>
              <w:spacing w:after="0" w:line="203" w:lineRule="exact"/>
              <w:rPr>
                <w:sz w:val="20"/>
                <w:szCs w:val="20"/>
                <w:color w:val="auto"/>
              </w:rPr>
            </w:pPr>
            <w:r>
              <w:rPr>
                <w:rFonts w:ascii="Times New Roman" w:cs="Times New Roman" w:eastAsia="Times New Roman" w:hAnsi="Times New Roman"/>
                <w:sz w:val="18"/>
                <w:szCs w:val="18"/>
                <w:b w:val="1"/>
                <w:bCs w:val="1"/>
                <w:color w:val="auto"/>
              </w:rPr>
              <w:t>Dividends declared per common share</w:t>
            </w:r>
          </w:p>
        </w:tc>
        <w:tc>
          <w:tcPr>
            <w:tcW w:w="200" w:type="dxa"/>
            <w:vAlign w:val="bottom"/>
            <w:tcBorders>
              <w:bottom w:val="single" w:sz="8" w:color="auto"/>
            </w:tcBorders>
          </w:tcPr>
          <w:p>
            <w:pPr>
              <w:jc w:val="right"/>
              <w:ind w:right="1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0.36</w:t>
            </w:r>
          </w:p>
        </w:tc>
        <w:tc>
          <w:tcPr>
            <w:tcW w:w="120" w:type="dxa"/>
            <w:vAlign w:val="bottom"/>
          </w:tcPr>
          <w:p>
            <w:pPr>
              <w:spacing w:after="0"/>
              <w:rPr>
                <w:sz w:val="17"/>
                <w:szCs w:val="17"/>
                <w:color w:val="auto"/>
              </w:rPr>
            </w:pPr>
          </w:p>
        </w:tc>
        <w:tc>
          <w:tcPr>
            <w:tcW w:w="220" w:type="dxa"/>
            <w:vAlign w:val="bottom"/>
            <w:tcBorders>
              <w:bottom w:val="single" w:sz="8" w:color="auto"/>
            </w:tcBorders>
          </w:tcPr>
          <w:p>
            <w:pPr>
              <w:jc w:val="right"/>
              <w:ind w:right="30"/>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tcBorders>
              <w:bottom w:val="single" w:sz="8" w:color="auto"/>
            </w:tcBorders>
          </w:tcPr>
          <w:p>
            <w:pPr>
              <w:jc w:val="right"/>
              <w:spacing w:after="0" w:line="203" w:lineRule="exact"/>
              <w:rPr>
                <w:sz w:val="20"/>
                <w:szCs w:val="20"/>
                <w:color w:val="auto"/>
              </w:rPr>
            </w:pPr>
            <w:r>
              <w:rPr>
                <w:rFonts w:ascii="Times New Roman" w:cs="Times New Roman" w:eastAsia="Times New Roman" w:hAnsi="Times New Roman"/>
                <w:sz w:val="18"/>
                <w:szCs w:val="18"/>
                <w:color w:val="auto"/>
              </w:rPr>
              <w:t>0.36</w:t>
            </w:r>
          </w:p>
        </w:tc>
      </w:tr>
      <w:tr>
        <w:trPr>
          <w:trHeight w:val="20"/>
        </w:trPr>
        <w:tc>
          <w:tcPr>
            <w:tcW w:w="75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-540385</wp:posOffset>
            </wp:positionH>
            <wp:positionV relativeFrom="paragraph">
              <wp:posOffset>73025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580"/>
          </w:cols>
          <w:pgMar w:left="1160" w:top="887" w:right="1159" w:bottom="1440" w:gutter="0" w:footer="0" w:header="0"/>
        </w:sectPr>
      </w:pPr>
    </w:p>
    <w:bookmarkStart w:id="4" w:name="page5"/>
    <w:bookmarkEnd w:id="4"/>
    <w:p>
      <w:pPr>
        <w:jc w:val="center"/>
        <w:ind w:right="-279"/>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31"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b w:val="1"/>
          <w:bCs w:val="1"/>
          <w:color w:val="auto"/>
        </w:rPr>
        <w:t>CONSOLIDATED STATEMENTS OF STOCKHOLDERS' EQUITY</w:t>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ind w:left="5160"/>
        <w:spacing w:after="0"/>
        <w:rPr>
          <w:sz w:val="20"/>
          <w:szCs w:val="20"/>
          <w:color w:val="auto"/>
        </w:rPr>
      </w:pPr>
      <w:r>
        <w:rPr>
          <w:rFonts w:ascii="Times New Roman" w:cs="Times New Roman" w:eastAsia="Times New Roman" w:hAnsi="Times New Roman"/>
          <w:sz w:val="18"/>
          <w:szCs w:val="18"/>
          <w:b w:val="1"/>
          <w:bCs w:val="1"/>
          <w:color w:val="auto"/>
        </w:rPr>
        <w:t>(in millions)</w:t>
      </w:r>
    </w:p>
    <w:p>
      <w:pPr>
        <w:spacing w:after="0" w:line="2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3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80" w:type="dxa"/>
            <w:vAlign w:val="bottom"/>
            <w:gridSpan w:val="2"/>
            <w:vMerge w:val="restart"/>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Additional</w:t>
            </w: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2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Accumulated</w:t>
            </w:r>
          </w:p>
        </w:tc>
        <w:tc>
          <w:tcPr>
            <w:tcW w:w="2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3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980" w:type="dxa"/>
            <w:vAlign w:val="bottom"/>
            <w:gridSpan w:val="5"/>
            <w:vMerge w:val="restart"/>
          </w:tcPr>
          <w:p>
            <w:pPr>
              <w:ind w:left="460"/>
              <w:spacing w:after="0"/>
              <w:rPr>
                <w:sz w:val="20"/>
                <w:szCs w:val="20"/>
                <w:color w:val="auto"/>
              </w:rPr>
            </w:pPr>
            <w:r>
              <w:rPr>
                <w:rFonts w:ascii="Times New Roman" w:cs="Times New Roman" w:eastAsia="Times New Roman" w:hAnsi="Times New Roman"/>
                <w:sz w:val="14"/>
                <w:szCs w:val="14"/>
                <w:b w:val="1"/>
                <w:bCs w:val="1"/>
                <w:color w:val="auto"/>
              </w:rPr>
              <w:t>Common Stock</w:t>
            </w:r>
          </w:p>
        </w:tc>
        <w:tc>
          <w:tcPr>
            <w:tcW w:w="100" w:type="dxa"/>
            <w:vAlign w:val="bottom"/>
          </w:tcPr>
          <w:p>
            <w:pPr>
              <w:spacing w:after="0"/>
              <w:rPr>
                <w:sz w:val="12"/>
                <w:szCs w:val="12"/>
                <w:color w:val="auto"/>
              </w:rPr>
            </w:pPr>
          </w:p>
        </w:tc>
        <w:tc>
          <w:tcPr>
            <w:tcW w:w="88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20" w:type="dxa"/>
            <w:vAlign w:val="bottom"/>
            <w:gridSpan w:val="2"/>
          </w:tcPr>
          <w:p>
            <w:pPr>
              <w:jc w:val="center"/>
              <w:ind w:right="240"/>
              <w:spacing w:after="0" w:line="146" w:lineRule="exact"/>
              <w:rPr>
                <w:sz w:val="20"/>
                <w:szCs w:val="20"/>
                <w:color w:val="auto"/>
              </w:rPr>
            </w:pPr>
            <w:r>
              <w:rPr>
                <w:rFonts w:ascii="Times New Roman" w:cs="Times New Roman" w:eastAsia="Times New Roman" w:hAnsi="Times New Roman"/>
                <w:sz w:val="14"/>
                <w:szCs w:val="14"/>
                <w:b w:val="1"/>
                <w:bCs w:val="1"/>
                <w:color w:val="auto"/>
              </w:rPr>
              <w:t>Other</w:t>
            </w: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12"/>
        </w:trPr>
        <w:tc>
          <w:tcPr>
            <w:tcW w:w="37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80" w:type="dxa"/>
            <w:vAlign w:val="bottom"/>
            <w:gridSpan w:val="2"/>
            <w:vMerge w:val="restart"/>
          </w:tcPr>
          <w:p>
            <w:pPr>
              <w:jc w:val="center"/>
              <w:ind w:right="200"/>
              <w:spacing w:after="0" w:line="129" w:lineRule="exact"/>
              <w:rPr>
                <w:sz w:val="20"/>
                <w:szCs w:val="20"/>
                <w:color w:val="auto"/>
              </w:rPr>
            </w:pPr>
            <w:r>
              <w:rPr>
                <w:rFonts w:ascii="Times New Roman" w:cs="Times New Roman" w:eastAsia="Times New Roman" w:hAnsi="Times New Roman"/>
                <w:sz w:val="14"/>
                <w:szCs w:val="14"/>
                <w:b w:val="1"/>
                <w:bCs w:val="1"/>
                <w:color w:val="auto"/>
              </w:rPr>
              <w:t>Preferred</w:t>
            </w:r>
          </w:p>
        </w:tc>
        <w:tc>
          <w:tcPr>
            <w:tcW w:w="1980" w:type="dxa"/>
            <w:vAlign w:val="bottom"/>
            <w:gridSpan w:val="5"/>
            <w:vMerge w:val="continue"/>
          </w:tcPr>
          <w:p>
            <w:pPr>
              <w:spacing w:after="0"/>
              <w:rPr>
                <w:sz w:val="9"/>
                <w:szCs w:val="9"/>
                <w:color w:val="auto"/>
              </w:rPr>
            </w:pPr>
          </w:p>
        </w:tc>
        <w:tc>
          <w:tcPr>
            <w:tcW w:w="100" w:type="dxa"/>
            <w:vAlign w:val="bottom"/>
          </w:tcPr>
          <w:p>
            <w:pPr>
              <w:spacing w:after="0"/>
              <w:rPr>
                <w:sz w:val="9"/>
                <w:szCs w:val="9"/>
                <w:color w:val="auto"/>
              </w:rPr>
            </w:pPr>
          </w:p>
        </w:tc>
        <w:tc>
          <w:tcPr>
            <w:tcW w:w="880" w:type="dxa"/>
            <w:vAlign w:val="bottom"/>
            <w:gridSpan w:val="2"/>
            <w:vMerge w:val="restart"/>
          </w:tcPr>
          <w:p>
            <w:pPr>
              <w:jc w:val="center"/>
              <w:ind w:right="200"/>
              <w:spacing w:after="0" w:line="129" w:lineRule="exact"/>
              <w:rPr>
                <w:sz w:val="20"/>
                <w:szCs w:val="20"/>
                <w:color w:val="auto"/>
              </w:rPr>
            </w:pPr>
            <w:r>
              <w:rPr>
                <w:rFonts w:ascii="Times New Roman" w:cs="Times New Roman" w:eastAsia="Times New Roman" w:hAnsi="Times New Roman"/>
                <w:sz w:val="14"/>
                <w:szCs w:val="14"/>
                <w:b w:val="1"/>
                <w:bCs w:val="1"/>
                <w:color w:val="auto"/>
              </w:rPr>
              <w:t>Paid-in</w:t>
            </w:r>
          </w:p>
        </w:tc>
        <w:tc>
          <w:tcPr>
            <w:tcW w:w="140" w:type="dxa"/>
            <w:vAlign w:val="bottom"/>
          </w:tcPr>
          <w:p>
            <w:pPr>
              <w:spacing w:after="0"/>
              <w:rPr>
                <w:sz w:val="9"/>
                <w:szCs w:val="9"/>
                <w:color w:val="auto"/>
              </w:rPr>
            </w:pPr>
          </w:p>
        </w:tc>
        <w:tc>
          <w:tcPr>
            <w:tcW w:w="860" w:type="dxa"/>
            <w:vAlign w:val="bottom"/>
            <w:gridSpan w:val="2"/>
            <w:vMerge w:val="restart"/>
          </w:tcPr>
          <w:p>
            <w:pPr>
              <w:jc w:val="center"/>
              <w:ind w:right="260"/>
              <w:spacing w:after="0" w:line="129" w:lineRule="exact"/>
              <w:rPr>
                <w:sz w:val="20"/>
                <w:szCs w:val="20"/>
                <w:color w:val="auto"/>
              </w:rPr>
            </w:pPr>
            <w:r>
              <w:rPr>
                <w:rFonts w:ascii="Times New Roman" w:cs="Times New Roman" w:eastAsia="Times New Roman" w:hAnsi="Times New Roman"/>
                <w:sz w:val="14"/>
                <w:szCs w:val="14"/>
                <w:b w:val="1"/>
                <w:bCs w:val="1"/>
                <w:color w:val="auto"/>
              </w:rPr>
              <w:t>Retained</w:t>
            </w:r>
          </w:p>
        </w:tc>
        <w:tc>
          <w:tcPr>
            <w:tcW w:w="120" w:type="dxa"/>
            <w:vAlign w:val="bottom"/>
          </w:tcPr>
          <w:p>
            <w:pPr>
              <w:spacing w:after="0"/>
              <w:rPr>
                <w:sz w:val="9"/>
                <w:szCs w:val="9"/>
                <w:color w:val="auto"/>
              </w:rPr>
            </w:pPr>
          </w:p>
        </w:tc>
        <w:tc>
          <w:tcPr>
            <w:tcW w:w="1220" w:type="dxa"/>
            <w:vAlign w:val="bottom"/>
            <w:gridSpan w:val="2"/>
            <w:vMerge w:val="restart"/>
          </w:tcPr>
          <w:p>
            <w:pPr>
              <w:jc w:val="center"/>
              <w:ind w:right="240"/>
              <w:spacing w:after="0" w:line="129" w:lineRule="exact"/>
              <w:rPr>
                <w:sz w:val="20"/>
                <w:szCs w:val="20"/>
                <w:color w:val="auto"/>
              </w:rPr>
            </w:pPr>
            <w:r>
              <w:rPr>
                <w:rFonts w:ascii="Times New Roman" w:cs="Times New Roman" w:eastAsia="Times New Roman" w:hAnsi="Times New Roman"/>
                <w:sz w:val="14"/>
                <w:szCs w:val="14"/>
                <w:b w:val="1"/>
                <w:bCs w:val="1"/>
                <w:color w:val="auto"/>
              </w:rPr>
              <w:t>Comprehensive</w:t>
            </w: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23"/>
        </w:trPr>
        <w:tc>
          <w:tcPr>
            <w:tcW w:w="37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gridSpan w:val="2"/>
            <w:vMerge w:val="continue"/>
          </w:tcPr>
          <w:p>
            <w:pPr>
              <w:spacing w:after="0"/>
              <w:rPr>
                <w:sz w:val="2"/>
                <w:szCs w:val="2"/>
                <w:color w:val="auto"/>
              </w:rPr>
            </w:pPr>
          </w:p>
        </w:tc>
        <w:tc>
          <w:tcPr>
            <w:tcW w:w="140" w:type="dxa"/>
            <w:vAlign w:val="bottom"/>
          </w:tcPr>
          <w:p>
            <w:pPr>
              <w:spacing w:after="0"/>
              <w:rPr>
                <w:sz w:val="2"/>
                <w:szCs w:val="2"/>
                <w:color w:val="auto"/>
              </w:rPr>
            </w:pPr>
          </w:p>
        </w:tc>
        <w:tc>
          <w:tcPr>
            <w:tcW w:w="860" w:type="dxa"/>
            <w:vAlign w:val="bottom"/>
            <w:gridSpan w:val="2"/>
            <w:vMerge w:val="continue"/>
          </w:tcPr>
          <w:p>
            <w:pPr>
              <w:spacing w:after="0"/>
              <w:rPr>
                <w:sz w:val="2"/>
                <w:szCs w:val="2"/>
                <w:color w:val="auto"/>
              </w:rPr>
            </w:pPr>
          </w:p>
        </w:tc>
        <w:tc>
          <w:tcPr>
            <w:tcW w:w="120" w:type="dxa"/>
            <w:vAlign w:val="bottom"/>
          </w:tcPr>
          <w:p>
            <w:pPr>
              <w:spacing w:after="0"/>
              <w:rPr>
                <w:sz w:val="2"/>
                <w:szCs w:val="2"/>
                <w:color w:val="auto"/>
              </w:rPr>
            </w:pPr>
          </w:p>
        </w:tc>
        <w:tc>
          <w:tcPr>
            <w:tcW w:w="1220" w:type="dxa"/>
            <w:vAlign w:val="bottom"/>
            <w:gridSpan w:val="2"/>
            <w:vMerge w:val="continue"/>
          </w:tcPr>
          <w:p>
            <w:pPr>
              <w:spacing w:after="0"/>
              <w:rPr>
                <w:sz w:val="2"/>
                <w:szCs w:val="2"/>
                <w:color w:val="auto"/>
              </w:rPr>
            </w:pPr>
          </w:p>
        </w:tc>
        <w:tc>
          <w:tcPr>
            <w:tcW w:w="200" w:type="dxa"/>
            <w:vAlign w:val="bottom"/>
          </w:tcPr>
          <w:p>
            <w:pPr>
              <w:spacing w:after="0"/>
              <w:rPr>
                <w:sz w:val="2"/>
                <w:szCs w:val="2"/>
                <w:color w:val="auto"/>
              </w:rPr>
            </w:pPr>
          </w:p>
        </w:tc>
        <w:tc>
          <w:tcPr>
            <w:tcW w:w="700" w:type="dxa"/>
            <w:vAlign w:val="bottom"/>
            <w:vMerge w:val="restart"/>
          </w:tcPr>
          <w:p>
            <w:pPr>
              <w:jc w:val="right"/>
              <w:ind w:right="20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1"/>
        </w:trPr>
        <w:tc>
          <w:tcPr>
            <w:tcW w:w="3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8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Stock</w:t>
            </w:r>
          </w:p>
        </w:tc>
        <w:tc>
          <w:tcPr>
            <w:tcW w:w="980" w:type="dxa"/>
            <w:vAlign w:val="bottom"/>
            <w:gridSpan w:val="2"/>
          </w:tcPr>
          <w:p>
            <w:pPr>
              <w:ind w:left="240"/>
              <w:spacing w:after="0"/>
              <w:rPr>
                <w:sz w:val="20"/>
                <w:szCs w:val="20"/>
                <w:color w:val="auto"/>
              </w:rPr>
            </w:pPr>
            <w:r>
              <w:rPr>
                <w:rFonts w:ascii="Times New Roman" w:cs="Times New Roman" w:eastAsia="Times New Roman" w:hAnsi="Times New Roman"/>
                <w:sz w:val="14"/>
                <w:szCs w:val="14"/>
                <w:b w:val="1"/>
                <w:bCs w:val="1"/>
                <w:color w:val="auto"/>
              </w:rPr>
              <w:t>Shares</w:t>
            </w:r>
          </w:p>
        </w:tc>
        <w:tc>
          <w:tcPr>
            <w:tcW w:w="140" w:type="dxa"/>
            <w:vAlign w:val="bottom"/>
          </w:tcPr>
          <w:p>
            <w:pPr>
              <w:spacing w:after="0"/>
              <w:rPr>
                <w:sz w:val="16"/>
                <w:szCs w:val="16"/>
                <w:color w:val="auto"/>
              </w:rPr>
            </w:pPr>
          </w:p>
        </w:tc>
        <w:tc>
          <w:tcPr>
            <w:tcW w:w="86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0" w:type="dxa"/>
            <w:vAlign w:val="bottom"/>
          </w:tcPr>
          <w:p>
            <w:pPr>
              <w:spacing w:after="0"/>
              <w:rPr>
                <w:sz w:val="16"/>
                <w:szCs w:val="16"/>
                <w:color w:val="auto"/>
              </w:rPr>
            </w:pPr>
          </w:p>
        </w:tc>
        <w:tc>
          <w:tcPr>
            <w:tcW w:w="88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Capital</w:t>
            </w:r>
          </w:p>
        </w:tc>
        <w:tc>
          <w:tcPr>
            <w:tcW w:w="140" w:type="dxa"/>
            <w:vAlign w:val="bottom"/>
          </w:tcPr>
          <w:p>
            <w:pPr>
              <w:spacing w:after="0"/>
              <w:rPr>
                <w:sz w:val="16"/>
                <w:szCs w:val="16"/>
                <w:color w:val="auto"/>
              </w:rPr>
            </w:pPr>
          </w:p>
        </w:tc>
        <w:tc>
          <w:tcPr>
            <w:tcW w:w="86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Deficit</w:t>
            </w:r>
          </w:p>
        </w:tc>
        <w:tc>
          <w:tcPr>
            <w:tcW w:w="120" w:type="dxa"/>
            <w:vAlign w:val="bottom"/>
          </w:tcPr>
          <w:p>
            <w:pPr>
              <w:spacing w:after="0"/>
              <w:rPr>
                <w:sz w:val="16"/>
                <w:szCs w:val="16"/>
                <w:color w:val="auto"/>
              </w:rPr>
            </w:pPr>
          </w:p>
        </w:tc>
        <w:tc>
          <w:tcPr>
            <w:tcW w:w="122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Income (Loss)</w:t>
            </w:r>
          </w:p>
        </w:tc>
        <w:tc>
          <w:tcPr>
            <w:tcW w:w="20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37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Balance, December 31, 2020</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1,489</w:t>
            </w:r>
          </w:p>
        </w:tc>
        <w:tc>
          <w:tcPr>
            <w:tcW w:w="10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539.5</w:t>
            </w:r>
          </w:p>
        </w:tc>
        <w:tc>
          <w:tcPr>
            <w:tcW w:w="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13,972</w:t>
            </w:r>
          </w:p>
        </w:tc>
        <w:tc>
          <w:tcPr>
            <w:tcW w:w="8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(5,106)</w:t>
            </w:r>
          </w:p>
        </w:tc>
        <w:tc>
          <w:tcPr>
            <w:tcW w:w="8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719</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11,079</w:t>
            </w:r>
          </w:p>
        </w:tc>
        <w:tc>
          <w:tcPr>
            <w:tcW w:w="0" w:type="dxa"/>
            <w:vAlign w:val="bottom"/>
          </w:tcPr>
          <w:p>
            <w:pPr>
              <w:spacing w:after="0"/>
              <w:rPr>
                <w:sz w:val="1"/>
                <w:szCs w:val="1"/>
                <w:color w:val="auto"/>
              </w:rPr>
            </w:pPr>
          </w:p>
        </w:tc>
      </w:tr>
      <w:tr>
        <w:trPr>
          <w:trHeight w:val="195"/>
        </w:trPr>
        <w:tc>
          <w:tcPr>
            <w:tcW w:w="3760" w:type="dxa"/>
            <w:vAlign w:val="bottom"/>
          </w:tcPr>
          <w:p>
            <w:pPr>
              <w:ind w:left="240"/>
              <w:spacing w:after="0"/>
              <w:rPr>
                <w:sz w:val="20"/>
                <w:szCs w:val="20"/>
                <w:color w:val="auto"/>
              </w:rPr>
            </w:pPr>
            <w:r>
              <w:rPr>
                <w:rFonts w:ascii="Times New Roman" w:cs="Times New Roman" w:eastAsia="Times New Roman" w:hAnsi="Times New Roman"/>
                <w:sz w:val="14"/>
                <w:szCs w:val="14"/>
                <w:color w:val="auto"/>
              </w:rPr>
              <w:t>Net income</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975</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975</w:t>
            </w:r>
          </w:p>
        </w:tc>
        <w:tc>
          <w:tcPr>
            <w:tcW w:w="0" w:type="dxa"/>
            <w:vAlign w:val="bottom"/>
          </w:tcPr>
          <w:p>
            <w:pPr>
              <w:spacing w:after="0"/>
              <w:rPr>
                <w:sz w:val="1"/>
                <w:szCs w:val="1"/>
                <w:color w:val="auto"/>
              </w:rPr>
            </w:pPr>
          </w:p>
        </w:tc>
      </w:tr>
      <w:tr>
        <w:trPr>
          <w:trHeight w:val="210"/>
        </w:trPr>
        <w:tc>
          <w:tcPr>
            <w:tcW w:w="37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4"/>
                <w:szCs w:val="14"/>
                <w:color w:val="auto"/>
              </w:rPr>
              <w:t>Other comprehensive loss:</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37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Unrealized loss on available-for-sale securities,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(237)</w:t>
            </w:r>
          </w:p>
        </w:tc>
        <w:tc>
          <w:tcPr>
            <w:tcW w:w="0" w:type="dxa"/>
            <w:vAlign w:val="bottom"/>
          </w:tcPr>
          <w:p>
            <w:pPr>
              <w:spacing w:after="0"/>
              <w:rPr>
                <w:sz w:val="1"/>
                <w:szCs w:val="1"/>
                <w:color w:val="auto"/>
              </w:rPr>
            </w:pPr>
          </w:p>
        </w:tc>
      </w:tr>
      <w:tr>
        <w:trPr>
          <w:trHeight w:val="210"/>
        </w:trPr>
        <w:tc>
          <w:tcPr>
            <w:tcW w:w="37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4"/>
                <w:szCs w:val="14"/>
                <w:color w:val="auto"/>
              </w:rPr>
              <w:t>Stock-based compensation, net</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0.4</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0" w:type="dxa"/>
            <w:vAlign w:val="bottom"/>
          </w:tcPr>
          <w:p>
            <w:pPr>
              <w:spacing w:after="0"/>
              <w:rPr>
                <w:sz w:val="1"/>
                <w:szCs w:val="1"/>
                <w:color w:val="auto"/>
              </w:rPr>
            </w:pPr>
          </w:p>
        </w:tc>
      </w:tr>
      <w:tr>
        <w:trPr>
          <w:trHeight w:val="195"/>
        </w:trPr>
        <w:tc>
          <w:tcPr>
            <w:tcW w:w="3760" w:type="dxa"/>
            <w:vAlign w:val="bottom"/>
          </w:tcPr>
          <w:p>
            <w:pPr>
              <w:ind w:left="240"/>
              <w:spacing w:after="0"/>
              <w:rPr>
                <w:sz w:val="20"/>
                <w:szCs w:val="20"/>
                <w:color w:val="auto"/>
              </w:rPr>
            </w:pPr>
            <w:r>
              <w:rPr>
                <w:rFonts w:ascii="Times New Roman" w:cs="Times New Roman" w:eastAsia="Times New Roman" w:hAnsi="Times New Roman"/>
                <w:sz w:val="14"/>
                <w:szCs w:val="14"/>
                <w:color w:val="auto"/>
              </w:rPr>
              <w:t>Repurchase of common stock</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(15.0)</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(239)</w:t>
            </w: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(239)</w:t>
            </w:r>
          </w:p>
        </w:tc>
        <w:tc>
          <w:tcPr>
            <w:tcW w:w="0" w:type="dxa"/>
            <w:vAlign w:val="bottom"/>
          </w:tcPr>
          <w:p>
            <w:pPr>
              <w:spacing w:after="0"/>
              <w:rPr>
                <w:sz w:val="1"/>
                <w:szCs w:val="1"/>
                <w:color w:val="auto"/>
              </w:rPr>
            </w:pPr>
          </w:p>
        </w:tc>
      </w:tr>
      <w:tr>
        <w:trPr>
          <w:trHeight w:val="210"/>
        </w:trPr>
        <w:tc>
          <w:tcPr>
            <w:tcW w:w="37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4"/>
                <w:szCs w:val="14"/>
                <w:color w:val="auto"/>
              </w:rPr>
              <w:t>Preferred dividends declared</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0" w:type="dxa"/>
            <w:vAlign w:val="bottom"/>
          </w:tcPr>
          <w:p>
            <w:pPr>
              <w:spacing w:after="0"/>
              <w:rPr>
                <w:sz w:val="1"/>
                <w:szCs w:val="1"/>
                <w:color w:val="auto"/>
              </w:rPr>
            </w:pPr>
          </w:p>
        </w:tc>
      </w:tr>
      <w:tr>
        <w:trPr>
          <w:trHeight w:val="196"/>
        </w:trPr>
        <w:tc>
          <w:tcPr>
            <w:tcW w:w="3760" w:type="dxa"/>
            <w:vAlign w:val="bottom"/>
          </w:tcPr>
          <w:p>
            <w:pPr>
              <w:ind w:left="240"/>
              <w:spacing w:after="0"/>
              <w:rPr>
                <w:sz w:val="20"/>
                <w:szCs w:val="20"/>
                <w:color w:val="auto"/>
              </w:rPr>
            </w:pPr>
            <w:r>
              <w:rPr>
                <w:rFonts w:ascii="Times New Roman" w:cs="Times New Roman" w:eastAsia="Times New Roman" w:hAnsi="Times New Roman"/>
                <w:sz w:val="14"/>
                <w:szCs w:val="14"/>
                <w:color w:val="auto"/>
              </w:rPr>
              <w:t>Common dividends declared</w:t>
            </w:r>
          </w:p>
        </w:tc>
        <w:tc>
          <w:tcPr>
            <w:tcW w:w="120" w:type="dxa"/>
            <w:vAlign w:val="bottom"/>
          </w:tcPr>
          <w:p>
            <w:pPr>
              <w:spacing w:after="0"/>
              <w:rPr>
                <w:sz w:val="17"/>
                <w:szCs w:val="17"/>
                <w:color w:val="auto"/>
              </w:rPr>
            </w:pP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7"/>
                <w:szCs w:val="17"/>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88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(192)</w:t>
            </w:r>
          </w:p>
        </w:tc>
        <w:tc>
          <w:tcPr>
            <w:tcW w:w="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(192)</w:t>
            </w:r>
          </w:p>
        </w:tc>
        <w:tc>
          <w:tcPr>
            <w:tcW w:w="0" w:type="dxa"/>
            <w:vAlign w:val="bottom"/>
          </w:tcPr>
          <w:p>
            <w:pPr>
              <w:spacing w:after="0"/>
              <w:rPr>
                <w:sz w:val="1"/>
                <w:szCs w:val="1"/>
                <w:color w:val="auto"/>
              </w:rPr>
            </w:pPr>
          </w:p>
        </w:tc>
      </w:tr>
      <w:tr>
        <w:trPr>
          <w:trHeight w:val="228"/>
        </w:trPr>
        <w:tc>
          <w:tcPr>
            <w:tcW w:w="37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Balance, March 31, 2021</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1,489</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9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524.9</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13,736</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(4,348)</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482</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20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11,364</w:t>
            </w:r>
          </w:p>
        </w:tc>
        <w:tc>
          <w:tcPr>
            <w:tcW w:w="0" w:type="dxa"/>
            <w:vAlign w:val="bottom"/>
          </w:tcPr>
          <w:p>
            <w:pPr>
              <w:spacing w:after="0"/>
              <w:rPr>
                <w:sz w:val="1"/>
                <w:szCs w:val="1"/>
                <w:color w:val="auto"/>
              </w:rPr>
            </w:pPr>
          </w:p>
        </w:tc>
      </w:tr>
      <w:tr>
        <w:trPr>
          <w:trHeight w:val="20"/>
        </w:trPr>
        <w:tc>
          <w:tcPr>
            <w:tcW w:w="37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3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1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37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Balance, December 31, 2021</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1,489</w:t>
            </w: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522.2</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13,710</w:t>
            </w: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(5,214)</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301</w:t>
            </w:r>
          </w:p>
        </w:tc>
        <w:tc>
          <w:tcPr>
            <w:tcW w:w="120" w:type="dxa"/>
            <w:vAlign w:val="bottom"/>
            <w:shd w:val="clear" w:color="auto" w:fill="CCEEFF"/>
          </w:tcPr>
          <w:p>
            <w:pPr>
              <w:spacing w:after="0"/>
              <w:rPr>
                <w:sz w:val="17"/>
                <w:szCs w:val="17"/>
                <w:color w:val="auto"/>
              </w:rPr>
            </w:pPr>
          </w:p>
        </w:tc>
        <w:tc>
          <w:tcPr>
            <w:tcW w:w="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10,291</w:t>
            </w:r>
          </w:p>
        </w:tc>
        <w:tc>
          <w:tcPr>
            <w:tcW w:w="0" w:type="dxa"/>
            <w:vAlign w:val="bottom"/>
          </w:tcPr>
          <w:p>
            <w:pPr>
              <w:spacing w:after="0"/>
              <w:rPr>
                <w:sz w:val="1"/>
                <w:szCs w:val="1"/>
                <w:color w:val="auto"/>
              </w:rPr>
            </w:pPr>
          </w:p>
        </w:tc>
      </w:tr>
      <w:tr>
        <w:trPr>
          <w:trHeight w:val="195"/>
        </w:trPr>
        <w:tc>
          <w:tcPr>
            <w:tcW w:w="3760" w:type="dxa"/>
            <w:vAlign w:val="bottom"/>
          </w:tcPr>
          <w:p>
            <w:pPr>
              <w:ind w:left="240"/>
              <w:spacing w:after="0"/>
              <w:rPr>
                <w:sz w:val="20"/>
                <w:szCs w:val="20"/>
                <w:color w:val="auto"/>
              </w:rPr>
            </w:pPr>
            <w:r>
              <w:rPr>
                <w:rFonts w:ascii="Times New Roman" w:cs="Times New Roman" w:eastAsia="Times New Roman" w:hAnsi="Times New Roman"/>
                <w:sz w:val="14"/>
                <w:szCs w:val="14"/>
                <w:color w:val="auto"/>
              </w:rPr>
              <w:t>Net loss</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(651)</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(651)</w:t>
            </w:r>
          </w:p>
        </w:tc>
        <w:tc>
          <w:tcPr>
            <w:tcW w:w="0" w:type="dxa"/>
            <w:vAlign w:val="bottom"/>
          </w:tcPr>
          <w:p>
            <w:pPr>
              <w:spacing w:after="0"/>
              <w:rPr>
                <w:sz w:val="1"/>
                <w:szCs w:val="1"/>
                <w:color w:val="auto"/>
              </w:rPr>
            </w:pPr>
          </w:p>
        </w:tc>
      </w:tr>
      <w:tr>
        <w:trPr>
          <w:trHeight w:val="210"/>
        </w:trPr>
        <w:tc>
          <w:tcPr>
            <w:tcW w:w="37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4"/>
                <w:szCs w:val="14"/>
                <w:color w:val="auto"/>
              </w:rPr>
              <w:t>Other comprehensive loss:</w:t>
            </w: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37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Unrealized loss on available-for-sale securities, net</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(491)</w:t>
            </w:r>
          </w:p>
        </w:tc>
        <w:tc>
          <w:tcPr>
            <w:tcW w:w="0" w:type="dxa"/>
            <w:vAlign w:val="bottom"/>
          </w:tcPr>
          <w:p>
            <w:pPr>
              <w:spacing w:after="0"/>
              <w:rPr>
                <w:sz w:val="1"/>
                <w:szCs w:val="1"/>
                <w:color w:val="auto"/>
              </w:rPr>
            </w:pPr>
          </w:p>
        </w:tc>
      </w:tr>
      <w:tr>
        <w:trPr>
          <w:trHeight w:val="210"/>
        </w:trPr>
        <w:tc>
          <w:tcPr>
            <w:tcW w:w="37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4"/>
                <w:szCs w:val="14"/>
                <w:color w:val="auto"/>
              </w:rPr>
              <w:t>Stock-based compensation, net</w:t>
            </w:r>
          </w:p>
        </w:tc>
        <w:tc>
          <w:tcPr>
            <w:tcW w:w="12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1.1</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w:t>
            </w: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8"/>
                <w:szCs w:val="18"/>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w:t>
            </w:r>
          </w:p>
        </w:tc>
        <w:tc>
          <w:tcPr>
            <w:tcW w:w="0" w:type="dxa"/>
            <w:vAlign w:val="bottom"/>
          </w:tcPr>
          <w:p>
            <w:pPr>
              <w:spacing w:after="0"/>
              <w:rPr>
                <w:sz w:val="1"/>
                <w:szCs w:val="1"/>
                <w:color w:val="auto"/>
              </w:rPr>
            </w:pPr>
          </w:p>
        </w:tc>
      </w:tr>
      <w:tr>
        <w:trPr>
          <w:trHeight w:val="195"/>
        </w:trPr>
        <w:tc>
          <w:tcPr>
            <w:tcW w:w="3760" w:type="dxa"/>
            <w:vAlign w:val="bottom"/>
          </w:tcPr>
          <w:p>
            <w:pPr>
              <w:ind w:left="240"/>
              <w:spacing w:after="0"/>
              <w:rPr>
                <w:sz w:val="20"/>
                <w:szCs w:val="20"/>
                <w:color w:val="auto"/>
              </w:rPr>
            </w:pPr>
            <w:r>
              <w:rPr>
                <w:rFonts w:ascii="Times New Roman" w:cs="Times New Roman" w:eastAsia="Times New Roman" w:hAnsi="Times New Roman"/>
                <w:sz w:val="14"/>
                <w:szCs w:val="14"/>
                <w:color w:val="auto"/>
              </w:rPr>
              <w:t>Preferred dividends declared</w:t>
            </w:r>
          </w:p>
        </w:tc>
        <w:tc>
          <w:tcPr>
            <w:tcW w:w="120" w:type="dxa"/>
            <w:vAlign w:val="bottom"/>
          </w:tcPr>
          <w:p>
            <w:pPr>
              <w:spacing w:after="0"/>
              <w:rPr>
                <w:sz w:val="16"/>
                <w:szCs w:val="16"/>
                <w:color w:val="auto"/>
              </w:rPr>
            </w:pPr>
          </w:p>
        </w:tc>
        <w:tc>
          <w:tcPr>
            <w:tcW w:w="8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8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880" w:type="dxa"/>
            <w:vAlign w:val="bottom"/>
            <w:gridSpan w:val="2"/>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0" w:type="dxa"/>
            <w:vAlign w:val="bottom"/>
          </w:tcPr>
          <w:p>
            <w:pPr>
              <w:spacing w:after="0"/>
              <w:rPr>
                <w:sz w:val="1"/>
                <w:szCs w:val="1"/>
                <w:color w:val="auto"/>
              </w:rPr>
            </w:pPr>
          </w:p>
        </w:tc>
      </w:tr>
      <w:tr>
        <w:trPr>
          <w:trHeight w:val="203"/>
        </w:trPr>
        <w:tc>
          <w:tcPr>
            <w:tcW w:w="3760" w:type="dxa"/>
            <w:vAlign w:val="bottom"/>
            <w:shd w:val="clear" w:color="auto" w:fill="CCEEFF"/>
          </w:tcPr>
          <w:p>
            <w:pPr>
              <w:ind w:left="240"/>
              <w:spacing w:after="0"/>
              <w:rPr>
                <w:sz w:val="20"/>
                <w:szCs w:val="20"/>
                <w:color w:val="auto"/>
              </w:rPr>
            </w:pPr>
            <w:r>
              <w:rPr>
                <w:rFonts w:ascii="Times New Roman" w:cs="Times New Roman" w:eastAsia="Times New Roman" w:hAnsi="Times New Roman"/>
                <w:sz w:val="14"/>
                <w:szCs w:val="14"/>
                <w:color w:val="auto"/>
              </w:rPr>
              <w:t>Common dividends declared</w:t>
            </w:r>
          </w:p>
        </w:tc>
        <w:tc>
          <w:tcPr>
            <w:tcW w:w="12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7"/>
                <w:szCs w:val="17"/>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7"/>
                <w:szCs w:val="17"/>
                <w:color w:val="auto"/>
              </w:rPr>
            </w:pPr>
          </w:p>
        </w:tc>
        <w:tc>
          <w:tcPr>
            <w:tcW w:w="880" w:type="dxa"/>
            <w:vAlign w:val="bottom"/>
            <w:gridSpan w:val="2"/>
            <w:shd w:val="clear" w:color="auto" w:fill="CCEEFF"/>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(188)</w:t>
            </w:r>
          </w:p>
        </w:tc>
        <w:tc>
          <w:tcPr>
            <w:tcW w:w="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2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(188)</w:t>
            </w:r>
          </w:p>
        </w:tc>
        <w:tc>
          <w:tcPr>
            <w:tcW w:w="0" w:type="dxa"/>
            <w:vAlign w:val="bottom"/>
          </w:tcPr>
          <w:p>
            <w:pPr>
              <w:spacing w:after="0"/>
              <w:rPr>
                <w:sz w:val="1"/>
                <w:szCs w:val="1"/>
                <w:color w:val="auto"/>
              </w:rPr>
            </w:pPr>
          </w:p>
        </w:tc>
      </w:tr>
      <w:tr>
        <w:trPr>
          <w:trHeight w:val="203"/>
        </w:trPr>
        <w:tc>
          <w:tcPr>
            <w:tcW w:w="376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Balance, March 31, 2022</w:t>
            </w: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1,489</w:t>
            </w:r>
          </w:p>
        </w:tc>
        <w:tc>
          <w:tcPr>
            <w:tcW w:w="100" w:type="dxa"/>
            <w:vAlign w:val="bottom"/>
          </w:tcPr>
          <w:p>
            <w:pPr>
              <w:spacing w:after="0"/>
              <w:rPr>
                <w:sz w:val="17"/>
                <w:szCs w:val="17"/>
                <w:color w:val="auto"/>
              </w:rPr>
            </w:pPr>
          </w:p>
        </w:tc>
        <w:tc>
          <w:tcPr>
            <w:tcW w:w="900" w:type="dxa"/>
            <w:vAlign w:val="bottom"/>
            <w:tcBorders>
              <w:top w:val="single" w:sz="8" w:color="auto"/>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523.3</w:t>
            </w:r>
          </w:p>
        </w:tc>
        <w:tc>
          <w:tcPr>
            <w:tcW w:w="8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10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13,704</w:t>
            </w:r>
          </w:p>
        </w:tc>
        <w:tc>
          <w:tcPr>
            <w:tcW w:w="80" w:type="dxa"/>
            <w:vAlign w:val="bottom"/>
          </w:tcPr>
          <w:p>
            <w:pPr>
              <w:spacing w:after="0"/>
              <w:rPr>
                <w:sz w:val="17"/>
                <w:szCs w:val="17"/>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(6,078)</w:t>
            </w:r>
          </w:p>
        </w:tc>
        <w:tc>
          <w:tcPr>
            <w:tcW w:w="8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(190)</w:t>
            </w:r>
          </w:p>
        </w:tc>
        <w:tc>
          <w:tcPr>
            <w:tcW w:w="12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8,930</w:t>
            </w:r>
          </w:p>
        </w:tc>
        <w:tc>
          <w:tcPr>
            <w:tcW w:w="0" w:type="dxa"/>
            <w:vAlign w:val="bottom"/>
          </w:tcPr>
          <w:p>
            <w:pPr>
              <w:spacing w:after="0"/>
              <w:rPr>
                <w:sz w:val="1"/>
                <w:szCs w:val="1"/>
                <w:color w:val="auto"/>
              </w:rPr>
            </w:pPr>
          </w:p>
        </w:tc>
      </w:tr>
      <w:tr>
        <w:trPr>
          <w:trHeight w:val="21"/>
        </w:trPr>
        <w:tc>
          <w:tcPr>
            <w:tcW w:w="37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144"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960"/>
          </w:cols>
          <w:pgMar w:left="320" w:top="887" w:right="619" w:bottom="1440"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ind w:left="4520"/>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9" w:lineRule="exact"/>
        <w:rPr>
          <w:sz w:val="20"/>
          <w:szCs w:val="20"/>
          <w:color w:val="auto"/>
        </w:rPr>
      </w:pPr>
    </w:p>
    <w:p>
      <w:pPr>
        <w:ind w:left="4500"/>
        <w:spacing w:after="0"/>
        <w:rPr>
          <w:sz w:val="20"/>
          <w:szCs w:val="20"/>
          <w:color w:val="auto"/>
        </w:rPr>
      </w:pPr>
      <w:r>
        <w:rPr>
          <w:rFonts w:ascii="Times New Roman" w:cs="Times New Roman" w:eastAsia="Times New Roman" w:hAnsi="Times New Roman"/>
          <w:sz w:val="18"/>
          <w:szCs w:val="18"/>
          <w:b w:val="1"/>
          <w:bCs w:val="1"/>
          <w:color w:val="auto"/>
        </w:rPr>
        <w:t>(in millions)</w:t>
      </w:r>
    </w:p>
    <w:p>
      <w:pPr>
        <w:spacing w:after="0" w:line="25" w:lineRule="exact"/>
        <w:rPr>
          <w:sz w:val="20"/>
          <w:szCs w:val="20"/>
          <w:color w:val="auto"/>
        </w:rPr>
      </w:pPr>
    </w:p>
    <w:p>
      <w:pPr>
        <w:jc w:val="center"/>
        <w:ind w:left="746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spacing w:after="0" w:line="6" w:lineRule="exact"/>
        <w:rPr>
          <w:sz w:val="20"/>
          <w:szCs w:val="20"/>
          <w:color w:val="auto"/>
        </w:rPr>
      </w:pPr>
    </w:p>
    <w:p>
      <w:pPr>
        <w:jc w:val="center"/>
        <w:ind w:left="7460"/>
        <w:spacing w:after="0"/>
        <w:rPr>
          <w:sz w:val="20"/>
          <w:szCs w:val="20"/>
          <w:color w:val="auto"/>
        </w:rPr>
      </w:pPr>
      <w:r>
        <w:rPr>
          <w:rFonts w:ascii="Times New Roman" w:cs="Times New Roman" w:eastAsia="Times New Roman" w:hAnsi="Times New Roman"/>
          <w:sz w:val="14"/>
          <w:szCs w:val="14"/>
          <w:b w:val="1"/>
          <w:bCs w:val="1"/>
          <w:color w:val="auto"/>
        </w:rPr>
        <w:t>March 31,</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00"/>
        </w:trPr>
        <w:tc>
          <w:tcPr>
            <w:tcW w:w="7480" w:type="dxa"/>
            <w:vAlign w:val="bottom"/>
            <w:tcBorders>
              <w:bottom w:val="single" w:sz="8" w:color="CCEEFF"/>
            </w:tcBorders>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359"/>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Borders>
              <w:top w:val="single" w:sz="8" w:color="auto"/>
              <w:bottom w:val="single" w:sz="8" w:color="CCEEFF"/>
            </w:tcBorders>
          </w:tcPr>
          <w:p>
            <w:pPr>
              <w:spacing w:after="0"/>
              <w:rPr>
                <w:sz w:val="17"/>
                <w:szCs w:val="17"/>
                <w:color w:val="auto"/>
              </w:rPr>
            </w:pPr>
          </w:p>
        </w:tc>
        <w:tc>
          <w:tcPr>
            <w:tcW w:w="280" w:type="dxa"/>
            <w:vAlign w:val="bottom"/>
            <w:tcBorders>
              <w:top w:val="single" w:sz="8" w:color="auto"/>
              <w:bottom w:val="single" w:sz="8" w:color="auto"/>
            </w:tcBorders>
          </w:tcPr>
          <w:p>
            <w:pPr>
              <w:spacing w:after="0"/>
              <w:rPr>
                <w:sz w:val="17"/>
                <w:szCs w:val="17"/>
                <w:color w:val="auto"/>
              </w:rPr>
            </w:pPr>
          </w:p>
        </w:tc>
        <w:tc>
          <w:tcPr>
            <w:tcW w:w="900" w:type="dxa"/>
            <w:vAlign w:val="bottom"/>
            <w:tcBorders>
              <w:top w:val="single" w:sz="8" w:color="auto"/>
              <w:bottom w:val="single" w:sz="8" w:color="auto"/>
            </w:tcBorders>
          </w:tcPr>
          <w:p>
            <w:pPr>
              <w:jc w:val="right"/>
              <w:ind w:right="359"/>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02"/>
        </w:trPr>
        <w:tc>
          <w:tcPr>
            <w:tcW w:w="7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Operating activities:</w:t>
            </w: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r>
      <w:tr>
        <w:trPr>
          <w:trHeight w:val="213"/>
        </w:trPr>
        <w:tc>
          <w:tcPr>
            <w:tcW w:w="74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Net income (loss)</w:t>
            </w: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(651)</w:t>
            </w:r>
          </w:p>
        </w:tc>
        <w:tc>
          <w:tcPr>
            <w:tcW w:w="120" w:type="dxa"/>
            <w:vAlign w:val="bottom"/>
          </w:tcPr>
          <w:p>
            <w:pPr>
              <w:spacing w:after="0"/>
              <w:rPr>
                <w:sz w:val="18"/>
                <w:szCs w:val="18"/>
                <w:color w:val="auto"/>
              </w:rPr>
            </w:pPr>
          </w:p>
        </w:tc>
        <w:tc>
          <w:tcPr>
            <w:tcW w:w="280" w:type="dxa"/>
            <w:vAlign w:val="bottom"/>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975</w:t>
            </w:r>
          </w:p>
        </w:tc>
      </w:tr>
      <w:tr>
        <w:trPr>
          <w:trHeight w:val="219"/>
        </w:trPr>
        <w:tc>
          <w:tcPr>
            <w:tcW w:w="7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Adjustments to reconcile net income (loss) to net cash provided by operating activities:</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spacing w:after="0"/>
              <w:rPr>
                <w:sz w:val="19"/>
                <w:szCs w:val="19"/>
                <w:color w:val="auto"/>
              </w:rPr>
            </w:pP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Amortization of premiums and discounts on mortgage-backed securities, net</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(78)</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Stock-based compensation, net</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w:t>
            </w: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Loss on sale of investment securities, net</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342</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Unrealized loss on investment securities measured at fair value through net income, net</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2,532</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955</w:t>
            </w: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Gain on derivative instruments and other securities, net</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(1,796)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(1,439)</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Decrease in other assets</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w:t>
            </w:r>
          </w:p>
        </w:tc>
      </w:tr>
      <w:tr>
        <w:trPr>
          <w:trHeight w:val="213"/>
        </w:trPr>
        <w:tc>
          <w:tcPr>
            <w:tcW w:w="7480" w:type="dxa"/>
            <w:vAlign w:val="bottom"/>
            <w:tcBorders>
              <w:bottom w:val="single" w:sz="8" w:color="CCEEFF"/>
            </w:tcBorders>
          </w:tcPr>
          <w:p>
            <w:pPr>
              <w:ind w:left="340"/>
              <w:spacing w:after="0"/>
              <w:rPr>
                <w:sz w:val="20"/>
                <w:szCs w:val="20"/>
                <w:color w:val="auto"/>
              </w:rPr>
            </w:pPr>
            <w:r>
              <w:rPr>
                <w:rFonts w:ascii="Times New Roman" w:cs="Times New Roman" w:eastAsia="Times New Roman" w:hAnsi="Times New Roman"/>
                <w:sz w:val="16"/>
                <w:szCs w:val="16"/>
                <w:color w:val="auto"/>
              </w:rPr>
              <w:t>Increase (decrease) in accounts payable and other accrued liabilities</w:t>
            </w: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8</w:t>
            </w: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w:t>
            </w:r>
          </w:p>
        </w:tc>
      </w:tr>
      <w:tr>
        <w:trPr>
          <w:trHeight w:val="212"/>
        </w:trPr>
        <w:tc>
          <w:tcPr>
            <w:tcW w:w="7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Net cash provided by operating activities</w:t>
            </w:r>
          </w:p>
        </w:tc>
        <w:tc>
          <w:tcPr>
            <w:tcW w:w="2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371</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427</w:t>
            </w:r>
          </w:p>
        </w:tc>
      </w:tr>
      <w:tr>
        <w:trPr>
          <w:trHeight w:val="194"/>
        </w:trPr>
        <w:tc>
          <w:tcPr>
            <w:tcW w:w="748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Investing activities:</w:t>
            </w: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218"/>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Purchases of Agency mortgage-backed securities</w:t>
            </w: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(6,519)</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(14,029)</w:t>
            </w: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Purchases of credit risk transfer and non-Agency securities</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(280)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(497)</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Proceeds from sale of Agency mortgage-backed securities</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4,689</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6,366</w:t>
            </w: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Proceeds from sale of credit risk transfer and non-Agency securities</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279</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137</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Principal collections on Agency mortgage-backed securities</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2,273</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4,317</w:t>
            </w: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Principal collections on credit risk transfer and non-Agency securities</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Payments on U.S. Treasury securities</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(5,108)</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(4,313)</w:t>
            </w: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Proceeds from U.S. Treasury securities</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6,066</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8,474</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Net payments on reverse repurchase agreements</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(169)</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(5,055)</w:t>
            </w:r>
          </w:p>
        </w:tc>
      </w:tr>
      <w:tr>
        <w:trPr>
          <w:trHeight w:val="213"/>
        </w:trPr>
        <w:tc>
          <w:tcPr>
            <w:tcW w:w="7480" w:type="dxa"/>
            <w:vAlign w:val="bottom"/>
            <w:tcBorders>
              <w:bottom w:val="single" w:sz="8" w:color="CCEEFF"/>
            </w:tcBorders>
          </w:tcPr>
          <w:p>
            <w:pPr>
              <w:ind w:left="340"/>
              <w:spacing w:after="0"/>
              <w:rPr>
                <w:sz w:val="20"/>
                <w:szCs w:val="20"/>
                <w:color w:val="auto"/>
              </w:rPr>
            </w:pPr>
            <w:r>
              <w:rPr>
                <w:rFonts w:ascii="Times New Roman" w:cs="Times New Roman" w:eastAsia="Times New Roman" w:hAnsi="Times New Roman"/>
                <w:sz w:val="16"/>
                <w:szCs w:val="16"/>
                <w:color w:val="auto"/>
              </w:rPr>
              <w:t>Net proceeds from derivative instruments</w:t>
            </w: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1,784</w:t>
            </w: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1,396</w:t>
            </w:r>
          </w:p>
        </w:tc>
      </w:tr>
      <w:tr>
        <w:trPr>
          <w:trHeight w:val="212"/>
        </w:trPr>
        <w:tc>
          <w:tcPr>
            <w:tcW w:w="7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Net cash provided by (used in) investing activities</w:t>
            </w:r>
          </w:p>
        </w:tc>
        <w:tc>
          <w:tcPr>
            <w:tcW w:w="2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3,081</w:t>
            </w:r>
          </w:p>
        </w:tc>
        <w:tc>
          <w:tcPr>
            <w:tcW w:w="1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(3,195)</w:t>
            </w:r>
          </w:p>
        </w:tc>
      </w:tr>
      <w:tr>
        <w:trPr>
          <w:trHeight w:val="194"/>
        </w:trPr>
        <w:tc>
          <w:tcPr>
            <w:tcW w:w="748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Financing activities:</w:t>
            </w: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900" w:type="dxa"/>
            <w:vAlign w:val="bottom"/>
          </w:tcPr>
          <w:p>
            <w:pPr>
              <w:spacing w:after="0"/>
              <w:rPr>
                <w:sz w:val="16"/>
                <w:szCs w:val="16"/>
                <w:color w:val="auto"/>
              </w:rPr>
            </w:pPr>
          </w:p>
        </w:tc>
      </w:tr>
      <w:tr>
        <w:trPr>
          <w:trHeight w:val="218"/>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Proceeds from repurchase arrangements</w:t>
            </w: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561,514</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526,319</w:t>
            </w: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Payments on repurchase agreements</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(564,180)</w:t>
            </w:r>
          </w:p>
        </w:tc>
        <w:tc>
          <w:tcPr>
            <w:tcW w:w="1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(523,629)</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Payments on debt of consolidated variable interest entities</w:t>
            </w: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w:t>
            </w:r>
          </w:p>
        </w:tc>
        <w:tc>
          <w:tcPr>
            <w:tcW w:w="12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w:t>
            </w:r>
          </w:p>
        </w:tc>
      </w:tr>
      <w:tr>
        <w:trPr>
          <w:trHeight w:val="213"/>
        </w:trPr>
        <w:tc>
          <w:tcPr>
            <w:tcW w:w="7480" w:type="dxa"/>
            <w:vAlign w:val="bottom"/>
          </w:tcPr>
          <w:p>
            <w:pPr>
              <w:ind w:left="340"/>
              <w:spacing w:after="0"/>
              <w:rPr>
                <w:sz w:val="20"/>
                <w:szCs w:val="20"/>
                <w:color w:val="auto"/>
              </w:rPr>
            </w:pPr>
            <w:r>
              <w:rPr>
                <w:rFonts w:ascii="Times New Roman" w:cs="Times New Roman" w:eastAsia="Times New Roman" w:hAnsi="Times New Roman"/>
                <w:sz w:val="16"/>
                <w:szCs w:val="16"/>
                <w:color w:val="auto"/>
              </w:rPr>
              <w:t>Payments for common stock repurchases</w:t>
            </w:r>
          </w:p>
        </w:tc>
        <w:tc>
          <w:tcPr>
            <w:tcW w:w="280" w:type="dxa"/>
            <w:vAlign w:val="bottom"/>
          </w:tcPr>
          <w:p>
            <w:pPr>
              <w:spacing w:after="0"/>
              <w:rPr>
                <w:sz w:val="18"/>
                <w:szCs w:val="18"/>
                <w:color w:val="auto"/>
              </w:rPr>
            </w:pP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28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(239)</w:t>
            </w:r>
          </w:p>
        </w:tc>
      </w:tr>
      <w:tr>
        <w:trPr>
          <w:trHeight w:val="219"/>
        </w:trPr>
        <w:tc>
          <w:tcPr>
            <w:tcW w:w="7480" w:type="dxa"/>
            <w:vAlign w:val="bottom"/>
            <w:shd w:val="clear" w:color="auto" w:fill="CCEEFF"/>
          </w:tcPr>
          <w:p>
            <w:pPr>
              <w:ind w:left="340"/>
              <w:spacing w:after="0"/>
              <w:rPr>
                <w:sz w:val="20"/>
                <w:szCs w:val="20"/>
                <w:color w:val="auto"/>
              </w:rPr>
            </w:pPr>
            <w:r>
              <w:rPr>
                <w:rFonts w:ascii="Times New Roman" w:cs="Times New Roman" w:eastAsia="Times New Roman" w:hAnsi="Times New Roman"/>
                <w:sz w:val="16"/>
                <w:szCs w:val="16"/>
                <w:color w:val="auto"/>
              </w:rPr>
              <w:t>Cash dividends paid</w:t>
            </w:r>
          </w:p>
        </w:tc>
        <w:tc>
          <w:tcPr>
            <w:tcW w:w="28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(213)</w:t>
            </w:r>
          </w:p>
        </w:tc>
        <w:tc>
          <w:tcPr>
            <w:tcW w:w="120" w:type="dxa"/>
            <w:vAlign w:val="bottom"/>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(219)</w:t>
            </w:r>
          </w:p>
        </w:tc>
      </w:tr>
      <w:tr>
        <w:trPr>
          <w:trHeight w:val="207"/>
        </w:trPr>
        <w:tc>
          <w:tcPr>
            <w:tcW w:w="74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6"/>
                <w:szCs w:val="16"/>
                <w:color w:val="auto"/>
              </w:rPr>
              <w:t>Net cash (used in) provided by financing activities</w:t>
            </w:r>
          </w:p>
        </w:tc>
        <w:tc>
          <w:tcPr>
            <w:tcW w:w="2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(2,886)</w:t>
            </w:r>
          </w:p>
        </w:tc>
        <w:tc>
          <w:tcPr>
            <w:tcW w:w="12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2,220</w:t>
            </w:r>
          </w:p>
        </w:tc>
      </w:tr>
      <w:tr>
        <w:trPr>
          <w:trHeight w:val="212"/>
        </w:trPr>
        <w:tc>
          <w:tcPr>
            <w:tcW w:w="74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Net change in cash, cash equivalents and restricted cash</w:t>
            </w: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566</w:t>
            </w:r>
          </w:p>
        </w:tc>
        <w:tc>
          <w:tcPr>
            <w:tcW w:w="1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(548)</w:t>
            </w:r>
          </w:p>
        </w:tc>
      </w:tr>
      <w:tr>
        <w:trPr>
          <w:trHeight w:val="213"/>
        </w:trPr>
        <w:tc>
          <w:tcPr>
            <w:tcW w:w="748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6"/>
                <w:szCs w:val="16"/>
                <w:color w:val="auto"/>
              </w:rPr>
              <w:t>Cash, cash equivalents and restricted cash at beginning of period</w:t>
            </w: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1,525</w:t>
            </w:r>
          </w:p>
        </w:tc>
        <w:tc>
          <w:tcPr>
            <w:tcW w:w="12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2,324</w:t>
            </w:r>
          </w:p>
        </w:tc>
      </w:tr>
      <w:tr>
        <w:trPr>
          <w:trHeight w:val="237"/>
        </w:trPr>
        <w:tc>
          <w:tcPr>
            <w:tcW w:w="748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Cash, cash equivalents and restricted cash at end of period</w:t>
            </w: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2,091</w:t>
            </w:r>
          </w:p>
        </w:tc>
        <w:tc>
          <w:tcPr>
            <w:tcW w:w="120" w:type="dxa"/>
            <w:vAlign w:val="bottom"/>
            <w:tcBorders>
              <w:bottom w:val="single" w:sz="8" w:color="CCEEFF"/>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1,776</w:t>
            </w:r>
          </w:p>
        </w:tc>
      </w:tr>
      <w:tr>
        <w:trPr>
          <w:trHeight w:val="20"/>
        </w:trPr>
        <w:tc>
          <w:tcPr>
            <w:tcW w:w="748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r>
    </w:tbl>
    <w:p>
      <w:pPr>
        <w:spacing w:after="0" w:line="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See accompanying notes to consolidated financial statements.</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73025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9960"/>
          </w:cols>
          <w:pgMar w:left="960" w:top="887" w:right="979" w:bottom="1440"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1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(Unaudited)</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1. Organization</w:t>
      </w:r>
    </w:p>
    <w:p>
      <w:pPr>
        <w:spacing w:after="0" w:line="175" w:lineRule="exact"/>
        <w:rPr>
          <w:sz w:val="20"/>
          <w:szCs w:val="20"/>
          <w:color w:val="auto"/>
        </w:rPr>
      </w:pPr>
    </w:p>
    <w:p>
      <w:pPr>
        <w:jc w:val="both"/>
        <w:ind w:firstLine="405"/>
        <w:spacing w:after="0" w:line="266" w:lineRule="auto"/>
        <w:rPr>
          <w:sz w:val="20"/>
          <w:szCs w:val="20"/>
          <w:color w:val="auto"/>
        </w:rPr>
      </w:pPr>
      <w:r>
        <w:rPr>
          <w:rFonts w:ascii="Times New Roman" w:cs="Times New Roman" w:eastAsia="Times New Roman" w:hAnsi="Times New Roman"/>
          <w:sz w:val="18"/>
          <w:szCs w:val="18"/>
          <w:color w:val="auto"/>
        </w:rPr>
        <w:t>AGNC Investment Corp. (referred throughout this report as the "Company," "we," "us" and "our") was organized in Delaware on January 7, 2008 and commenced operations on May 20, 2008 following the completion of our initial public offering. Our common stock is traded on The Nasdaq Global Select Market under the symbol "AGNC."</w:t>
      </w:r>
    </w:p>
    <w:p>
      <w:pPr>
        <w:spacing w:after="0" w:line="122" w:lineRule="exact"/>
        <w:rPr>
          <w:sz w:val="20"/>
          <w:szCs w:val="20"/>
          <w:color w:val="auto"/>
        </w:rPr>
      </w:pPr>
    </w:p>
    <w:p>
      <w:pPr>
        <w:jc w:val="both"/>
        <w:ind w:firstLine="405"/>
        <w:spacing w:after="0" w:line="255" w:lineRule="auto"/>
        <w:rPr>
          <w:sz w:val="20"/>
          <w:szCs w:val="20"/>
          <w:color w:val="auto"/>
        </w:rPr>
      </w:pPr>
      <w:r>
        <w:rPr>
          <w:rFonts w:ascii="Times New Roman" w:cs="Times New Roman" w:eastAsia="Times New Roman" w:hAnsi="Times New Roman"/>
          <w:sz w:val="18"/>
          <w:szCs w:val="18"/>
          <w:color w:val="auto"/>
        </w:rPr>
        <w:t>We are a leading provider of private capital to the U.S. housing market, enhancing liquidity in the residential real estate mortgage markets and, in turn, facilitating home ownership in the U.S. We invest primarily in Agency residential mortgage-backed securities ("Agency RMBS") for which the principal and interest payments are guaranteed by a U.S. Government-sponsored enterprise ("GSE") or a U.S. Government agency. We also invest in other types of mortgage and mortgage-related securities, such as credit risk transfer ("CRT") securities and non-Agency residential and commercial mortgage-backed securities ("non-Agency RMBS" and "CMBS," respectively), where repayment of principal and interest is not guaranteed by a GSE or U.S. Government agency, and other assets related to the housing, mortgage or real estate markets. We fund our investments primarily through collateralized borrowings structured as repurchase agreements.</w:t>
      </w:r>
    </w:p>
    <w:p>
      <w:pPr>
        <w:spacing w:after="0" w:line="135"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We operate to qualify to be taxed as a real estate investment trust ("REIT") under the Internal Revenue Code of 1986, as amended (the "Internal Revenue Code"). As a REIT, we are required to distribute annually 90% of our taxable income, and we will generally not be subject to U.S. federal or state corporate income tax to the extent that we distribute our annual taxable income to our stockholders on a timely basis. It is our intention to distribute 100% of our taxable income within the time limits prescribed by the Internal Revenue Code, which may extend into the subsequent tax year.</w:t>
      </w:r>
    </w:p>
    <w:p>
      <w:pPr>
        <w:spacing w:after="0" w:line="126"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We are internally managed with the principal objective of providing our stockholders with favorable long-term returns on a risk-adjusted basis through attractive monthly dividends. We generate income from the interest earned on our investments, net of associated borrowing and hedging costs, and net realized gains and losses on our investment and hedging activities.</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2. Summary of Significant Accounting Policies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Basis of Presentation</w:t>
      </w:r>
    </w:p>
    <w:p>
      <w:pPr>
        <w:spacing w:after="0" w:line="94"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Our accompanying consolidated financial statements and related notes have been prepared in accordance with U.S. generally accepted accounting principles ("GAAP") for interim financial information and pursuant to the requirements for reporting on Form 10-Q and Article 10 of Regulation S-X. The accompanying consolidated financial statements and related notes are unaudited and include the accounts of all our wholly-owned subsidiaries and variable interest entities for which we are the primary beneficiary. Significant intercompany accounts and transactions have been eliminated. The accompanying consolidated financial statements and related notes should be read in conjunction with the audited consolidated financial statements included in our most recent Annual Report on Form 10-K for the fiscal year ended December 31, 2021.</w:t>
      </w:r>
    </w:p>
    <w:p>
      <w:pPr>
        <w:spacing w:after="0" w:line="66"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The preparation of consolidated financial statements in conformity with GAAP requires management to make estimates and assumptions that affect the reported amounts of assets and liabilities and disclosure of contingent assets and liabilities at the date of the consolidated financial statements and the reported amounts of income and expenses during the reporting period. In the opinion of management, all adjustments, consisting solely of normal recurring accruals, necessary for the fair presentation of consolidated financial statements for the interim period have been included. The current period’s results of operations are not necessarily indicative of results that ultimately may be achieved for the year.</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Investment Securities</w:t>
      </w:r>
    </w:p>
    <w:p>
      <w:pPr>
        <w:spacing w:after="0" w:line="175" w:lineRule="exact"/>
        <w:rPr>
          <w:sz w:val="20"/>
          <w:szCs w:val="20"/>
          <w:color w:val="auto"/>
        </w:rPr>
      </w:pPr>
    </w:p>
    <w:p>
      <w:pPr>
        <w:jc w:val="both"/>
        <w:ind w:firstLine="405"/>
        <w:spacing w:after="0" w:line="266" w:lineRule="auto"/>
        <w:rPr>
          <w:sz w:val="20"/>
          <w:szCs w:val="20"/>
          <w:color w:val="auto"/>
        </w:rPr>
      </w:pPr>
      <w:r>
        <w:rPr>
          <w:rFonts w:ascii="Times New Roman" w:cs="Times New Roman" w:eastAsia="Times New Roman" w:hAnsi="Times New Roman"/>
          <w:sz w:val="18"/>
          <w:szCs w:val="18"/>
          <w:color w:val="auto"/>
        </w:rPr>
        <w:t>Agency RMBS consist of residential mortgage pass-through securities and collateralized mortgage obligations ("CMOs") guaranteed by the Federal National Mortgage Association ("Fannie Mae"), Federal Home Loan Mortgage Corporation ("Freddie Mac," and together with Fannie Mae, the "GSEs") or the Government National Mortgage Association ("Ginnie Mae").</w:t>
      </w:r>
    </w:p>
    <w:p>
      <w:pPr>
        <w:spacing w:after="0" w:line="122" w:lineRule="exact"/>
        <w:rPr>
          <w:sz w:val="20"/>
          <w:szCs w:val="20"/>
          <w:color w:val="auto"/>
        </w:rPr>
      </w:pPr>
    </w:p>
    <w:p>
      <w:pPr>
        <w:jc w:val="both"/>
        <w:ind w:firstLine="405"/>
        <w:spacing w:after="0" w:line="256" w:lineRule="auto"/>
        <w:rPr>
          <w:sz w:val="20"/>
          <w:szCs w:val="20"/>
          <w:color w:val="auto"/>
        </w:rPr>
      </w:pPr>
      <w:r>
        <w:rPr>
          <w:rFonts w:ascii="Times New Roman" w:cs="Times New Roman" w:eastAsia="Times New Roman" w:hAnsi="Times New Roman"/>
          <w:sz w:val="18"/>
          <w:szCs w:val="18"/>
          <w:color w:val="auto"/>
        </w:rPr>
        <w:t>CRT securities are risk sharing instruments issued by the GSEs, and similarly structured transactions issued by third-party market participants, that synthetically transfer a portion of the risk associated with credit losses within pools of conventional residential mortgage loans from the GSEs and/or third parties to private investors. Unlike Agency RMBS, full repayment of the original principal balance of CRT securities is not guaranteed by a GSE or U.S. Government agency; rather, "credit risk transfer" is achieved by writing down the outstanding principal balance of the CRT securities if credit losses on a related pool of loans exceed certain thresholds. By reducing the amount that they are obligated to repay to holders of CRT securities, the GSEs and/or other third parties offset credit losses on the related loans.</w:t>
      </w: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7" w:right="339" w:bottom="1440" w:gutter="0" w:footer="0" w:header="0"/>
        </w:sectPr>
      </w:pPr>
    </w:p>
    <w:bookmarkStart w:id="7" w:name="page8"/>
    <w:bookmarkEnd w:id="7"/>
    <w:p>
      <w:pPr>
        <w:jc w:val="both"/>
        <w:ind w:firstLine="405"/>
        <w:spacing w:after="0" w:line="266" w:lineRule="auto"/>
        <w:rPr>
          <w:sz w:val="20"/>
          <w:szCs w:val="20"/>
          <w:color w:val="auto"/>
        </w:rPr>
      </w:pPr>
      <w:r>
        <w:rPr>
          <w:rFonts w:ascii="Times New Roman" w:cs="Times New Roman" w:eastAsia="Times New Roman" w:hAnsi="Times New Roman"/>
          <w:sz w:val="18"/>
          <w:szCs w:val="18"/>
          <w:color w:val="auto"/>
        </w:rPr>
        <w:t>Non-Agency RMBS and CMBS (together, "Non-Agency MBS") are backed by residential and commercial mortgage loans, respectively, packaged and securitized by a private institution, such as a commercial bank. Non-Agency MBS typically benefit from credit enhancements derived from structural elements, such as subordination, over-collateralization or insurance, but nonetheless carry a higher level of credit exposure than Agency RMBS.</w:t>
      </w:r>
    </w:p>
    <w:p>
      <w:pPr>
        <w:spacing w:after="0" w:line="120" w:lineRule="exact"/>
        <w:rPr>
          <w:sz w:val="20"/>
          <w:szCs w:val="20"/>
          <w:color w:val="auto"/>
        </w:rPr>
      </w:pPr>
    </w:p>
    <w:p>
      <w:pPr>
        <w:jc w:val="both"/>
        <w:ind w:firstLine="445"/>
        <w:spacing w:after="0" w:line="253" w:lineRule="auto"/>
        <w:rPr>
          <w:sz w:val="20"/>
          <w:szCs w:val="20"/>
          <w:color w:val="auto"/>
        </w:rPr>
      </w:pPr>
      <w:r>
        <w:rPr>
          <w:rFonts w:ascii="Times New Roman" w:cs="Times New Roman" w:eastAsia="Times New Roman" w:hAnsi="Times New Roman"/>
          <w:sz w:val="18"/>
          <w:szCs w:val="18"/>
          <w:color w:val="auto"/>
        </w:rPr>
        <w:t xml:space="preserve">All of our securities are reported at fair value on our consolidated balance sheet. Accounting Standards Codification ("ASC") Topic 320, </w:t>
      </w:r>
      <w:r>
        <w:rPr>
          <w:rFonts w:ascii="Times New Roman" w:cs="Times New Roman" w:eastAsia="Times New Roman" w:hAnsi="Times New Roman"/>
          <w:sz w:val="18"/>
          <w:szCs w:val="18"/>
          <w:i w:val="1"/>
          <w:iCs w:val="1"/>
          <w:color w:val="auto"/>
        </w:rPr>
        <w:t>Investments</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—Debt and Equity Securities</w:t>
      </w:r>
      <w:r>
        <w:rPr>
          <w:rFonts w:ascii="Times New Roman" w:cs="Times New Roman" w:eastAsia="Times New Roman" w:hAnsi="Times New Roman"/>
          <w:sz w:val="18"/>
          <w:szCs w:val="18"/>
          <w:color w:val="auto"/>
        </w:rPr>
        <w:t>, requires that at the time of purchase, we designate a security as held-to-maturity, available-for-sale or trading, depending 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 xml:space="preserve">our ability and intent to hold such security to maturity. Alternatively, we may elect the fair value option of accounting for securities pursuant to ASC Topic 825, </w:t>
      </w:r>
      <w:r>
        <w:rPr>
          <w:rFonts w:ascii="Times New Roman" w:cs="Times New Roman" w:eastAsia="Times New Roman" w:hAnsi="Times New Roman"/>
          <w:sz w:val="18"/>
          <w:szCs w:val="18"/>
          <w:i w:val="1"/>
          <w:iCs w:val="1"/>
          <w:color w:val="auto"/>
        </w:rPr>
        <w:t>Financial Instruments</w:t>
      </w:r>
      <w:r>
        <w:rPr>
          <w:rFonts w:ascii="Times New Roman" w:cs="Times New Roman" w:eastAsia="Times New Roman" w:hAnsi="Times New Roman"/>
          <w:sz w:val="18"/>
          <w:szCs w:val="18"/>
          <w:color w:val="auto"/>
        </w:rPr>
        <w:t>. Prior to fiscal year 2017, we primarily designated our investment securities as available-for-sale. On January 1, 2017, we began electing the fair value option of accounting for all investment securities newly acquired after such date. Unrealized gains and losses on securities classified as available-for-sale are reported in accumulated other comprehensive income ("OCI"), whereas unrealized gains and losses on securities for which we elected the fair value option, or are classified as trading, are reported in net income through other gain (loss). Upon the sale of a security designated as available-for-sale, we determine the cost of the security and the amount of unrealized gain or loss to reclassify out of accumulated OCI into earnings based on the specific identification method. In our view, the election of the fair value option simplifies the accounting for investment securities and more appropriately reflects the results of our operations for a reporting period by presenting the fair value changes for these assets in a manner consistent with the presentation and timing of the fair value changes for our derivative instruments.</w:t>
      </w:r>
    </w:p>
    <w:p>
      <w:pPr>
        <w:spacing w:after="0" w:line="140"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We generally recognize gains or losses through net income on available-for-sale securities only if the security is sold; however, if the fair value of a security declines below its amortized cost and we determine that it is more likely than not that we will incur a realized loss on the security when we sell the asset, we will recognize the difference between the amortized cost and the fair value in net income as a component of other gain (loss). Since all of our available-for-sale designated securities consist of Agency RMBS, we do not have an allowance for credit losses. We have not recognized impairment losses on our available-for-sale securities through net income for the periods presented in our consolidated financial statements.</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Income</w:t>
      </w:r>
    </w:p>
    <w:p>
      <w:pPr>
        <w:spacing w:after="0" w:line="175"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 xml:space="preserve">Interest income is accrued based on the outstanding principal amount of the investment securities and their contractual terms. Premiums or discounts associated with the purchase of Agency RMBS and non-Agency MBS of high credit quality are amortized or accreted into interest income, respectively, over the projected lives of the securities, including contractual payments and estimated prepayments, using the effective interest method in accordance with ASC Subtopic 310-20, </w:t>
      </w:r>
      <w:r>
        <w:rPr>
          <w:rFonts w:ascii="Times New Roman" w:cs="Times New Roman" w:eastAsia="Times New Roman" w:hAnsi="Times New Roman"/>
          <w:sz w:val="18"/>
          <w:szCs w:val="18"/>
          <w:i w:val="1"/>
          <w:iCs w:val="1"/>
          <w:color w:val="auto"/>
        </w:rPr>
        <w:t>Receivables—Nonrefundable Fees and Other Costs</w:t>
      </w:r>
      <w:r>
        <w:rPr>
          <w:rFonts w:ascii="Times New Roman" w:cs="Times New Roman" w:eastAsia="Times New Roman" w:hAnsi="Times New Roman"/>
          <w:sz w:val="18"/>
          <w:szCs w:val="18"/>
          <w:color w:val="auto"/>
        </w:rPr>
        <w:t>.</w:t>
      </w:r>
    </w:p>
    <w:p>
      <w:pPr>
        <w:spacing w:after="0" w:line="126" w:lineRule="exact"/>
        <w:rPr>
          <w:sz w:val="20"/>
          <w:szCs w:val="20"/>
          <w:color w:val="auto"/>
        </w:rPr>
      </w:pPr>
    </w:p>
    <w:p>
      <w:pPr>
        <w:jc w:val="both"/>
        <w:ind w:firstLine="445"/>
        <w:spacing w:after="0" w:line="253" w:lineRule="auto"/>
        <w:rPr>
          <w:sz w:val="20"/>
          <w:szCs w:val="20"/>
          <w:color w:val="auto"/>
        </w:rPr>
      </w:pPr>
      <w:r>
        <w:rPr>
          <w:rFonts w:ascii="Times New Roman" w:cs="Times New Roman" w:eastAsia="Times New Roman" w:hAnsi="Times New Roman"/>
          <w:sz w:val="18"/>
          <w:szCs w:val="18"/>
          <w:color w:val="auto"/>
        </w:rPr>
        <w:t>We estimate long-term prepayment speeds of our mortgage securities using a third-party service and market data. The third-party service provider estimates prepayment speeds using models that incorporate the forward yield curve, primary to secondary mortgage rate spreads, current mortgage rates, mortgage rates of the outstanding loans, age and size of the outstanding loans, loan-to-value ratios, interest rate volatility and other factors. We review the prepayment speeds estimated by the third-party service for reasonableness with consideration given to both historical prepayment speeds and current market conditions. If based on our assessment, we believe that the third-party model does not fully reflect our expectations of the current prepayment landscape, such as during periods of elevated market uncertainty or unique market conditions, we may make adjustments to the models. We review our actual and anticipated prepayment experience on at least a quarterly basis and effective yields are recalculated when differences arise between (i) our previous estimate of future prepayments and (ii) actual prepayments to date and our current estimate of future prepayments. We are required to record an adjustment in the current period to premium amortization / discount accretion for the cumulative effect of the difference in the effective yields as if the recalculated yield had been in place as of the security's acquisition date through the reporting date.</w:t>
      </w:r>
    </w:p>
    <w:p>
      <w:pPr>
        <w:spacing w:after="0" w:line="140" w:lineRule="exact"/>
        <w:rPr>
          <w:sz w:val="20"/>
          <w:szCs w:val="20"/>
          <w:color w:val="auto"/>
        </w:rPr>
      </w:pPr>
    </w:p>
    <w:p>
      <w:pPr>
        <w:jc w:val="both"/>
        <w:ind w:firstLine="445"/>
        <w:spacing w:after="0" w:line="255" w:lineRule="auto"/>
        <w:rPr>
          <w:sz w:val="20"/>
          <w:szCs w:val="20"/>
          <w:color w:val="auto"/>
        </w:rPr>
      </w:pPr>
      <w:r>
        <w:rPr>
          <w:rFonts w:ascii="Times New Roman" w:cs="Times New Roman" w:eastAsia="Times New Roman" w:hAnsi="Times New Roman"/>
          <w:sz w:val="18"/>
          <w:szCs w:val="18"/>
          <w:color w:val="auto"/>
        </w:rPr>
        <w:t>At the time we purchase CRT securities and non-Agency MBS that are not of high credit quality, we determine an effective yield based on our estimate of the timing and amount of future cash flows and our cost basis. Our initial cash flow estimates for these investments are based on our observations of current information and events and include assumptions related to interest rates, prepayment rates, collateral call provisions, and the impact of default and severity rates on the timing and amount of credit losses. On at least a quarterly basis, we review the estimated cash flows and make appropriate adjustments based on inputs and analysis received from external sources, internal models, and our judgment regarding such inputs and other factors. Any resulting changes in effective yield are recognized prospectively based on the current amortized cost of the investment adjusted for credit impairments, if any.</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Repurchase Agreements</w:t>
      </w:r>
    </w:p>
    <w:p>
      <w:pPr>
        <w:spacing w:after="0" w:line="175"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We finance the acquisition of securities for our investment portfolio primarily through repurchase agreements with financial institutions. Repurchase arrangements involve the sale and a simultaneous agreement to repurchase the transferred</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8" w:name="page9"/>
    <w:bookmarkEnd w:id="8"/>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assets at a future date. We maintain a beneficial interest in the specific securities pledged during the term of each repurchase arrangement and we receive the related principal and interest payments. Pursuant to ASC Topic 860, </w:t>
      </w:r>
      <w:r>
        <w:rPr>
          <w:rFonts w:ascii="Times New Roman" w:cs="Times New Roman" w:eastAsia="Times New Roman" w:hAnsi="Times New Roman"/>
          <w:sz w:val="18"/>
          <w:szCs w:val="18"/>
          <w:i w:val="1"/>
          <w:iCs w:val="1"/>
          <w:color w:val="auto"/>
        </w:rPr>
        <w:t>Transfers and Servicing</w:t>
      </w:r>
      <w:r>
        <w:rPr>
          <w:rFonts w:ascii="Times New Roman" w:cs="Times New Roman" w:eastAsia="Times New Roman" w:hAnsi="Times New Roman"/>
          <w:sz w:val="18"/>
          <w:szCs w:val="18"/>
          <w:color w:val="auto"/>
        </w:rPr>
        <w:t>, we account for repurchase agreements as collateralized financing transactions, which are carried at their contractual amounts (cost), plus accrued interest. Our repurchase agreements typically have maturities of less than one year.</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Reverse Repurchase Agreements and Obligation to Return Securities Borrowed under Reverse Repurchase Agreements</w:t>
      </w:r>
    </w:p>
    <w:p>
      <w:pPr>
        <w:spacing w:after="0" w:line="175"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18"/>
          <w:szCs w:val="18"/>
          <w:color w:val="auto"/>
        </w:rPr>
        <w:t xml:space="preserve">We borrow securities to cover short sales of U.S. Treasury securities through reverse repurchase transactions under our master repurchase agreements (see </w:t>
      </w:r>
      <w:r>
        <w:rPr>
          <w:rFonts w:ascii="Times New Roman" w:cs="Times New Roman" w:eastAsia="Times New Roman" w:hAnsi="Times New Roman"/>
          <w:sz w:val="18"/>
          <w:szCs w:val="18"/>
          <w:i w:val="1"/>
          <w:iCs w:val="1"/>
          <w:color w:val="auto"/>
        </w:rPr>
        <w:t>Derivative Instruments</w:t>
      </w:r>
      <w:r>
        <w:rPr>
          <w:rFonts w:ascii="Times New Roman" w:cs="Times New Roman" w:eastAsia="Times New Roman" w:hAnsi="Times New Roman"/>
          <w:sz w:val="18"/>
          <w:szCs w:val="18"/>
          <w:color w:val="auto"/>
        </w:rPr>
        <w:t xml:space="preserve"> below). We account for these as securities borrowing transactions and recognize an obligation to return the borrowed securities at fair value on the balance sheet based on the value of the underlying borrowed securities as of the reporting date. We may also enter into reverse repurchase agreements to earn a yield on excess cash balances. The securities received as collateral in connection with our reverse repurchase agreements mitigate our credit risk exposure to counterparties. Our reverse repurchase agreements typically have maturities of 30 days or less.</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Derivative Instruments</w:t>
      </w:r>
    </w:p>
    <w:p>
      <w:pPr>
        <w:spacing w:after="0" w:line="175" w:lineRule="exact"/>
        <w:rPr>
          <w:sz w:val="20"/>
          <w:szCs w:val="20"/>
          <w:color w:val="auto"/>
        </w:rPr>
      </w:pPr>
    </w:p>
    <w:p>
      <w:pPr>
        <w:jc w:val="both"/>
        <w:ind w:firstLine="405"/>
        <w:spacing w:after="0" w:line="256" w:lineRule="auto"/>
        <w:rPr>
          <w:sz w:val="20"/>
          <w:szCs w:val="20"/>
          <w:color w:val="auto"/>
        </w:rPr>
      </w:pPr>
      <w:r>
        <w:rPr>
          <w:rFonts w:ascii="Times New Roman" w:cs="Times New Roman" w:eastAsia="Times New Roman" w:hAnsi="Times New Roman"/>
          <w:sz w:val="18"/>
          <w:szCs w:val="18"/>
          <w:color w:val="auto"/>
        </w:rPr>
        <w:t>We use a variety of derivative instruments to hedge a portion of our exposure to market risks, including interest rate, prepayment, extension and liquidity risks. The objective of our risk management strategy is to reduce fluctuations in net book value over a range of interest rate scenarios. In particular, we attempt to mitigate the risk of the cost of our variable rate liabilities increasing during a period of rising interest rates. The primary instruments that we use are interest rate swaps, options to enter into interest rate swaps ("swaptions"), U.S. Treasury securities and U.S. Treasury futures contracts. We also use forward contracts in the Agency RMBS "to-be-announced" market, or TBA securities, to invest in and finance Agency securities and to periodically reduce our exposure to Agency RMBS.</w:t>
      </w:r>
    </w:p>
    <w:p>
      <w:pPr>
        <w:spacing w:after="0" w:line="131"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 xml:space="preserve">We account for derivative instruments in accordance with ASC Topic 815, </w:t>
      </w:r>
      <w:r>
        <w:rPr>
          <w:rFonts w:ascii="Times New Roman" w:cs="Times New Roman" w:eastAsia="Times New Roman" w:hAnsi="Times New Roman"/>
          <w:sz w:val="18"/>
          <w:szCs w:val="18"/>
          <w:i w:val="1"/>
          <w:iCs w:val="1"/>
          <w:color w:val="auto"/>
        </w:rPr>
        <w:t>Derivatives and Hedging</w:t>
      </w:r>
      <w:r>
        <w:rPr>
          <w:rFonts w:ascii="Times New Roman" w:cs="Times New Roman" w:eastAsia="Times New Roman" w:hAnsi="Times New Roman"/>
          <w:sz w:val="18"/>
          <w:szCs w:val="18"/>
          <w:color w:val="auto"/>
        </w:rPr>
        <w:t xml:space="preserve"> ("ASC 815"). ASC 815 requires an entity to recognize all derivatives as either assets or liabilities in our accompanying consolidated balance sheets and to measure those instruments at fair value. None of our derivative instruments have been designated as hedging instruments for accounting purposes under the provisions of ASC 815, consequently changes in the fair value of our derivative instruments are reported in gain (loss) on derivative instruments and other securities, net in our consolidated statements of comprehensive income.</w:t>
      </w:r>
    </w:p>
    <w:p>
      <w:pPr>
        <w:spacing w:after="0" w:line="131" w:lineRule="exact"/>
        <w:rPr>
          <w:sz w:val="20"/>
          <w:szCs w:val="20"/>
          <w:color w:val="auto"/>
        </w:rPr>
      </w:pPr>
    </w:p>
    <w:p>
      <w:pPr>
        <w:jc w:val="both"/>
        <w:ind w:firstLine="405"/>
        <w:spacing w:after="0" w:line="255" w:lineRule="auto"/>
        <w:rPr>
          <w:sz w:val="20"/>
          <w:szCs w:val="20"/>
          <w:color w:val="auto"/>
        </w:rPr>
      </w:pPr>
      <w:r>
        <w:rPr>
          <w:rFonts w:ascii="Times New Roman" w:cs="Times New Roman" w:eastAsia="Times New Roman" w:hAnsi="Times New Roman"/>
          <w:sz w:val="18"/>
          <w:szCs w:val="18"/>
          <w:color w:val="auto"/>
        </w:rPr>
        <w:t>Our derivative agreements generally contain provisions that allow for netting or setting off derivative assets and liabilities with the counterparty; however, we report related assets and liabilities on a gross basis in our consolidated balance sheets. Derivative instruments in a gain position are reported as derivative assets at fair value and derivative instruments in a loss position are reported as derivative liabilities at fair value in our consolidated balance sheets. Changes in fair value of derivative instruments and periodic settlements related to our derivative instruments are recorded in gain (loss) on derivative instruments and other securities, net in our consolidated statements of comprehensive income. Cash receipts and payments related to derivative instruments are classified in our consolidated statements of cash flows according to the underlying nature or purpose of the derivative transaction, generally in the investing section.</w:t>
      </w:r>
    </w:p>
    <w:p>
      <w:pPr>
        <w:spacing w:after="0" w:line="133"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i w:val="1"/>
          <w:iCs w:val="1"/>
          <w:color w:val="auto"/>
        </w:rPr>
        <w:t>Interest rate swap agreements</w:t>
      </w:r>
    </w:p>
    <w:p>
      <w:pPr>
        <w:spacing w:after="0" w:line="173"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color w:val="auto"/>
        </w:rPr>
        <w:t>We use interest rate swaps to economically hedge the variable cash flows associated with our borrowings made under repurchase agreements. Under our interest rate swap agreements, we typically pay a fixed rate and receive a floating rate ("payer swaps") based on a short-term benchmark rate, such as the Secured Overnight Financing Rate ("SOFR") and Overnight Index Swap Rate ("OIS"). Our interest rate swaps typically have terms from one to 10 years. Our interest rate swaps are centrally cleared through a registered commodities exchange. The clearing exchange requires that we post an "initial margin" amount determined by the exchange. The initial margin amount is intended to be set at a level sufficient to protect the exchange from the interest rate swap's maximum estimated single-day price movement and is subject to adjustment based on changes in market volatility and other factors. We also exchange daily settlements of "variation margin" based upon changes in fair value, as measured by the exchange. Pursuant to rules governing central clearing activities, we recognize variation margin settlements as a direct reduction of the carrying value of the interest rate swap asset or liability.</w:t>
      </w:r>
    </w:p>
    <w:p>
      <w:pPr>
        <w:spacing w:after="0" w:line="136"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i w:val="1"/>
          <w:iCs w:val="1"/>
          <w:color w:val="auto"/>
        </w:rPr>
        <w:t>Interest rate swaptions</w:t>
      </w:r>
    </w:p>
    <w:p>
      <w:pPr>
        <w:spacing w:after="0" w:line="173"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We purchase interest rate swaptions to help mitigate the potential impact of larger, more rapid changes in interest rates on the performance of our investment portfolio. Interest rate swaptions provide us the option to enter into an interest rate swap agreement for a predetermined notional amount, stated term and pay and receive interest rates in the future. Our interest rate swaption agreements are not subject to central clearing. The difference between the premium paid and the fair value of the swaption is reported in gain (loss) on derivative instruments and other securities, net in our consolidated statements of comprehensive income. If a swaption expires unexercised, the realized loss on the swaption would be equal to the premium</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9" w:name="page10"/>
    <w:bookmarkEnd w:id="9"/>
    <w:p>
      <w:pPr>
        <w:jc w:val="both"/>
        <w:spacing w:after="0" w:line="282" w:lineRule="auto"/>
        <w:rPr>
          <w:sz w:val="20"/>
          <w:szCs w:val="20"/>
          <w:color w:val="auto"/>
        </w:rPr>
      </w:pPr>
      <w:r>
        <w:rPr>
          <w:rFonts w:ascii="Times New Roman" w:cs="Times New Roman" w:eastAsia="Times New Roman" w:hAnsi="Times New Roman"/>
          <w:sz w:val="18"/>
          <w:szCs w:val="18"/>
          <w:color w:val="auto"/>
        </w:rPr>
        <w:t>paid. If we sell or exercise a swaption, the realized gain or loss on the swaption would be equal to the difference between the cash or the fair value of the underlying interest rate swap and the premium paid.</w:t>
      </w:r>
    </w:p>
    <w:p>
      <w:pPr>
        <w:spacing w:after="0" w:line="106"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i w:val="1"/>
          <w:iCs w:val="1"/>
          <w:color w:val="auto"/>
        </w:rPr>
        <w:t>TBA securities</w:t>
      </w:r>
    </w:p>
    <w:p>
      <w:pPr>
        <w:spacing w:after="0" w:line="173"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color w:val="auto"/>
        </w:rPr>
        <w:t>A TBA security is a forward contract for the purchase or sale of Agency RMBS at a predetermined price, face amount, issuer, coupon and stated maturity on an agreed-upon future date. The specific Agency RMBS to be delivered into the contract are not known until shortly before the settlement date. We may choose, prior to settlement, to move the settlement of these securities out to a later date by entering into an offsetting TBA position, net settling the offsetting positions for cash, and simultaneously purchasing or selling a similar TBA contract for a later settlement date (together referred to as a "dollar roll transaction"). The Agency securities purchased or sold for a forward settlement date are typically priced at a discount to equivalent securities settling in the current month. This difference, or "price drop," is the economic equivalent of interest income on the underlying Agency securities, less an implied funding cost, over the forward settlement period (referred to as "dollar roll income"). Consequently, forward purchases of Agency securities and dollar roll transactions represent a form of off-balance sheet financing.</w:t>
      </w:r>
    </w:p>
    <w:p>
      <w:pPr>
        <w:spacing w:after="0" w:line="138"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We account for TBA contracts as derivative instruments since either the TBA contracts do not settle in the shortest period of time possible or we cannot assert that it is probable at inception and throughout the term of the TBA contract that we will physically settle the contract on the settlement date. We account for TBA dollar roll transactions as a series of derivative transactions.</w:t>
      </w:r>
    </w:p>
    <w:p>
      <w:pPr>
        <w:spacing w:after="0" w:line="120"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i w:val="1"/>
          <w:iCs w:val="1"/>
          <w:color w:val="auto"/>
        </w:rPr>
        <w:t>U.S. Treasury securities</w:t>
      </w:r>
    </w:p>
    <w:p>
      <w:pPr>
        <w:spacing w:after="0" w:line="173"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We use U.S. Treasury securities and U.S. Treasury futures contracts to mitigate the potential impact of changes in interest rates on the performance of our portfolio. We borrow U.S. Treasury securities under reverse repurchase agreements to cover short sales of U.S. Treasury securities. We account for these as securities borrowing transactions and recognize an obligation to return the borrowed securities at fair value on our accompanying consolidated balance sheets based on the value of the underlying U.S. Treasury security as of the reporting date. Gains and losses associated with U.S. Treasury securities and U.S. Treasury futures contracts are recognized in gain (loss) on derivative instruments and other securities, net in our consolidated statements of comprehensive income.</w:t>
      </w: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Fair Value Measurements</w:t>
      </w:r>
    </w:p>
    <w:p>
      <w:pPr>
        <w:spacing w:after="0" w:line="175"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We determine the fair value of financial instruments based on our estimate of the price that would be received to sell the asset or paid to transfer the liability in an orderly transaction between market participants at the measurement date. We utilize a three-level valuation hierarchy for disclosure of fair value measurements based upon the transparency of inputs to the valuation of the instrument as of the measurement date. We categorize a financial instrument within the hierarchy based upon the lowest level of input that is significant to the fair value measurement.</w:t>
      </w:r>
    </w:p>
    <w:p>
      <w:pPr>
        <w:spacing w:after="0" w:line="126"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 three levels of valuation hierarchy are defined as follows:</w:t>
      </w:r>
    </w:p>
    <w:p>
      <w:pPr>
        <w:spacing w:after="0" w:line="171" w:lineRule="exact"/>
        <w:rPr>
          <w:sz w:val="20"/>
          <w:szCs w:val="20"/>
          <w:color w:val="auto"/>
        </w:rPr>
      </w:pPr>
    </w:p>
    <w:p>
      <w:pPr>
        <w:ind w:left="660" w:hanging="328"/>
        <w:spacing w:after="0" w:line="282" w:lineRule="auto"/>
        <w:tabs>
          <w:tab w:leader="none" w:pos="65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1 Inputs —Quoted prices (unadjusted) for identical unrestricted assets and liabilities in active markets that are accessible at the measurement date.</w:t>
      </w:r>
    </w:p>
    <w:p>
      <w:pPr>
        <w:spacing w:after="0" w:line="107" w:lineRule="exact"/>
        <w:rPr>
          <w:rFonts w:ascii="Times New Roman" w:cs="Times New Roman" w:eastAsia="Times New Roman" w:hAnsi="Times New Roman"/>
          <w:sz w:val="18"/>
          <w:szCs w:val="18"/>
          <w:color w:val="auto"/>
        </w:rPr>
      </w:pPr>
    </w:p>
    <w:p>
      <w:pPr>
        <w:ind w:left="660" w:hanging="328"/>
        <w:spacing w:after="0" w:line="282" w:lineRule="auto"/>
        <w:tabs>
          <w:tab w:leader="none" w:pos="655"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2 Inputs —Quoted prices for similar assets and liabilities in active markets; quoted prices for identical or similar instruments in markets that are not active; and model-derived valuations whose inputs are observable or whose significant value drivers are observable.</w:t>
      </w:r>
    </w:p>
    <w:p>
      <w:pPr>
        <w:spacing w:after="0" w:line="10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Level 3 Inputs —Instruments with primarily unobservable market data that cannot be corroborated.</w:t>
      </w:r>
    </w:p>
    <w:p>
      <w:pPr>
        <w:spacing w:after="0" w:line="171"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color w:val="auto"/>
        </w:rPr>
        <w:t>The majority of our financial instruments are classified as Level 2 inputs. The availability of observable inputs can be affected by a wide variety of factors, including the type of instrument, whether the instrument is new and not yet established in the marketplace and other characteristics particular to the instrument. We typically obtain price estimates from multiple third-party pricing sources, such as pricing services and dealers, or, if applicable, the registered clearing exchange. We make inquiries of third-party pricing sources to understand the significant inputs and assumptions they used to determine their prices and that they are derived from orderly transactions, particularly during periods of elevated market turbulence and reduced market liquidity. We also review third-party price estimates and perform procedures to validate their reasonableness, including an analysis of the range of estimates for each position, comparison to recent trade activity for similar securities and for consistency with market conditions observed as of the measurement date. While we do not adjust prices we obtain from pricing sources, we will exclude prices for securities from our estimation of fair value if we determine based on our validation procedures and our market knowledge and expertise that the price is significantly different from what observable market data</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10" w:name="page11"/>
    <w:bookmarkEnd w:id="10"/>
    <w:p>
      <w:pPr>
        <w:spacing w:after="0"/>
        <w:rPr>
          <w:sz w:val="20"/>
          <w:szCs w:val="20"/>
          <w:color w:val="auto"/>
        </w:rPr>
      </w:pPr>
      <w:r>
        <w:rPr>
          <w:rFonts w:ascii="Times New Roman" w:cs="Times New Roman" w:eastAsia="Times New Roman" w:hAnsi="Times New Roman"/>
          <w:sz w:val="18"/>
          <w:szCs w:val="18"/>
          <w:color w:val="auto"/>
        </w:rPr>
        <w:t>would indicate and we cannot obtain an understanding from the third-party source as to the significant inputs used to determine the price.</w:t>
      </w:r>
    </w:p>
    <w:p>
      <w:pPr>
        <w:spacing w:after="0" w:line="171"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The following is a description of the valuation methodologies used for instruments measured at fair value on a recurring basis classified as Level 2 inputs. These instruments trade in active markets such that participants transact with sufficient frequency and volume to provide transparent pricing information on an ongoing basis. The liquidity of these markets and the similarity of our securities and derivative instruments to those actively traded enable our pricing sources and us to observe quoted prices in the market and utilize those prices as a basis for formulating fair value measurements.</w:t>
      </w:r>
    </w:p>
    <w:p>
      <w:pPr>
        <w:spacing w:after="0" w:line="124"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i w:val="1"/>
          <w:iCs w:val="1"/>
          <w:color w:val="auto"/>
        </w:rPr>
        <w:t xml:space="preserve">Investment securities </w:t>
      </w:r>
      <w:r>
        <w:rPr>
          <w:rFonts w:ascii="Times New Roman" w:cs="Times New Roman" w:eastAsia="Times New Roman" w:hAnsi="Times New Roman"/>
          <w:sz w:val="18"/>
          <w:szCs w:val="18"/>
          <w:color w:val="auto"/>
        </w:rPr>
        <w:t>- are valued based on prices obtained from multiple third-party pricing sources. The pricing sources utilize various valuation</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approaches, including market and income approaches. For Agency RMBS, the pricing sources primarily utilize a matrix pricing technique that interpolates the estimated fair value based on observed quoted prices for forward contracts in the Agency RMBS "to-be-announced" market ("TBA securities") of the same coupon, maturity and issuer, adjusted to reflect the specific characteristics of the pool of mortgages underlying the Agency security, such as maximum loan balance, loan vintage, loan-to-value ratio, geography and other characteristics as may be appropriate. For other investment securities, the pricing sources primarily utilize discounted cash flow model-derived pricing techniques to estimate the fair value. Such models incorporate market-based discount rate assumptions based on observable inputs such as recent trading activity, credit data, volatility statistics, benchmark interest rate curves, spread measurements to benchmark curves and other market data that are current as of the measurement date and may include certain unobservable inputs, such as assumptions of future levels of prepayment, defaults and loss severities.</w:t>
      </w:r>
    </w:p>
    <w:p>
      <w:pPr>
        <w:spacing w:after="0" w:line="134"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i w:val="1"/>
          <w:iCs w:val="1"/>
          <w:color w:val="auto"/>
        </w:rPr>
        <w:t xml:space="preserve">TBA securities </w:t>
      </w:r>
      <w:r>
        <w:rPr>
          <w:rFonts w:ascii="Times New Roman" w:cs="Times New Roman" w:eastAsia="Times New Roman" w:hAnsi="Times New Roman"/>
          <w:sz w:val="18"/>
          <w:szCs w:val="18"/>
          <w:color w:val="auto"/>
        </w:rPr>
        <w:t>- are valued using prices obtained from third-party pricing sources based on pricing models that reference recent trading activity.</w:t>
      </w:r>
    </w:p>
    <w:p>
      <w:pPr>
        <w:spacing w:after="0" w:line="171" w:lineRule="exact"/>
        <w:rPr>
          <w:sz w:val="20"/>
          <w:szCs w:val="20"/>
          <w:color w:val="auto"/>
        </w:rPr>
      </w:pPr>
    </w:p>
    <w:p>
      <w:pPr>
        <w:jc w:val="both"/>
        <w:ind w:firstLine="445"/>
        <w:spacing w:after="0" w:line="284" w:lineRule="auto"/>
        <w:rPr>
          <w:sz w:val="20"/>
          <w:szCs w:val="20"/>
          <w:color w:val="auto"/>
        </w:rPr>
      </w:pPr>
      <w:r>
        <w:rPr>
          <w:rFonts w:ascii="Times New Roman" w:cs="Times New Roman" w:eastAsia="Times New Roman" w:hAnsi="Times New Roman"/>
          <w:sz w:val="18"/>
          <w:szCs w:val="18"/>
          <w:i w:val="1"/>
          <w:iCs w:val="1"/>
          <w:color w:val="auto"/>
        </w:rPr>
        <w:t xml:space="preserve">Interest rate swaps </w:t>
      </w:r>
      <w:r>
        <w:rPr>
          <w:rFonts w:ascii="Times New Roman" w:cs="Times New Roman" w:eastAsia="Times New Roman" w:hAnsi="Times New Roman"/>
          <w:sz w:val="18"/>
          <w:szCs w:val="18"/>
          <w:color w:val="auto"/>
        </w:rPr>
        <w:t>- are valued using the daily settlement price, or fair value, determined by the clearing exchange based on a pricing model that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references observable market inputs, including current benchmark rates and the forward yield curve.</w:t>
      </w:r>
    </w:p>
    <w:p>
      <w:pPr>
        <w:spacing w:after="0" w:line="104" w:lineRule="exact"/>
        <w:rPr>
          <w:sz w:val="20"/>
          <w:szCs w:val="20"/>
          <w:color w:val="auto"/>
        </w:rPr>
      </w:pPr>
    </w:p>
    <w:p>
      <w:pPr>
        <w:jc w:val="both"/>
        <w:ind w:firstLine="445"/>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Interest rate swaptions </w:t>
      </w:r>
      <w:r>
        <w:rPr>
          <w:rFonts w:ascii="Times New Roman" w:cs="Times New Roman" w:eastAsia="Times New Roman" w:hAnsi="Times New Roman"/>
          <w:sz w:val="18"/>
          <w:szCs w:val="18"/>
          <w:color w:val="auto"/>
        </w:rPr>
        <w:t>- are valued using prices obtained from the counterparty and other third-party pricing models. The pricing models are based</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on the value of the future interest rate swap that we have the option to enter into as well as the remaining length of time that we have to exercise the option based on observable market inputs, adjusted for non-performance risk, if any.</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U.S. Treasury securities and futures are valued based on quoted prices for identical instruments in active markets and are classified as Level 1 assets.</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 of our financial instruments are classified as Level 3 inputs.</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 Accounting Pronouncements</w:t>
      </w:r>
    </w:p>
    <w:p>
      <w:pPr>
        <w:spacing w:after="0" w:line="175"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We consider the applicability and impact of all ASUs issued by the FASB. There are no unadopted ASUs that are expected to have a significant impact on our consolidated financial statements when adopted or other recently adopted ASUs that had a significant impact on our consolidated financial statements upon adoption.</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3. Investment Securities</w:t>
      </w:r>
    </w:p>
    <w:p>
      <w:pPr>
        <w:spacing w:after="0" w:line="175"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As of March 31, 2022 and December 31, 2021, our investment portfolio consisted of: $49.1 billion and $54.4 billion investment securities, at fair value, respectively; $19.5 billion and $27.1 billion net TBA securities, at fair value, respectively; and, as of December 31, 2021, $0.4 billion forward settling non-Agency securities, at fair value. Our net TBA position and forward settling non-Agency securities are reported at their net carrying value totaling $(609) million and $(44) million as of March 31, 2022 and December 31, 2021, respectively, in derivative assets / (liabilities) on our accompanying consolidated balance sheets. The net carrying value of our TBA position and forward settling non-Agency securities represents the difference between the fair value of the underlying security and the cost basis or the forward price to be paid or received for the underlying security.</w:t>
      </w:r>
    </w:p>
    <w:p>
      <w:pPr>
        <w:spacing w:after="0" w:line="133" w:lineRule="exact"/>
        <w:rPr>
          <w:sz w:val="20"/>
          <w:szCs w:val="20"/>
          <w:color w:val="auto"/>
        </w:rPr>
      </w:pPr>
    </w:p>
    <w:p>
      <w:pPr>
        <w:jc w:val="both"/>
        <w:ind w:firstLine="405"/>
        <w:spacing w:after="0" w:line="282" w:lineRule="auto"/>
        <w:rPr>
          <w:sz w:val="20"/>
          <w:szCs w:val="20"/>
          <w:color w:val="auto"/>
        </w:rPr>
      </w:pPr>
      <w:r>
        <w:rPr>
          <w:rFonts w:ascii="Times New Roman" w:cs="Times New Roman" w:eastAsia="Times New Roman" w:hAnsi="Times New Roman"/>
          <w:sz w:val="18"/>
          <w:szCs w:val="18"/>
          <w:color w:val="auto"/>
        </w:rPr>
        <w:t>As of March 31, 2022 and December 31, 2021, our investment securities had a net unamortized premium balance of $1.8 billion and $1.8 billion, respectively.</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11" w:name="page12"/>
    <w:bookmarkEnd w:id="11"/>
    <w:p>
      <w:pPr>
        <w:ind w:right="20" w:firstLine="405"/>
        <w:spacing w:after="0" w:line="282" w:lineRule="auto"/>
        <w:rPr>
          <w:sz w:val="20"/>
          <w:szCs w:val="20"/>
          <w:color w:val="auto"/>
        </w:rPr>
      </w:pPr>
      <w:r>
        <w:rPr>
          <w:rFonts w:ascii="Times New Roman" w:cs="Times New Roman" w:eastAsia="Times New Roman" w:hAnsi="Times New Roman"/>
          <w:sz w:val="18"/>
          <w:szCs w:val="18"/>
          <w:color w:val="auto"/>
        </w:rPr>
        <w:t>The following tables summarize our investment securities as of March 31, 2022 and December 31, 2021, excluding TBA and forward settling securities, (dollars in millions). Details of our TBA and forward settling securities as of each of the respective dates are included in Note 5.</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980" w:type="dxa"/>
            <w:vAlign w:val="bottom"/>
            <w:gridSpan w:val="7"/>
          </w:tcPr>
          <w:p>
            <w:pPr>
              <w:ind w:left="44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2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40" w:type="dxa"/>
            <w:vAlign w:val="bottom"/>
            <w:gridSpan w:val="6"/>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88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580" w:type="dxa"/>
            <w:vAlign w:val="bottom"/>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gridSpan w:val="2"/>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54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gridSpan w:val="3"/>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37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Investment Securities</w:t>
            </w:r>
          </w:p>
        </w:tc>
        <w:tc>
          <w:tcPr>
            <w:tcW w:w="10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3"/>
          </w:tcPr>
          <w:p>
            <w:pPr>
              <w:jc w:val="right"/>
              <w:ind w:right="320"/>
              <w:spacing w:after="0" w:line="131" w:lineRule="exact"/>
              <w:rPr>
                <w:sz w:val="20"/>
                <w:szCs w:val="20"/>
                <w:color w:val="auto"/>
              </w:rPr>
            </w:pPr>
            <w:r>
              <w:rPr>
                <w:rFonts w:ascii="Times New Roman" w:cs="Times New Roman" w:eastAsia="Times New Roman" w:hAnsi="Times New Roman"/>
                <w:sz w:val="14"/>
                <w:szCs w:val="14"/>
                <w:b w:val="1"/>
                <w:bCs w:val="1"/>
                <w:color w:val="auto"/>
              </w:rPr>
              <w:t>Amortized</w:t>
            </w: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240" w:type="dxa"/>
            <w:vAlign w:val="bottom"/>
            <w:gridSpan w:val="4"/>
          </w:tcPr>
          <w:p>
            <w:pPr>
              <w:jc w:val="right"/>
              <w:ind w:right="189"/>
              <w:spacing w:after="0" w:line="131" w:lineRule="exact"/>
              <w:rPr>
                <w:sz w:val="20"/>
                <w:szCs w:val="20"/>
                <w:color w:val="auto"/>
              </w:rPr>
            </w:pPr>
            <w:r>
              <w:rPr>
                <w:rFonts w:ascii="Times New Roman" w:cs="Times New Roman" w:eastAsia="Times New Roman" w:hAnsi="Times New Roman"/>
                <w:sz w:val="14"/>
                <w:szCs w:val="14"/>
                <w:b w:val="1"/>
                <w:bCs w:val="1"/>
                <w:color w:val="auto"/>
              </w:rPr>
              <w:t>Amortized</w:t>
            </w:r>
          </w:p>
        </w:tc>
        <w:tc>
          <w:tcPr>
            <w:tcW w:w="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740" w:type="dxa"/>
            <w:vAlign w:val="bottom"/>
            <w:tcBorders>
              <w:bottom w:val="single" w:sz="8" w:color="auto"/>
            </w:tcBorders>
            <w:gridSpan w:val="2"/>
            <w:vMerge w:val="continue"/>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580" w:type="dxa"/>
            <w:vAlign w:val="bottom"/>
            <w:tcBorders>
              <w:bottom w:val="single" w:sz="8" w:color="auto"/>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gridSpan w:val="2"/>
          </w:tcPr>
          <w:p>
            <w:pPr>
              <w:jc w:val="right"/>
              <w:ind w:right="520"/>
              <w:spacing w:after="0"/>
              <w:rPr>
                <w:sz w:val="20"/>
                <w:szCs w:val="20"/>
                <w:color w:val="auto"/>
              </w:rPr>
            </w:pPr>
            <w:r>
              <w:rPr>
                <w:rFonts w:ascii="Times New Roman" w:cs="Times New Roman" w:eastAsia="Times New Roman" w:hAnsi="Times New Roman"/>
                <w:sz w:val="14"/>
                <w:szCs w:val="14"/>
                <w:b w:val="1"/>
                <w:bCs w:val="1"/>
                <w:color w:val="auto"/>
              </w:rPr>
              <w:t>Cost</w:t>
            </w:r>
          </w:p>
        </w:tc>
        <w:tc>
          <w:tcPr>
            <w:tcW w:w="20" w:type="dxa"/>
            <w:vAlign w:val="bottom"/>
            <w:tcBorders>
              <w:bottom w:val="single" w:sz="8" w:color="CCEEFF"/>
            </w:tcBorders>
          </w:tcPr>
          <w:p>
            <w:pPr>
              <w:spacing w:after="0"/>
              <w:rPr>
                <w:sz w:val="16"/>
                <w:szCs w:val="16"/>
                <w:color w:val="auto"/>
              </w:rPr>
            </w:pPr>
          </w:p>
        </w:tc>
        <w:tc>
          <w:tcPr>
            <w:tcW w:w="8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gridSpan w:val="2"/>
            <w:vMerge w:val="continue"/>
          </w:tcPr>
          <w:p>
            <w:pPr>
              <w:spacing w:after="0"/>
              <w:rPr>
                <w:sz w:val="16"/>
                <w:szCs w:val="16"/>
                <w:color w:val="auto"/>
              </w:rPr>
            </w:pPr>
          </w:p>
        </w:tc>
        <w:tc>
          <w:tcPr>
            <w:tcW w:w="280" w:type="dxa"/>
            <w:vAlign w:val="bottom"/>
            <w:tcBorders>
              <w:bottom w:val="single" w:sz="8" w:color="auto"/>
            </w:tcBorders>
          </w:tcPr>
          <w:p>
            <w:pPr>
              <w:spacing w:after="0"/>
              <w:rPr>
                <w:sz w:val="16"/>
                <w:szCs w:val="16"/>
                <w:color w:val="auto"/>
              </w:rPr>
            </w:pPr>
          </w:p>
        </w:tc>
        <w:tc>
          <w:tcPr>
            <w:tcW w:w="160" w:type="dxa"/>
            <w:vAlign w:val="bottom"/>
            <w:tcBorders>
              <w:bottom w:val="single" w:sz="8" w:color="CCEEFF"/>
            </w:tcBorders>
          </w:tcPr>
          <w:p>
            <w:pPr>
              <w:spacing w:after="0"/>
              <w:rPr>
                <w:sz w:val="16"/>
                <w:szCs w:val="16"/>
                <w:color w:val="auto"/>
              </w:rPr>
            </w:pPr>
          </w:p>
        </w:tc>
        <w:tc>
          <w:tcPr>
            <w:tcW w:w="1240" w:type="dxa"/>
            <w:vAlign w:val="bottom"/>
            <w:tcBorders>
              <w:bottom w:val="single" w:sz="8" w:color="auto"/>
            </w:tcBorders>
            <w:gridSpan w:val="4"/>
          </w:tcPr>
          <w:p>
            <w:pPr>
              <w:jc w:val="right"/>
              <w:ind w:right="369"/>
              <w:spacing w:after="0"/>
              <w:rPr>
                <w:sz w:val="20"/>
                <w:szCs w:val="20"/>
                <w:color w:val="auto"/>
              </w:rPr>
            </w:pPr>
            <w:r>
              <w:rPr>
                <w:rFonts w:ascii="Times New Roman" w:cs="Times New Roman" w:eastAsia="Times New Roman" w:hAnsi="Times New Roman"/>
                <w:sz w:val="14"/>
                <w:szCs w:val="14"/>
                <w:b w:val="1"/>
                <w:bCs w:val="1"/>
                <w:color w:val="auto"/>
              </w:rPr>
              <w:t>Cost</w:t>
            </w: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960" w:type="dxa"/>
            <w:vAlign w:val="bottom"/>
            <w:tcBorders>
              <w:bottom w:val="single" w:sz="8" w:color="auto"/>
            </w:tcBorders>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20" w:type="dxa"/>
            <w:vAlign w:val="bottom"/>
          </w:tcPr>
          <w:p>
            <w:pPr>
              <w:spacing w:after="0"/>
              <w:rPr>
                <w:sz w:val="17"/>
                <w:szCs w:val="17"/>
                <w:color w:val="auto"/>
              </w:rPr>
            </w:pPr>
          </w:p>
        </w:tc>
        <w:tc>
          <w:tcPr>
            <w:tcW w:w="37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Agency RMBS:</w:t>
            </w:r>
          </w:p>
        </w:tc>
        <w:tc>
          <w:tcPr>
            <w:tcW w:w="10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5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7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8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5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4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700" w:type="dxa"/>
            <w:vAlign w:val="bottom"/>
            <w:shd w:val="clear" w:color="auto" w:fill="CCEEFF"/>
          </w:tcPr>
          <w:p>
            <w:pPr>
              <w:spacing w:after="0"/>
              <w:rPr>
                <w:sz w:val="17"/>
                <w:szCs w:val="17"/>
                <w:color w:val="auto"/>
              </w:rPr>
            </w:pP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740" w:type="dxa"/>
            <w:vAlign w:val="bottom"/>
            <w:gridSpan w:val="2"/>
          </w:tcPr>
          <w:p>
            <w:pPr>
              <w:ind w:left="140"/>
              <w:spacing w:after="0"/>
              <w:rPr>
                <w:sz w:val="20"/>
                <w:szCs w:val="20"/>
                <w:color w:val="auto"/>
              </w:rPr>
            </w:pPr>
            <w:r>
              <w:rPr>
                <w:rFonts w:ascii="Times New Roman" w:cs="Times New Roman" w:eastAsia="Times New Roman" w:hAnsi="Times New Roman"/>
                <w:sz w:val="14"/>
                <w:szCs w:val="14"/>
                <w:color w:val="auto"/>
              </w:rPr>
              <w:t>Fixed rate</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880" w:type="dxa"/>
            <w:vAlign w:val="bottom"/>
            <w:gridSpan w:val="3"/>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49,320</w:t>
            </w:r>
          </w:p>
        </w:tc>
        <w:tc>
          <w:tcPr>
            <w:tcW w:w="240" w:type="dxa"/>
            <w:vAlign w:val="bottom"/>
            <w:gridSpan w:val="3"/>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gridSpan w:val="3"/>
          </w:tcPr>
          <w:p>
            <w:pPr>
              <w:jc w:val="right"/>
              <w:spacing w:after="0"/>
              <w:rPr>
                <w:sz w:val="20"/>
                <w:szCs w:val="20"/>
                <w:color w:val="auto"/>
              </w:rPr>
            </w:pPr>
            <w:r>
              <w:rPr>
                <w:rFonts w:ascii="Times New Roman" w:cs="Times New Roman" w:eastAsia="Times New Roman" w:hAnsi="Times New Roman"/>
                <w:sz w:val="14"/>
                <w:szCs w:val="14"/>
                <w:color w:val="auto"/>
              </w:rPr>
              <w:t>47,124</w:t>
            </w:r>
          </w:p>
        </w:tc>
        <w:tc>
          <w:tcPr>
            <w:tcW w:w="700" w:type="dxa"/>
            <w:vAlign w:val="bottom"/>
            <w:gridSpan w:val="2"/>
          </w:tcPr>
          <w:p>
            <w:pPr>
              <w:jc w:val="right"/>
              <w:ind w:right="374"/>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51,546</w:t>
            </w:r>
          </w:p>
        </w:tc>
        <w:tc>
          <w:tcPr>
            <w:tcW w:w="360" w:type="dxa"/>
            <w:vAlign w:val="bottom"/>
            <w:gridSpan w:val="3"/>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52,289</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Adjustable rate</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4"/>
                <w:szCs w:val="14"/>
                <w:color w:val="auto"/>
              </w:rPr>
              <w:t>40</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41</w:t>
            </w: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740" w:type="dxa"/>
            <w:vAlign w:val="bottom"/>
            <w:gridSpan w:val="2"/>
          </w:tcPr>
          <w:p>
            <w:pPr>
              <w:ind w:left="140"/>
              <w:spacing w:after="0"/>
              <w:rPr>
                <w:sz w:val="20"/>
                <w:szCs w:val="20"/>
                <w:color w:val="auto"/>
              </w:rPr>
            </w:pPr>
            <w:r>
              <w:rPr>
                <w:rFonts w:ascii="Times New Roman" w:cs="Times New Roman" w:eastAsia="Times New Roman" w:hAnsi="Times New Roman"/>
                <w:sz w:val="14"/>
                <w:szCs w:val="14"/>
                <w:color w:val="auto"/>
              </w:rPr>
              <w:t>CMO</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166</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95"/>
              </w:rPr>
              <w:t>166</w:t>
            </w: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182</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188</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4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Interest-only and principal-only strips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4"/>
                <w:szCs w:val="14"/>
                <w:color w:val="auto"/>
              </w:rPr>
              <w:t>64</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67</w:t>
            </w:r>
          </w:p>
        </w:tc>
        <w:tc>
          <w:tcPr>
            <w:tcW w:w="160" w:type="dxa"/>
            <w:vAlign w:val="bottom"/>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70</w:t>
            </w:r>
          </w:p>
        </w:tc>
        <w:tc>
          <w:tcPr>
            <w:tcW w:w="60" w:type="dxa"/>
            <w:vAlign w:val="bottom"/>
            <w:tcBorders>
              <w:bottom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9"/>
        </w:trPr>
        <w:tc>
          <w:tcPr>
            <w:tcW w:w="20" w:type="dxa"/>
            <w:vAlign w:val="bottom"/>
          </w:tcPr>
          <w:p>
            <w:pPr>
              <w:spacing w:after="0"/>
              <w:rPr>
                <w:sz w:val="16"/>
                <w:szCs w:val="16"/>
                <w:color w:val="auto"/>
              </w:rPr>
            </w:pPr>
          </w:p>
        </w:tc>
        <w:tc>
          <w:tcPr>
            <w:tcW w:w="374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Total Agency RMBS</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49,590</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gridSpan w:val="3"/>
          </w:tcPr>
          <w:p>
            <w:pPr>
              <w:jc w:val="right"/>
              <w:spacing w:after="0"/>
              <w:rPr>
                <w:sz w:val="20"/>
                <w:szCs w:val="20"/>
                <w:color w:val="auto"/>
              </w:rPr>
            </w:pPr>
            <w:r>
              <w:rPr>
                <w:rFonts w:ascii="Times New Roman" w:cs="Times New Roman" w:eastAsia="Times New Roman" w:hAnsi="Times New Roman"/>
                <w:sz w:val="14"/>
                <w:szCs w:val="14"/>
                <w:color w:val="auto"/>
              </w:rPr>
              <w:t>47,398</w:t>
            </w: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51,843</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52,604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Non-Agency RMBS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4"/>
                <w:szCs w:val="14"/>
                <w:color w:val="auto"/>
              </w:rPr>
              <w:t>327</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5"/>
              </w:rPr>
              <w:t>316</w:t>
            </w:r>
          </w:p>
        </w:tc>
        <w:tc>
          <w:tcPr>
            <w:tcW w:w="16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325</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329</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74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CMBS</w:t>
            </w:r>
          </w:p>
        </w:tc>
        <w:tc>
          <w:tcPr>
            <w:tcW w:w="1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496</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8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95"/>
              </w:rPr>
              <w:t>488</w:t>
            </w:r>
          </w:p>
        </w:tc>
        <w:tc>
          <w:tcPr>
            <w:tcW w:w="16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505</w:t>
            </w: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514</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37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CRT securities</w:t>
            </w:r>
          </w:p>
        </w:tc>
        <w:tc>
          <w:tcPr>
            <w:tcW w:w="1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gridSpan w:val="2"/>
            <w:shd w:val="clear" w:color="auto" w:fill="CCEEFF"/>
          </w:tcPr>
          <w:p>
            <w:pPr>
              <w:jc w:val="right"/>
              <w:ind w:right="60"/>
              <w:spacing w:after="0"/>
              <w:rPr>
                <w:sz w:val="20"/>
                <w:szCs w:val="20"/>
                <w:color w:val="auto"/>
              </w:rPr>
            </w:pPr>
            <w:r>
              <w:rPr>
                <w:rFonts w:ascii="Times New Roman" w:cs="Times New Roman" w:eastAsia="Times New Roman" w:hAnsi="Times New Roman"/>
                <w:sz w:val="14"/>
                <w:szCs w:val="14"/>
                <w:color w:val="auto"/>
              </w:rPr>
              <w:t>903</w:t>
            </w: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95"/>
              </w:rPr>
              <w:t>885</w:t>
            </w:r>
          </w:p>
        </w:tc>
        <w:tc>
          <w:tcPr>
            <w:tcW w:w="160" w:type="dxa"/>
            <w:vAlign w:val="bottom"/>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955</w:t>
            </w:r>
          </w:p>
        </w:tc>
        <w:tc>
          <w:tcPr>
            <w:tcW w:w="60" w:type="dxa"/>
            <w:vAlign w:val="bottom"/>
            <w:tcBorders>
              <w:bottom w:val="single" w:sz="8" w:color="auto"/>
            </w:tcBorders>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974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tcPr>
          <w:p>
            <w:pPr>
              <w:spacing w:after="0"/>
              <w:rPr>
                <w:sz w:val="17"/>
                <w:szCs w:val="17"/>
                <w:color w:val="auto"/>
              </w:rPr>
            </w:pPr>
          </w:p>
        </w:tc>
        <w:tc>
          <w:tcPr>
            <w:tcW w:w="374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Total investment securities</w:t>
            </w:r>
          </w:p>
        </w:tc>
        <w:tc>
          <w:tcPr>
            <w:tcW w:w="10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0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gridSpan w:val="2"/>
          </w:tcPr>
          <w:p>
            <w:pPr>
              <w:jc w:val="right"/>
              <w:ind w:right="60"/>
              <w:spacing w:after="0"/>
              <w:rPr>
                <w:sz w:val="20"/>
                <w:szCs w:val="20"/>
                <w:color w:val="auto"/>
              </w:rPr>
            </w:pPr>
            <w:r>
              <w:rPr>
                <w:rFonts w:ascii="Times New Roman" w:cs="Times New Roman" w:eastAsia="Times New Roman" w:hAnsi="Times New Roman"/>
                <w:sz w:val="14"/>
                <w:szCs w:val="14"/>
                <w:color w:val="auto"/>
              </w:rPr>
              <w:t>51,316</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1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color w:val="auto"/>
              </w:rPr>
              <w:t>49,087</w:t>
            </w:r>
          </w:p>
        </w:tc>
        <w:tc>
          <w:tcPr>
            <w:tcW w:w="160" w:type="dxa"/>
            <w:vAlign w:val="bottom"/>
          </w:tcPr>
          <w:p>
            <w:pPr>
              <w:spacing w:after="0"/>
              <w:rPr>
                <w:sz w:val="17"/>
                <w:szCs w:val="17"/>
                <w:color w:val="auto"/>
              </w:rPr>
            </w:pPr>
          </w:p>
        </w:tc>
        <w:tc>
          <w:tcPr>
            <w:tcW w:w="540" w:type="dxa"/>
            <w:vAlign w:val="bottom"/>
            <w:tcBorders>
              <w:bottom w:val="single" w:sz="8" w:color="auto"/>
            </w:tcBorders>
          </w:tcPr>
          <w:p>
            <w:pPr>
              <w:jc w:val="right"/>
              <w:ind w:right="374"/>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53,628</w:t>
            </w:r>
          </w:p>
        </w:tc>
        <w:tc>
          <w:tcPr>
            <w:tcW w:w="60" w:type="dxa"/>
            <w:vAlign w:val="bottom"/>
            <w:tcBorders>
              <w:bottom w:val="single" w:sz="8" w:color="auto"/>
            </w:tcBorders>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w w:val="85"/>
              </w:rPr>
              <w:t>$</w:t>
            </w:r>
          </w:p>
        </w:tc>
        <w:tc>
          <w:tcPr>
            <w:tcW w:w="14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54,421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20" w:type="dxa"/>
            <w:vAlign w:val="bottom"/>
          </w:tcPr>
          <w:p>
            <w:pPr>
              <w:spacing w:after="0" w:line="20" w:lineRule="exact"/>
              <w:rPr>
                <w:sz w:val="1"/>
                <w:szCs w:val="1"/>
                <w:color w:val="auto"/>
              </w:rPr>
            </w:pPr>
          </w:p>
        </w:tc>
        <w:tc>
          <w:tcPr>
            <w:tcW w:w="36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900" w:type="dxa"/>
            <w:vAlign w:val="bottom"/>
            <w:tcBorders>
              <w:bottom w:val="single" w:sz="8" w:color="auto"/>
            </w:tcBorders>
            <w:gridSpan w:val="2"/>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08"/>
        </w:trPr>
        <w:tc>
          <w:tcPr>
            <w:tcW w:w="20" w:type="dxa"/>
            <w:vAlign w:val="bottom"/>
          </w:tcPr>
          <w:p>
            <w:pPr>
              <w:spacing w:after="0"/>
              <w:rPr>
                <w:sz w:val="24"/>
                <w:szCs w:val="24"/>
                <w:color w:val="auto"/>
              </w:rPr>
            </w:pPr>
          </w:p>
        </w:tc>
        <w:tc>
          <w:tcPr>
            <w:tcW w:w="36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80" w:type="dxa"/>
            <w:vAlign w:val="bottom"/>
            <w:gridSpan w:val="4"/>
          </w:tcPr>
          <w:p>
            <w:pPr>
              <w:ind w:left="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rPr>
                <w:sz w:val="2"/>
                <w:szCs w:val="2"/>
                <w:color w:val="auto"/>
              </w:rPr>
            </w:pPr>
          </w:p>
        </w:tc>
        <w:tc>
          <w:tcPr>
            <w:tcW w:w="36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gridSpan w:val="5"/>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gridSpan w:val="6"/>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0" w:type="dxa"/>
            <w:vAlign w:val="bottom"/>
          </w:tcPr>
          <w:p>
            <w:pPr>
              <w:spacing w:after="0"/>
              <w:rPr>
                <w:sz w:val="16"/>
                <w:szCs w:val="16"/>
                <w:color w:val="auto"/>
              </w:rPr>
            </w:pPr>
          </w:p>
        </w:tc>
        <w:tc>
          <w:tcPr>
            <w:tcW w:w="36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88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60" w:type="dxa"/>
            <w:vAlign w:val="bottom"/>
            <w:tcBorders>
              <w:bottom w:val="single" w:sz="8" w:color="auto"/>
            </w:tcBorders>
            <w:gridSpan w:val="5"/>
          </w:tcPr>
          <w:p>
            <w:pPr>
              <w:ind w:left="20"/>
              <w:spacing w:after="0"/>
              <w:rPr>
                <w:sz w:val="20"/>
                <w:szCs w:val="20"/>
                <w:color w:val="auto"/>
              </w:rPr>
            </w:pPr>
            <w:r>
              <w:rPr>
                <w:rFonts w:ascii="Times New Roman" w:cs="Times New Roman" w:eastAsia="Times New Roman" w:hAnsi="Times New Roman"/>
                <w:sz w:val="14"/>
                <w:szCs w:val="14"/>
                <w:b w:val="1"/>
                <w:bCs w:val="1"/>
                <w:color w:val="auto"/>
              </w:rPr>
              <w:t>Agency RMBS</w:t>
            </w:r>
          </w:p>
        </w:tc>
        <w:tc>
          <w:tcPr>
            <w:tcW w:w="180" w:type="dxa"/>
            <w:vAlign w:val="bottom"/>
            <w:tcBorders>
              <w:bottom w:val="single" w:sz="8" w:color="auto"/>
            </w:tcBorders>
          </w:tcPr>
          <w:p>
            <w:pPr>
              <w:spacing w:after="0"/>
              <w:rPr>
                <w:sz w:val="16"/>
                <w:szCs w:val="16"/>
                <w:color w:val="auto"/>
              </w:rPr>
            </w:pPr>
          </w:p>
        </w:tc>
        <w:tc>
          <w:tcPr>
            <w:tcW w:w="800" w:type="dxa"/>
            <w:vAlign w:val="bottom"/>
            <w:tcBorders>
              <w:bottom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5"/>
          </w:tcPr>
          <w:p>
            <w:pPr>
              <w:jc w:val="right"/>
              <w:ind w:right="574"/>
              <w:spacing w:after="0"/>
              <w:rPr>
                <w:sz w:val="20"/>
                <w:szCs w:val="20"/>
                <w:color w:val="auto"/>
              </w:rPr>
            </w:pPr>
            <w:r>
              <w:rPr>
                <w:rFonts w:ascii="Times New Roman" w:cs="Times New Roman" w:eastAsia="Times New Roman" w:hAnsi="Times New Roman"/>
                <w:sz w:val="14"/>
                <w:szCs w:val="14"/>
                <w:b w:val="1"/>
                <w:bCs w:val="1"/>
                <w:color w:val="auto"/>
              </w:rPr>
              <w:t>Non-Agency</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4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37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Investment Securities</w:t>
            </w:r>
          </w:p>
        </w:tc>
        <w:tc>
          <w:tcPr>
            <w:tcW w:w="100" w:type="dxa"/>
            <w:vAlign w:val="bottom"/>
          </w:tcPr>
          <w:p>
            <w:pPr>
              <w:spacing w:after="0"/>
              <w:rPr>
                <w:sz w:val="11"/>
                <w:szCs w:val="11"/>
                <w:color w:val="auto"/>
              </w:rPr>
            </w:pPr>
          </w:p>
        </w:tc>
        <w:tc>
          <w:tcPr>
            <w:tcW w:w="100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Fannie Mae</w:t>
            </w:r>
          </w:p>
        </w:tc>
        <w:tc>
          <w:tcPr>
            <w:tcW w:w="80" w:type="dxa"/>
            <w:vAlign w:val="bottom"/>
          </w:tcPr>
          <w:p>
            <w:pPr>
              <w:spacing w:after="0"/>
              <w:rPr>
                <w:sz w:val="11"/>
                <w:szCs w:val="11"/>
                <w:color w:val="auto"/>
              </w:rPr>
            </w:pPr>
          </w:p>
        </w:tc>
        <w:tc>
          <w:tcPr>
            <w:tcW w:w="980" w:type="dxa"/>
            <w:vAlign w:val="bottom"/>
            <w:gridSpan w:val="4"/>
            <w:vMerge w:val="restart"/>
          </w:tcPr>
          <w:p>
            <w:pPr>
              <w:spacing w:after="0"/>
              <w:rPr>
                <w:sz w:val="20"/>
                <w:szCs w:val="20"/>
                <w:color w:val="auto"/>
              </w:rPr>
            </w:pPr>
            <w:r>
              <w:rPr>
                <w:rFonts w:ascii="Times New Roman" w:cs="Times New Roman" w:eastAsia="Times New Roman" w:hAnsi="Times New Roman"/>
                <w:sz w:val="14"/>
                <w:szCs w:val="14"/>
                <w:b w:val="1"/>
                <w:bCs w:val="1"/>
                <w:color w:val="auto"/>
              </w:rPr>
              <w:t>Freddie Mac</w:t>
            </w:r>
          </w:p>
        </w:tc>
        <w:tc>
          <w:tcPr>
            <w:tcW w:w="180" w:type="dxa"/>
            <w:vAlign w:val="bottom"/>
          </w:tcPr>
          <w:p>
            <w:pPr>
              <w:spacing w:after="0"/>
              <w:rPr>
                <w:sz w:val="11"/>
                <w:szCs w:val="11"/>
                <w:color w:val="auto"/>
              </w:rPr>
            </w:pPr>
          </w:p>
        </w:tc>
        <w:tc>
          <w:tcPr>
            <w:tcW w:w="800" w:type="dxa"/>
            <w:vAlign w:val="bottom"/>
          </w:tcPr>
          <w:p>
            <w:pPr>
              <w:jc w:val="right"/>
              <w:ind w:right="213"/>
              <w:spacing w:after="0" w:line="137" w:lineRule="exact"/>
              <w:rPr>
                <w:sz w:val="20"/>
                <w:szCs w:val="20"/>
                <w:color w:val="auto"/>
              </w:rPr>
            </w:pPr>
            <w:r>
              <w:rPr>
                <w:rFonts w:ascii="Times New Roman" w:cs="Times New Roman" w:eastAsia="Times New Roman" w:hAnsi="Times New Roman"/>
                <w:sz w:val="14"/>
                <w:szCs w:val="14"/>
                <w:b w:val="1"/>
                <w:bCs w:val="1"/>
                <w:color w:val="auto"/>
              </w:rPr>
              <w:t>Ginnie</w:t>
            </w: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6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RMBS</w:t>
            </w:r>
          </w:p>
        </w:tc>
        <w:tc>
          <w:tcPr>
            <w:tcW w:w="280" w:type="dxa"/>
            <w:vAlign w:val="bottom"/>
          </w:tcPr>
          <w:p>
            <w:pPr>
              <w:spacing w:after="0"/>
              <w:rPr>
                <w:sz w:val="11"/>
                <w:szCs w:val="11"/>
                <w:color w:val="auto"/>
              </w:rPr>
            </w:pPr>
          </w:p>
        </w:tc>
        <w:tc>
          <w:tcPr>
            <w:tcW w:w="820" w:type="dxa"/>
            <w:vAlign w:val="bottom"/>
            <w:gridSpan w:val="3"/>
            <w:vMerge w:val="restart"/>
          </w:tcPr>
          <w:p>
            <w:pPr>
              <w:spacing w:after="0"/>
              <w:rPr>
                <w:sz w:val="20"/>
                <w:szCs w:val="20"/>
                <w:color w:val="auto"/>
              </w:rPr>
            </w:pPr>
            <w:r>
              <w:rPr>
                <w:rFonts w:ascii="Times New Roman" w:cs="Times New Roman" w:eastAsia="Times New Roman" w:hAnsi="Times New Roman"/>
                <w:sz w:val="14"/>
                <w:szCs w:val="14"/>
                <w:b w:val="1"/>
                <w:bCs w:val="1"/>
                <w:color w:val="auto"/>
              </w:rPr>
              <w:t>CMBS</w:t>
            </w:r>
          </w:p>
        </w:tc>
        <w:tc>
          <w:tcPr>
            <w:tcW w:w="100" w:type="dxa"/>
            <w:vAlign w:val="bottom"/>
          </w:tcPr>
          <w:p>
            <w:pPr>
              <w:spacing w:after="0"/>
              <w:rPr>
                <w:sz w:val="11"/>
                <w:szCs w:val="11"/>
                <w:color w:val="auto"/>
              </w:rPr>
            </w:pPr>
          </w:p>
        </w:tc>
        <w:tc>
          <w:tcPr>
            <w:tcW w:w="980" w:type="dxa"/>
            <w:vAlign w:val="bottom"/>
            <w:gridSpan w:val="5"/>
            <w:vMerge w:val="restart"/>
          </w:tcPr>
          <w:p>
            <w:pPr>
              <w:ind w:left="220"/>
              <w:spacing w:after="0"/>
              <w:rPr>
                <w:sz w:val="20"/>
                <w:szCs w:val="20"/>
                <w:color w:val="auto"/>
              </w:rPr>
            </w:pPr>
            <w:r>
              <w:rPr>
                <w:rFonts w:ascii="Times New Roman" w:cs="Times New Roman" w:eastAsia="Times New Roman" w:hAnsi="Times New Roman"/>
                <w:sz w:val="14"/>
                <w:szCs w:val="14"/>
                <w:b w:val="1"/>
                <w:bCs w:val="1"/>
                <w:color w:val="auto"/>
              </w:rPr>
              <w:t>CRT</w:t>
            </w:r>
          </w:p>
        </w:tc>
        <w:tc>
          <w:tcPr>
            <w:tcW w:w="260" w:type="dxa"/>
            <w:vAlign w:val="bottom"/>
          </w:tcPr>
          <w:p>
            <w:pPr>
              <w:spacing w:after="0"/>
              <w:rPr>
                <w:sz w:val="11"/>
                <w:szCs w:val="11"/>
                <w:color w:val="auto"/>
              </w:rPr>
            </w:pPr>
          </w:p>
        </w:tc>
        <w:tc>
          <w:tcPr>
            <w:tcW w:w="700" w:type="dxa"/>
            <w:vAlign w:val="bottom"/>
            <w:vMerge w:val="restart"/>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Total</w:t>
            </w: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95"/>
        </w:trPr>
        <w:tc>
          <w:tcPr>
            <w:tcW w:w="20" w:type="dxa"/>
            <w:vAlign w:val="bottom"/>
          </w:tcPr>
          <w:p>
            <w:pPr>
              <w:spacing w:after="0"/>
              <w:rPr>
                <w:sz w:val="16"/>
                <w:szCs w:val="16"/>
                <w:color w:val="auto"/>
              </w:rPr>
            </w:pPr>
          </w:p>
        </w:tc>
        <w:tc>
          <w:tcPr>
            <w:tcW w:w="3740" w:type="dxa"/>
            <w:vAlign w:val="bottom"/>
            <w:gridSpan w:val="2"/>
            <w:vMerge w:val="continue"/>
          </w:tcPr>
          <w:p>
            <w:pPr>
              <w:spacing w:after="0"/>
              <w:rPr>
                <w:sz w:val="16"/>
                <w:szCs w:val="16"/>
                <w:color w:val="auto"/>
              </w:rPr>
            </w:pPr>
          </w:p>
        </w:tc>
        <w:tc>
          <w:tcPr>
            <w:tcW w:w="10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80" w:type="dxa"/>
            <w:vAlign w:val="bottom"/>
          </w:tcPr>
          <w:p>
            <w:pPr>
              <w:spacing w:after="0"/>
              <w:rPr>
                <w:sz w:val="16"/>
                <w:szCs w:val="16"/>
                <w:color w:val="auto"/>
              </w:rPr>
            </w:pPr>
          </w:p>
        </w:tc>
        <w:tc>
          <w:tcPr>
            <w:tcW w:w="980" w:type="dxa"/>
            <w:vAlign w:val="bottom"/>
            <w:gridSpan w:val="4"/>
            <w:vMerge w:val="continue"/>
          </w:tcPr>
          <w:p>
            <w:pPr>
              <w:spacing w:after="0"/>
              <w:rPr>
                <w:sz w:val="16"/>
                <w:szCs w:val="16"/>
                <w:color w:val="auto"/>
              </w:rPr>
            </w:pPr>
          </w:p>
        </w:tc>
        <w:tc>
          <w:tcPr>
            <w:tcW w:w="180" w:type="dxa"/>
            <w:vAlign w:val="bottom"/>
          </w:tcPr>
          <w:p>
            <w:pPr>
              <w:spacing w:after="0"/>
              <w:rPr>
                <w:sz w:val="16"/>
                <w:szCs w:val="16"/>
                <w:color w:val="auto"/>
              </w:rPr>
            </w:pPr>
          </w:p>
        </w:tc>
        <w:tc>
          <w:tcPr>
            <w:tcW w:w="880" w:type="dxa"/>
            <w:vAlign w:val="bottom"/>
            <w:gridSpan w:val="2"/>
          </w:tcPr>
          <w:p>
            <w:pPr>
              <w:jc w:val="right"/>
              <w:ind w:right="440"/>
              <w:spacing w:after="0"/>
              <w:rPr>
                <w:sz w:val="20"/>
                <w:szCs w:val="20"/>
                <w:color w:val="auto"/>
              </w:rPr>
            </w:pPr>
            <w:r>
              <w:rPr>
                <w:rFonts w:ascii="Times New Roman" w:cs="Times New Roman" w:eastAsia="Times New Roman" w:hAnsi="Times New Roman"/>
                <w:sz w:val="14"/>
                <w:szCs w:val="14"/>
                <w:b w:val="1"/>
                <w:bCs w:val="1"/>
                <w:color w:val="auto"/>
              </w:rPr>
              <w:t>Mae</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gridSpan w:val="2"/>
            <w:vMerge w:val="continue"/>
          </w:tcPr>
          <w:p>
            <w:pPr>
              <w:spacing w:after="0"/>
              <w:rPr>
                <w:sz w:val="16"/>
                <w:szCs w:val="16"/>
                <w:color w:val="auto"/>
              </w:rPr>
            </w:pPr>
          </w:p>
        </w:tc>
        <w:tc>
          <w:tcPr>
            <w:tcW w:w="280" w:type="dxa"/>
            <w:vAlign w:val="bottom"/>
          </w:tcPr>
          <w:p>
            <w:pPr>
              <w:spacing w:after="0"/>
              <w:rPr>
                <w:sz w:val="16"/>
                <w:szCs w:val="16"/>
                <w:color w:val="auto"/>
              </w:rPr>
            </w:pPr>
          </w:p>
        </w:tc>
        <w:tc>
          <w:tcPr>
            <w:tcW w:w="820" w:type="dxa"/>
            <w:vAlign w:val="bottom"/>
            <w:gridSpan w:val="3"/>
            <w:vMerge w:val="continue"/>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gridSpan w:val="5"/>
            <w:vMerge w:val="continue"/>
          </w:tcPr>
          <w:p>
            <w:pPr>
              <w:spacing w:after="0"/>
              <w:rPr>
                <w:sz w:val="16"/>
                <w:szCs w:val="16"/>
                <w:color w:val="auto"/>
              </w:rPr>
            </w:pPr>
          </w:p>
        </w:tc>
        <w:tc>
          <w:tcPr>
            <w:tcW w:w="26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20" w:type="dxa"/>
            <w:vAlign w:val="bottom"/>
            <w:tcBorders>
              <w:top w:val="single" w:sz="8" w:color="auto"/>
            </w:tcBorders>
          </w:tcPr>
          <w:p>
            <w:pPr>
              <w:spacing w:after="0"/>
              <w:rPr>
                <w:sz w:val="14"/>
                <w:szCs w:val="14"/>
                <w:color w:val="auto"/>
              </w:rPr>
            </w:pPr>
          </w:p>
        </w:tc>
        <w:tc>
          <w:tcPr>
            <w:tcW w:w="36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3"/>
                <w:szCs w:val="13"/>
                <w:color w:val="auto"/>
              </w:rPr>
              <w:t>Available-for-sale securities:</w:t>
            </w:r>
          </w:p>
        </w:tc>
        <w:tc>
          <w:tcPr>
            <w:tcW w:w="10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5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54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3"/>
                <w:szCs w:val="13"/>
                <w:color w:val="auto"/>
              </w:rPr>
              <w:t>Par value</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8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5,723</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0"/>
                <w:szCs w:val="10"/>
                <w:color w:val="auto"/>
                <w:w w:val="79"/>
              </w:rPr>
              <w:t>$</w:t>
            </w:r>
          </w:p>
        </w:tc>
        <w:tc>
          <w:tcPr>
            <w:tcW w:w="7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1,886</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jc w:val="right"/>
              <w:ind w:right="34"/>
              <w:spacing w:after="0"/>
              <w:rPr>
                <w:sz w:val="20"/>
                <w:szCs w:val="20"/>
                <w:color w:val="auto"/>
              </w:rPr>
            </w:pPr>
            <w:r>
              <w:rPr>
                <w:rFonts w:ascii="Times New Roman" w:cs="Times New Roman" w:eastAsia="Times New Roman" w:hAnsi="Times New Roman"/>
                <w:sz w:val="13"/>
                <w:szCs w:val="13"/>
                <w:color w:val="auto"/>
                <w:w w:val="91"/>
              </w:rPr>
              <w:t>$</w:t>
            </w:r>
          </w:p>
        </w:tc>
        <w:tc>
          <w:tcPr>
            <w:tcW w:w="800" w:type="dxa"/>
            <w:vAlign w:val="bottom"/>
            <w:shd w:val="clear" w:color="auto" w:fill="CCEEFF"/>
          </w:tcPr>
          <w:p>
            <w:pPr>
              <w:jc w:val="right"/>
              <w:ind w:right="113"/>
              <w:spacing w:after="0"/>
              <w:rPr>
                <w:sz w:val="20"/>
                <w:szCs w:val="20"/>
                <w:color w:val="auto"/>
              </w:rPr>
            </w:pPr>
            <w:r>
              <w:rPr>
                <w:rFonts w:ascii="Times New Roman" w:cs="Times New Roman" w:eastAsia="Times New Roman" w:hAnsi="Times New Roman"/>
                <w:sz w:val="13"/>
                <w:szCs w:val="13"/>
                <w:color w:val="auto"/>
              </w:rPr>
              <w:t>1</w:t>
            </w:r>
          </w:p>
        </w:tc>
        <w:tc>
          <w:tcPr>
            <w:tcW w:w="80" w:type="dxa"/>
            <w:vAlign w:val="bottom"/>
            <w:shd w:val="clear" w:color="auto" w:fill="CCEEFF"/>
          </w:tcPr>
          <w:p>
            <w:pPr>
              <w:spacing w:after="0"/>
              <w:rPr>
                <w:sz w:val="15"/>
                <w:szCs w:val="15"/>
                <w:color w:val="auto"/>
              </w:rPr>
            </w:pPr>
          </w:p>
        </w:tc>
        <w:tc>
          <w:tcPr>
            <w:tcW w:w="240" w:type="dxa"/>
            <w:vAlign w:val="bottom"/>
            <w:gridSpan w:val="3"/>
            <w:shd w:val="clear" w:color="auto" w:fill="CCEEFF"/>
          </w:tcPr>
          <w:p>
            <w:pPr>
              <w:ind w:left="40"/>
              <w:spacing w:after="0"/>
              <w:rPr>
                <w:sz w:val="20"/>
                <w:szCs w:val="20"/>
                <w:color w:val="auto"/>
              </w:rPr>
            </w:pPr>
            <w:r>
              <w:rPr>
                <w:rFonts w:ascii="Times New Roman" w:cs="Times New Roman" w:eastAsia="Times New Roman" w:hAnsi="Times New Roman"/>
                <w:sz w:val="13"/>
                <w:szCs w:val="13"/>
                <w:color w:val="auto"/>
              </w:rPr>
              <w:t>$</w:t>
            </w:r>
          </w:p>
        </w:tc>
        <w:tc>
          <w:tcPr>
            <w:tcW w:w="8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280" w:type="dxa"/>
            <w:vAlign w:val="bottom"/>
            <w:shd w:val="clear" w:color="auto" w:fill="CCEEFF"/>
          </w:tcPr>
          <w:p>
            <w:pPr>
              <w:jc w:val="right"/>
              <w:ind w:right="130"/>
              <w:spacing w:after="0"/>
              <w:rPr>
                <w:sz w:val="20"/>
                <w:szCs w:val="20"/>
                <w:color w:val="auto"/>
              </w:rPr>
            </w:pPr>
            <w:r>
              <w:rPr>
                <w:rFonts w:ascii="Times New Roman" w:cs="Times New Roman" w:eastAsia="Times New Roman" w:hAnsi="Times New Roman"/>
                <w:sz w:val="13"/>
                <w:szCs w:val="13"/>
                <w:color w:val="auto"/>
                <w:w w:val="91"/>
              </w:rPr>
              <w:t>$</w:t>
            </w: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3"/>
                <w:szCs w:val="13"/>
                <w:color w:val="auto"/>
                <w:w w:val="91"/>
              </w:rPr>
              <w:t>—</w:t>
            </w:r>
          </w:p>
        </w:tc>
        <w:tc>
          <w:tcPr>
            <w:tcW w:w="2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shd w:val="clear" w:color="auto" w:fill="CCEEFF"/>
          </w:tcPr>
          <w:p>
            <w:pPr>
              <w:jc w:val="right"/>
              <w:ind w:right="74"/>
              <w:spacing w:after="0"/>
              <w:rPr>
                <w:sz w:val="20"/>
                <w:szCs w:val="20"/>
                <w:color w:val="auto"/>
              </w:rPr>
            </w:pPr>
            <w:r>
              <w:rPr>
                <w:rFonts w:ascii="Times New Roman" w:cs="Times New Roman" w:eastAsia="Times New Roman" w:hAnsi="Times New Roman"/>
                <w:sz w:val="13"/>
                <w:szCs w:val="13"/>
                <w:color w:val="auto"/>
              </w:rPr>
              <w:t>7,610</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Times New Roman" w:cs="Times New Roman" w:eastAsia="Times New Roman" w:hAnsi="Times New Roman"/>
                <w:sz w:val="13"/>
                <w:szCs w:val="13"/>
                <w:color w:val="auto"/>
              </w:rPr>
              <w:t>Unamortized discount</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400" w:type="dxa"/>
            <w:vAlign w:val="bottom"/>
            <w:gridSpan w:val="3"/>
          </w:tcPr>
          <w:p>
            <w:pPr>
              <w:jc w:val="right"/>
              <w:ind w:right="280"/>
              <w:spacing w:after="0"/>
              <w:rPr>
                <w:sz w:val="20"/>
                <w:szCs w:val="20"/>
                <w:color w:val="auto"/>
              </w:rPr>
            </w:pPr>
            <w:r>
              <w:rPr>
                <w:rFonts w:ascii="Times New Roman" w:cs="Times New Roman" w:eastAsia="Times New Roman" w:hAnsi="Times New Roman"/>
                <w:sz w:val="13"/>
                <w:szCs w:val="13"/>
                <w:color w:val="auto"/>
                <w:w w:val="76"/>
              </w:rPr>
              <w:t>—</w:t>
            </w:r>
          </w:p>
        </w:tc>
        <w:tc>
          <w:tcPr>
            <w:tcW w:w="1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2"/>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3"/>
          </w:tcPr>
          <w:p>
            <w:pPr>
              <w:jc w:val="right"/>
              <w:ind w:right="300"/>
              <w:spacing w:after="0"/>
              <w:rPr>
                <w:sz w:val="20"/>
                <w:szCs w:val="20"/>
                <w:color w:val="auto"/>
              </w:rPr>
            </w:pPr>
            <w:r>
              <w:rPr>
                <w:rFonts w:ascii="Times New Roman" w:cs="Times New Roman" w:eastAsia="Times New Roman" w:hAnsi="Times New Roman"/>
                <w:sz w:val="13"/>
                <w:szCs w:val="13"/>
                <w:color w:val="auto"/>
                <w:w w:val="91"/>
              </w:rPr>
              <w:t>—</w:t>
            </w:r>
          </w:p>
        </w:tc>
        <w:tc>
          <w:tcPr>
            <w:tcW w:w="260" w:type="dxa"/>
            <w:vAlign w:val="bottom"/>
          </w:tcPr>
          <w:p>
            <w:pPr>
              <w:spacing w:after="0"/>
              <w:rPr>
                <w:sz w:val="14"/>
                <w:szCs w:val="14"/>
                <w:color w:val="auto"/>
              </w:rPr>
            </w:pPr>
          </w:p>
        </w:tc>
        <w:tc>
          <w:tcPr>
            <w:tcW w:w="700" w:type="dxa"/>
            <w:vAlign w:val="bottom"/>
          </w:tcPr>
          <w:p>
            <w:pPr>
              <w:jc w:val="right"/>
              <w:ind w:right="54"/>
              <w:spacing w:after="0"/>
              <w:rPr>
                <w:sz w:val="20"/>
                <w:szCs w:val="20"/>
                <w:color w:val="auto"/>
              </w:rPr>
            </w:pPr>
            <w:r>
              <w:rPr>
                <w:rFonts w:ascii="Times New Roman" w:cs="Times New Roman" w:eastAsia="Times New Roman" w:hAnsi="Times New Roman"/>
                <w:sz w:val="13"/>
                <w:szCs w:val="13"/>
                <w:color w:val="auto"/>
              </w:rPr>
              <w:t>(2)</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3"/>
                <w:szCs w:val="13"/>
                <w:color w:val="auto"/>
              </w:rPr>
              <w:t>Unamortized premium</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313</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108</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3"/>
                <w:szCs w:val="13"/>
                <w:color w:val="auto"/>
                <w:w w:val="91"/>
              </w:rPr>
              <w:t>—</w:t>
            </w: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Times New Roman" w:cs="Times New Roman" w:eastAsia="Times New Roman" w:hAnsi="Times New Roman"/>
                <w:sz w:val="13"/>
                <w:szCs w:val="13"/>
                <w:color w:val="auto"/>
              </w:rPr>
              <w:t>421</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Times New Roman" w:cs="Times New Roman" w:eastAsia="Times New Roman" w:hAnsi="Times New Roman"/>
                <w:sz w:val="13"/>
                <w:szCs w:val="13"/>
                <w:color w:val="auto"/>
              </w:rPr>
              <w:t>Amortized cost</w:t>
            </w: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ind w:right="97"/>
              <w:spacing w:after="0"/>
              <w:rPr>
                <w:sz w:val="20"/>
                <w:szCs w:val="20"/>
                <w:color w:val="auto"/>
              </w:rPr>
            </w:pPr>
            <w:r>
              <w:rPr>
                <w:rFonts w:ascii="Times New Roman" w:cs="Times New Roman" w:eastAsia="Times New Roman" w:hAnsi="Times New Roman"/>
                <w:sz w:val="13"/>
                <w:szCs w:val="13"/>
                <w:color w:val="auto"/>
              </w:rPr>
              <w:t>6,034</w:t>
            </w: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3"/>
                <w:szCs w:val="13"/>
                <w:color w:val="auto"/>
              </w:rPr>
              <w:t>1,994</w:t>
            </w: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13"/>
              <w:spacing w:after="0"/>
              <w:rPr>
                <w:sz w:val="20"/>
                <w:szCs w:val="20"/>
                <w:color w:val="auto"/>
              </w:rPr>
            </w:pPr>
            <w:r>
              <w:rPr>
                <w:rFonts w:ascii="Times New Roman" w:cs="Times New Roman" w:eastAsia="Times New Roman" w:hAnsi="Times New Roman"/>
                <w:sz w:val="13"/>
                <w:szCs w:val="13"/>
                <w:color w:val="auto"/>
              </w:rPr>
              <w:t>1</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jc w:val="right"/>
              <w:ind w:right="115"/>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540" w:type="dxa"/>
            <w:vAlign w:val="bottom"/>
            <w:tcBorders>
              <w:top w:val="single" w:sz="8" w:color="auto"/>
            </w:tcBorders>
          </w:tcPr>
          <w:p>
            <w:pPr>
              <w:jc w:val="right"/>
              <w:ind w:right="94"/>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6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gridSpan w:val="2"/>
          </w:tcPr>
          <w:p>
            <w:pPr>
              <w:jc w:val="right"/>
              <w:ind w:right="88"/>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74"/>
              <w:spacing w:after="0"/>
              <w:rPr>
                <w:sz w:val="20"/>
                <w:szCs w:val="20"/>
                <w:color w:val="auto"/>
              </w:rPr>
            </w:pPr>
            <w:r>
              <w:rPr>
                <w:rFonts w:ascii="Times New Roman" w:cs="Times New Roman" w:eastAsia="Times New Roman" w:hAnsi="Times New Roman"/>
                <w:sz w:val="13"/>
                <w:szCs w:val="13"/>
                <w:color w:val="auto"/>
              </w:rPr>
              <w:t>8,029</w:t>
            </w: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3"/>
                <w:szCs w:val="13"/>
                <w:color w:val="auto"/>
              </w:rPr>
              <w:t>Gross unrealized gains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8</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2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6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4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3"/>
                <w:szCs w:val="13"/>
                <w:color w:val="auto"/>
                <w:w w:val="91"/>
              </w:rPr>
              <w:t>—</w:t>
            </w: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Times New Roman" w:cs="Times New Roman" w:eastAsia="Times New Roman" w:hAnsi="Times New Roman"/>
                <w:sz w:val="13"/>
                <w:szCs w:val="13"/>
                <w:color w:val="auto"/>
              </w:rPr>
              <w:t>10</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Times New Roman" w:cs="Times New Roman" w:eastAsia="Times New Roman" w:hAnsi="Times New Roman"/>
                <w:sz w:val="13"/>
                <w:szCs w:val="13"/>
                <w:color w:val="auto"/>
              </w:rPr>
              <w:t>Gross unrealized losses</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Times New Roman" w:cs="Times New Roman" w:eastAsia="Times New Roman" w:hAnsi="Times New Roman"/>
                <w:sz w:val="13"/>
                <w:szCs w:val="13"/>
                <w:color w:val="auto"/>
              </w:rPr>
              <w:t>(145)</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Times New Roman" w:cs="Times New Roman" w:eastAsia="Times New Roman" w:hAnsi="Times New Roman"/>
                <w:sz w:val="13"/>
                <w:szCs w:val="13"/>
                <w:color w:val="auto"/>
              </w:rPr>
              <w:t>(55)</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gridSpan w:val="2"/>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gridSpan w:val="2"/>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40" w:type="dxa"/>
            <w:vAlign w:val="bottom"/>
            <w:gridSpan w:val="3"/>
          </w:tcPr>
          <w:p>
            <w:pPr>
              <w:jc w:val="right"/>
              <w:ind w:right="300"/>
              <w:spacing w:after="0"/>
              <w:rPr>
                <w:sz w:val="20"/>
                <w:szCs w:val="20"/>
                <w:color w:val="auto"/>
              </w:rPr>
            </w:pPr>
            <w:r>
              <w:rPr>
                <w:rFonts w:ascii="Times New Roman" w:cs="Times New Roman" w:eastAsia="Times New Roman" w:hAnsi="Times New Roman"/>
                <w:sz w:val="13"/>
                <w:szCs w:val="13"/>
                <w:color w:val="auto"/>
                <w:w w:val="91"/>
              </w:rPr>
              <w:t>—</w:t>
            </w:r>
          </w:p>
        </w:tc>
        <w:tc>
          <w:tcPr>
            <w:tcW w:w="260" w:type="dxa"/>
            <w:vAlign w:val="bottom"/>
          </w:tcPr>
          <w:p>
            <w:pPr>
              <w:spacing w:after="0"/>
              <w:rPr>
                <w:sz w:val="14"/>
                <w:szCs w:val="14"/>
                <w:color w:val="auto"/>
              </w:rPr>
            </w:pPr>
          </w:p>
        </w:tc>
        <w:tc>
          <w:tcPr>
            <w:tcW w:w="700" w:type="dxa"/>
            <w:vAlign w:val="bottom"/>
          </w:tcPr>
          <w:p>
            <w:pPr>
              <w:jc w:val="right"/>
              <w:ind w:right="54"/>
              <w:spacing w:after="0"/>
              <w:rPr>
                <w:sz w:val="20"/>
                <w:szCs w:val="20"/>
                <w:color w:val="auto"/>
              </w:rPr>
            </w:pPr>
            <w:r>
              <w:rPr>
                <w:rFonts w:ascii="Times New Roman" w:cs="Times New Roman" w:eastAsia="Times New Roman" w:hAnsi="Times New Roman"/>
                <w:sz w:val="13"/>
                <w:szCs w:val="13"/>
                <w:color w:val="auto"/>
              </w:rPr>
              <w:t>(200)</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Borders>
              <w:top w:val="single" w:sz="8" w:color="CCEEFF"/>
            </w:tcBorders>
            <w:shd w:val="clear" w:color="auto" w:fill="CCEEFF"/>
          </w:tcPr>
          <w:p>
            <w:pPr>
              <w:spacing w:after="0"/>
              <w:rPr>
                <w:sz w:val="15"/>
                <w:szCs w:val="15"/>
                <w:color w:val="auto"/>
              </w:rPr>
            </w:pPr>
          </w:p>
        </w:tc>
        <w:tc>
          <w:tcPr>
            <w:tcW w:w="3740" w:type="dxa"/>
            <w:vAlign w:val="bottom"/>
            <w:tcBorders>
              <w:top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3"/>
                <w:szCs w:val="13"/>
                <w:color w:val="auto"/>
              </w:rPr>
              <w:t>Total available-for-sale securities, at fair value</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8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5,897</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1,941</w:t>
            </w: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13"/>
              <w:spacing w:after="0"/>
              <w:rPr>
                <w:sz w:val="20"/>
                <w:szCs w:val="20"/>
                <w:color w:val="auto"/>
              </w:rPr>
            </w:pPr>
            <w:r>
              <w:rPr>
                <w:rFonts w:ascii="Times New Roman" w:cs="Times New Roman" w:eastAsia="Times New Roman" w:hAnsi="Times New Roman"/>
                <w:sz w:val="13"/>
                <w:szCs w:val="13"/>
                <w:color w:val="auto"/>
              </w:rPr>
              <w:t>1</w:t>
            </w:r>
          </w:p>
        </w:tc>
        <w:tc>
          <w:tcPr>
            <w:tcW w:w="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760" w:type="dxa"/>
            <w:vAlign w:val="bottom"/>
            <w:tcBorders>
              <w:top w:val="single" w:sz="8" w:color="auto"/>
              <w:bottom w:val="single" w:sz="8" w:color="auto"/>
            </w:tcBorders>
            <w:shd w:val="clear" w:color="auto" w:fill="CCEEFF"/>
          </w:tcPr>
          <w:p>
            <w:pPr>
              <w:jc w:val="right"/>
              <w:ind w:right="115"/>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bottom w:val="single" w:sz="8" w:color="auto"/>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540" w:type="dxa"/>
            <w:vAlign w:val="bottom"/>
            <w:tcBorders>
              <w:top w:val="single" w:sz="8" w:color="auto"/>
              <w:bottom w:val="single" w:sz="8" w:color="auto"/>
            </w:tcBorders>
            <w:shd w:val="clear" w:color="auto" w:fill="CCEEFF"/>
          </w:tcPr>
          <w:p>
            <w:pPr>
              <w:jc w:val="right"/>
              <w:ind w:right="94"/>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480" w:type="dxa"/>
            <w:vAlign w:val="bottom"/>
            <w:tcBorders>
              <w:top w:val="single" w:sz="8" w:color="auto"/>
              <w:bottom w:val="single" w:sz="8" w:color="auto"/>
            </w:tcBorders>
            <w:shd w:val="clear" w:color="auto" w:fill="CCEEFF"/>
          </w:tcPr>
          <w:p>
            <w:pPr>
              <w:spacing w:after="0"/>
              <w:rPr>
                <w:sz w:val="15"/>
                <w:szCs w:val="15"/>
                <w:color w:val="auto"/>
              </w:rPr>
            </w:pPr>
          </w:p>
        </w:tc>
        <w:tc>
          <w:tcPr>
            <w:tcW w:w="60" w:type="dxa"/>
            <w:vAlign w:val="bottom"/>
            <w:tcBorders>
              <w:top w:val="single" w:sz="8" w:color="auto"/>
              <w:bottom w:val="single" w:sz="8" w:color="auto"/>
            </w:tcBorders>
            <w:shd w:val="clear" w:color="auto" w:fill="CCEEFF"/>
          </w:tcPr>
          <w:p>
            <w:pPr>
              <w:spacing w:after="0"/>
              <w:rPr>
                <w:sz w:val="15"/>
                <w:szCs w:val="15"/>
                <w:color w:val="auto"/>
              </w:rPr>
            </w:pPr>
          </w:p>
        </w:tc>
        <w:tc>
          <w:tcPr>
            <w:tcW w:w="300" w:type="dxa"/>
            <w:vAlign w:val="bottom"/>
            <w:tcBorders>
              <w:top w:val="single" w:sz="8" w:color="auto"/>
              <w:bottom w:val="single" w:sz="8" w:color="auto"/>
            </w:tcBorders>
            <w:gridSpan w:val="2"/>
            <w:shd w:val="clear" w:color="auto" w:fill="CCEEFF"/>
          </w:tcPr>
          <w:p>
            <w:pPr>
              <w:jc w:val="right"/>
              <w:ind w:right="88"/>
              <w:spacing w:after="0"/>
              <w:rPr>
                <w:sz w:val="20"/>
                <w:szCs w:val="20"/>
                <w:color w:val="auto"/>
              </w:rPr>
            </w:pPr>
            <w:r>
              <w:rPr>
                <w:rFonts w:ascii="Times New Roman" w:cs="Times New Roman" w:eastAsia="Times New Roman" w:hAnsi="Times New Roman"/>
                <w:sz w:val="13"/>
                <w:szCs w:val="13"/>
                <w:color w:val="auto"/>
                <w:w w:val="91"/>
              </w:rPr>
              <w:t>—</w:t>
            </w:r>
          </w:p>
        </w:tc>
        <w:tc>
          <w:tcPr>
            <w:tcW w:w="14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shd w:val="clear" w:color="auto" w:fill="CCEEFF"/>
          </w:tcPr>
          <w:p>
            <w:pPr>
              <w:jc w:val="right"/>
              <w:ind w:right="74"/>
              <w:spacing w:after="0"/>
              <w:rPr>
                <w:sz w:val="20"/>
                <w:szCs w:val="20"/>
                <w:color w:val="auto"/>
              </w:rPr>
            </w:pPr>
            <w:r>
              <w:rPr>
                <w:rFonts w:ascii="Times New Roman" w:cs="Times New Roman" w:eastAsia="Times New Roman" w:hAnsi="Times New Roman"/>
                <w:sz w:val="13"/>
                <w:szCs w:val="13"/>
                <w:color w:val="auto"/>
              </w:rPr>
              <w:t>7,839</w:t>
            </w: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50"/>
        </w:trPr>
        <w:tc>
          <w:tcPr>
            <w:tcW w:w="20" w:type="dxa"/>
            <w:vAlign w:val="bottom"/>
          </w:tcPr>
          <w:p>
            <w:pPr>
              <w:spacing w:after="0"/>
              <w:rPr>
                <w:sz w:val="13"/>
                <w:szCs w:val="13"/>
                <w:color w:val="auto"/>
              </w:rPr>
            </w:pPr>
          </w:p>
        </w:tc>
        <w:tc>
          <w:tcPr>
            <w:tcW w:w="3740" w:type="dxa"/>
            <w:vAlign w:val="bottom"/>
            <w:gridSpan w:val="2"/>
          </w:tcPr>
          <w:p>
            <w:pPr>
              <w:spacing w:after="0" w:line="144" w:lineRule="exact"/>
              <w:rPr>
                <w:sz w:val="20"/>
                <w:szCs w:val="20"/>
                <w:color w:val="auto"/>
              </w:rPr>
            </w:pPr>
            <w:r>
              <w:rPr>
                <w:rFonts w:ascii="Times New Roman" w:cs="Times New Roman" w:eastAsia="Times New Roman" w:hAnsi="Times New Roman"/>
                <w:sz w:val="13"/>
                <w:szCs w:val="13"/>
                <w:color w:val="auto"/>
              </w:rPr>
              <w:t>Securities remeasured at fair value through earnings:</w:t>
            </w:r>
          </w:p>
        </w:tc>
        <w:tc>
          <w:tcPr>
            <w:tcW w:w="10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1"/>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3"/>
                <w:szCs w:val="13"/>
                <w:color w:val="auto"/>
              </w:rPr>
              <w:t>Par value</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27,608</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12,564</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00" w:type="dxa"/>
            <w:vAlign w:val="bottom"/>
            <w:shd w:val="clear" w:color="auto" w:fill="CCEEFF"/>
          </w:tcPr>
          <w:p>
            <w:pPr>
              <w:jc w:val="right"/>
              <w:ind w:right="113"/>
              <w:spacing w:after="0"/>
              <w:rPr>
                <w:sz w:val="20"/>
                <w:szCs w:val="20"/>
                <w:color w:val="auto"/>
              </w:rPr>
            </w:pPr>
            <w:r>
              <w:rPr>
                <w:rFonts w:ascii="Times New Roman" w:cs="Times New Roman" w:eastAsia="Times New Roman" w:hAnsi="Times New Roman"/>
                <w:sz w:val="13"/>
                <w:szCs w:val="13"/>
                <w:color w:val="auto"/>
              </w:rPr>
              <w:t>3</w:t>
            </w: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3"/>
                <w:szCs w:val="13"/>
                <w:color w:val="auto"/>
              </w:rPr>
              <w:t>333</w:t>
            </w: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94"/>
              <w:spacing w:after="0"/>
              <w:rPr>
                <w:sz w:val="20"/>
                <w:szCs w:val="20"/>
                <w:color w:val="auto"/>
              </w:rPr>
            </w:pPr>
            <w:r>
              <w:rPr>
                <w:rFonts w:ascii="Times New Roman" w:cs="Times New Roman" w:eastAsia="Times New Roman" w:hAnsi="Times New Roman"/>
                <w:sz w:val="13"/>
                <w:szCs w:val="13"/>
                <w:color w:val="auto"/>
              </w:rPr>
              <w:t>498</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Times New Roman" w:cs="Times New Roman" w:eastAsia="Times New Roman" w:hAnsi="Times New Roman"/>
                <w:sz w:val="13"/>
                <w:szCs w:val="13"/>
                <w:color w:val="auto"/>
                <w:w w:val="92"/>
              </w:rPr>
              <w:t>895</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Times New Roman" w:cs="Times New Roman" w:eastAsia="Times New Roman" w:hAnsi="Times New Roman"/>
                <w:sz w:val="13"/>
                <w:szCs w:val="13"/>
                <w:color w:val="auto"/>
              </w:rPr>
              <w:t>41,901</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Times New Roman" w:cs="Times New Roman" w:eastAsia="Times New Roman" w:hAnsi="Times New Roman"/>
                <w:sz w:val="13"/>
                <w:szCs w:val="13"/>
                <w:color w:val="auto"/>
              </w:rPr>
              <w:t>Unamortized discount</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Times New Roman" w:cs="Times New Roman" w:eastAsia="Times New Roman" w:hAnsi="Times New Roman"/>
                <w:sz w:val="13"/>
                <w:szCs w:val="13"/>
                <w:color w:val="auto"/>
              </w:rPr>
              <w:t>(25)</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Times New Roman" w:cs="Times New Roman" w:eastAsia="Times New Roman" w:hAnsi="Times New Roman"/>
                <w:sz w:val="13"/>
                <w:szCs w:val="13"/>
                <w:color w:val="auto"/>
              </w:rPr>
              <w:t>(3)</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jc w:val="right"/>
              <w:ind w:right="75"/>
              <w:spacing w:after="0"/>
              <w:rPr>
                <w:sz w:val="20"/>
                <w:szCs w:val="20"/>
                <w:color w:val="auto"/>
              </w:rPr>
            </w:pPr>
            <w:r>
              <w:rPr>
                <w:rFonts w:ascii="Times New Roman" w:cs="Times New Roman" w:eastAsia="Times New Roman" w:hAnsi="Times New Roman"/>
                <w:sz w:val="13"/>
                <w:szCs w:val="13"/>
                <w:color w:val="auto"/>
              </w:rPr>
              <w:t>(9)</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gridSpan w:val="2"/>
          </w:tcPr>
          <w:p>
            <w:pPr>
              <w:jc w:val="right"/>
              <w:ind w:right="54"/>
              <w:spacing w:after="0"/>
              <w:rPr>
                <w:sz w:val="20"/>
                <w:szCs w:val="20"/>
                <w:color w:val="auto"/>
              </w:rPr>
            </w:pPr>
            <w:r>
              <w:rPr>
                <w:rFonts w:ascii="Times New Roman" w:cs="Times New Roman" w:eastAsia="Times New Roman" w:hAnsi="Times New Roman"/>
                <w:sz w:val="13"/>
                <w:szCs w:val="13"/>
                <w:color w:val="auto"/>
              </w:rPr>
              <w:t>(6)</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gridSpan w:val="3"/>
          </w:tcPr>
          <w:p>
            <w:pPr>
              <w:jc w:val="right"/>
              <w:ind w:right="68"/>
              <w:spacing w:after="0"/>
              <w:rPr>
                <w:sz w:val="20"/>
                <w:szCs w:val="20"/>
                <w:color w:val="auto"/>
              </w:rPr>
            </w:pPr>
            <w:r>
              <w:rPr>
                <w:rFonts w:ascii="Times New Roman" w:cs="Times New Roman" w:eastAsia="Times New Roman" w:hAnsi="Times New Roman"/>
                <w:sz w:val="13"/>
                <w:szCs w:val="13"/>
                <w:color w:val="auto"/>
              </w:rPr>
              <w:t>(5)</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ind w:right="54"/>
              <w:spacing w:after="0"/>
              <w:rPr>
                <w:sz w:val="20"/>
                <w:szCs w:val="20"/>
                <w:color w:val="auto"/>
              </w:rPr>
            </w:pPr>
            <w:r>
              <w:rPr>
                <w:rFonts w:ascii="Times New Roman" w:cs="Times New Roman" w:eastAsia="Times New Roman" w:hAnsi="Times New Roman"/>
                <w:sz w:val="13"/>
                <w:szCs w:val="13"/>
                <w:color w:val="auto"/>
              </w:rPr>
              <w:t>(48)</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3"/>
                <w:szCs w:val="13"/>
                <w:color w:val="auto"/>
              </w:rPr>
              <w:t>Unamortized premium</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953</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461</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3"/>
                <w:szCs w:val="13"/>
                <w:color w:val="auto"/>
              </w:rPr>
              <w:t>3</w:t>
            </w: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94"/>
              <w:spacing w:after="0"/>
              <w:rPr>
                <w:sz w:val="20"/>
                <w:szCs w:val="20"/>
                <w:color w:val="auto"/>
              </w:rPr>
            </w:pPr>
            <w:r>
              <w:rPr>
                <w:rFonts w:ascii="Times New Roman" w:cs="Times New Roman" w:eastAsia="Times New Roman" w:hAnsi="Times New Roman"/>
                <w:sz w:val="13"/>
                <w:szCs w:val="13"/>
                <w:color w:val="auto"/>
              </w:rPr>
              <w:t>4</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Times New Roman" w:cs="Times New Roman" w:eastAsia="Times New Roman" w:hAnsi="Times New Roman"/>
                <w:sz w:val="13"/>
                <w:szCs w:val="13"/>
                <w:color w:val="auto"/>
              </w:rPr>
              <w:t>13</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Times New Roman" w:cs="Times New Roman" w:eastAsia="Times New Roman" w:hAnsi="Times New Roman"/>
                <w:sz w:val="13"/>
                <w:szCs w:val="13"/>
                <w:color w:val="auto"/>
              </w:rPr>
              <w:t>1,434</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3"/>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Times New Roman" w:cs="Times New Roman" w:eastAsia="Times New Roman" w:hAnsi="Times New Roman"/>
                <w:sz w:val="13"/>
                <w:szCs w:val="13"/>
                <w:color w:val="auto"/>
              </w:rPr>
              <w:t>Amortized cost</w:t>
            </w:r>
          </w:p>
        </w:tc>
        <w:tc>
          <w:tcPr>
            <w:tcW w:w="100" w:type="dxa"/>
            <w:vAlign w:val="bottom"/>
            <w:tcBorders>
              <w:top w:val="single" w:sz="8" w:color="auto"/>
            </w:tcBorders>
          </w:tcPr>
          <w:p>
            <w:pPr>
              <w:spacing w:after="0"/>
              <w:rPr>
                <w:sz w:val="14"/>
                <w:szCs w:val="14"/>
                <w:color w:val="auto"/>
              </w:rPr>
            </w:pPr>
          </w:p>
        </w:tc>
        <w:tc>
          <w:tcPr>
            <w:tcW w:w="880" w:type="dxa"/>
            <w:vAlign w:val="bottom"/>
            <w:tcBorders>
              <w:top w:val="single" w:sz="8" w:color="auto"/>
            </w:tcBorders>
          </w:tcPr>
          <w:p>
            <w:pPr>
              <w:jc w:val="right"/>
              <w:ind w:right="97"/>
              <w:spacing w:after="0"/>
              <w:rPr>
                <w:sz w:val="20"/>
                <w:szCs w:val="20"/>
                <w:color w:val="auto"/>
              </w:rPr>
            </w:pPr>
            <w:r>
              <w:rPr>
                <w:rFonts w:ascii="Times New Roman" w:cs="Times New Roman" w:eastAsia="Times New Roman" w:hAnsi="Times New Roman"/>
                <w:sz w:val="13"/>
                <w:szCs w:val="13"/>
                <w:color w:val="auto"/>
              </w:rPr>
              <w:t>28,536</w:t>
            </w:r>
          </w:p>
        </w:tc>
        <w:tc>
          <w:tcPr>
            <w:tcW w:w="1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3"/>
                <w:szCs w:val="13"/>
                <w:color w:val="auto"/>
              </w:rPr>
              <w:t>13,022</w:t>
            </w:r>
          </w:p>
        </w:tc>
        <w:tc>
          <w:tcPr>
            <w:tcW w:w="1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800" w:type="dxa"/>
            <w:vAlign w:val="bottom"/>
            <w:tcBorders>
              <w:top w:val="single" w:sz="8" w:color="auto"/>
            </w:tcBorders>
          </w:tcPr>
          <w:p>
            <w:pPr>
              <w:jc w:val="right"/>
              <w:ind w:right="113"/>
              <w:spacing w:after="0"/>
              <w:rPr>
                <w:sz w:val="20"/>
                <w:szCs w:val="20"/>
                <w:color w:val="auto"/>
              </w:rPr>
            </w:pPr>
            <w:r>
              <w:rPr>
                <w:rFonts w:ascii="Times New Roman" w:cs="Times New Roman" w:eastAsia="Times New Roman" w:hAnsi="Times New Roman"/>
                <w:sz w:val="13"/>
                <w:szCs w:val="13"/>
                <w:color w:val="auto"/>
              </w:rPr>
              <w:t>3</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jc w:val="right"/>
              <w:ind w:right="115"/>
              <w:spacing w:after="0"/>
              <w:rPr>
                <w:sz w:val="20"/>
                <w:szCs w:val="20"/>
                <w:color w:val="auto"/>
              </w:rPr>
            </w:pPr>
            <w:r>
              <w:rPr>
                <w:rFonts w:ascii="Times New Roman" w:cs="Times New Roman" w:eastAsia="Times New Roman" w:hAnsi="Times New Roman"/>
                <w:sz w:val="13"/>
                <w:szCs w:val="13"/>
                <w:color w:val="auto"/>
              </w:rPr>
              <w:t>327</w:t>
            </w:r>
          </w:p>
        </w:tc>
        <w:tc>
          <w:tcPr>
            <w:tcW w:w="100" w:type="dxa"/>
            <w:vAlign w:val="bottom"/>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gridSpan w:val="2"/>
          </w:tcPr>
          <w:p>
            <w:pPr>
              <w:jc w:val="right"/>
              <w:ind w:right="94"/>
              <w:spacing w:after="0"/>
              <w:rPr>
                <w:sz w:val="20"/>
                <w:szCs w:val="20"/>
                <w:color w:val="auto"/>
              </w:rPr>
            </w:pPr>
            <w:r>
              <w:rPr>
                <w:rFonts w:ascii="Times New Roman" w:cs="Times New Roman" w:eastAsia="Times New Roman" w:hAnsi="Times New Roman"/>
                <w:sz w:val="13"/>
                <w:szCs w:val="13"/>
                <w:color w:val="auto"/>
              </w:rPr>
              <w:t>496</w:t>
            </w:r>
          </w:p>
        </w:tc>
        <w:tc>
          <w:tcPr>
            <w:tcW w:w="120" w:type="dxa"/>
            <w:vAlign w:val="bottom"/>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480" w:type="dxa"/>
            <w:vAlign w:val="bottom"/>
            <w:tcBorders>
              <w:top w:val="single" w:sz="8" w:color="auto"/>
            </w:tcBorders>
          </w:tcPr>
          <w:p>
            <w:pPr>
              <w:spacing w:after="0"/>
              <w:rPr>
                <w:sz w:val="14"/>
                <w:szCs w:val="14"/>
                <w:color w:val="auto"/>
              </w:rPr>
            </w:pPr>
          </w:p>
        </w:tc>
        <w:tc>
          <w:tcPr>
            <w:tcW w:w="360" w:type="dxa"/>
            <w:vAlign w:val="bottom"/>
            <w:tcBorders>
              <w:top w:val="single" w:sz="8" w:color="auto"/>
            </w:tcBorders>
            <w:gridSpan w:val="3"/>
          </w:tcPr>
          <w:p>
            <w:pPr>
              <w:jc w:val="right"/>
              <w:ind w:right="88"/>
              <w:spacing w:after="0"/>
              <w:rPr>
                <w:sz w:val="20"/>
                <w:szCs w:val="20"/>
                <w:color w:val="auto"/>
              </w:rPr>
            </w:pPr>
            <w:r>
              <w:rPr>
                <w:rFonts w:ascii="Times New Roman" w:cs="Times New Roman" w:eastAsia="Times New Roman" w:hAnsi="Times New Roman"/>
                <w:sz w:val="13"/>
                <w:szCs w:val="13"/>
                <w:color w:val="auto"/>
                <w:w w:val="92"/>
              </w:rPr>
              <w:t>903</w:t>
            </w:r>
          </w:p>
        </w:tc>
        <w:tc>
          <w:tcPr>
            <w:tcW w:w="140" w:type="dxa"/>
            <w:vAlign w:val="bottom"/>
          </w:tcPr>
          <w:p>
            <w:pPr>
              <w:spacing w:after="0"/>
              <w:rPr>
                <w:sz w:val="14"/>
                <w:szCs w:val="14"/>
                <w:color w:val="auto"/>
              </w:rPr>
            </w:pPr>
          </w:p>
        </w:tc>
        <w:tc>
          <w:tcPr>
            <w:tcW w:w="26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74"/>
              <w:spacing w:after="0"/>
              <w:rPr>
                <w:sz w:val="20"/>
                <w:szCs w:val="20"/>
                <w:color w:val="auto"/>
              </w:rPr>
            </w:pPr>
            <w:r>
              <w:rPr>
                <w:rFonts w:ascii="Times New Roman" w:cs="Times New Roman" w:eastAsia="Times New Roman" w:hAnsi="Times New Roman"/>
                <w:sz w:val="13"/>
                <w:szCs w:val="13"/>
                <w:color w:val="auto"/>
              </w:rPr>
              <w:t>43,287</w:t>
            </w:r>
          </w:p>
        </w:tc>
        <w:tc>
          <w:tcPr>
            <w:tcW w:w="2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20" w:type="dxa"/>
            <w:vAlign w:val="bottom"/>
            <w:shd w:val="clear" w:color="auto" w:fill="CCEEFF"/>
          </w:tcPr>
          <w:p>
            <w:pPr>
              <w:spacing w:after="0"/>
              <w:rPr>
                <w:sz w:val="15"/>
                <w:szCs w:val="15"/>
                <w:color w:val="auto"/>
              </w:rPr>
            </w:pPr>
          </w:p>
        </w:tc>
        <w:tc>
          <w:tcPr>
            <w:tcW w:w="374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3"/>
                <w:szCs w:val="13"/>
                <w:color w:val="auto"/>
              </w:rPr>
              <w:t>Gross unrealized gains</w:t>
            </w:r>
          </w:p>
        </w:tc>
        <w:tc>
          <w:tcPr>
            <w:tcW w:w="100" w:type="dxa"/>
            <w:vAlign w:val="bottom"/>
            <w:shd w:val="clear" w:color="auto" w:fill="CCEEFF"/>
          </w:tcPr>
          <w:p>
            <w:pPr>
              <w:spacing w:after="0"/>
              <w:rPr>
                <w:sz w:val="15"/>
                <w:szCs w:val="15"/>
                <w:color w:val="auto"/>
              </w:rPr>
            </w:pPr>
          </w:p>
        </w:tc>
        <w:tc>
          <w:tcPr>
            <w:tcW w:w="88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56</w:t>
            </w: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7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20</w:t>
            </w:r>
          </w:p>
        </w:tc>
        <w:tc>
          <w:tcPr>
            <w:tcW w:w="1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3"/>
                <w:szCs w:val="13"/>
                <w:color w:val="auto"/>
              </w:rPr>
              <w:t>3</w:t>
            </w:r>
          </w:p>
        </w:tc>
        <w:tc>
          <w:tcPr>
            <w:tcW w:w="10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700" w:type="dxa"/>
            <w:vAlign w:val="bottom"/>
            <w:gridSpan w:val="2"/>
            <w:shd w:val="clear" w:color="auto" w:fill="CCEEFF"/>
          </w:tcPr>
          <w:p>
            <w:pPr>
              <w:jc w:val="right"/>
              <w:ind w:right="94"/>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480" w:type="dxa"/>
            <w:vAlign w:val="bottom"/>
            <w:shd w:val="clear" w:color="auto" w:fill="CCEEFF"/>
          </w:tcPr>
          <w:p>
            <w:pPr>
              <w:spacing w:after="0"/>
              <w:rPr>
                <w:sz w:val="15"/>
                <w:szCs w:val="15"/>
                <w:color w:val="auto"/>
              </w:rPr>
            </w:pPr>
          </w:p>
        </w:tc>
        <w:tc>
          <w:tcPr>
            <w:tcW w:w="360" w:type="dxa"/>
            <w:vAlign w:val="bottom"/>
            <w:gridSpan w:val="3"/>
            <w:shd w:val="clear" w:color="auto" w:fill="CCEEFF"/>
          </w:tcPr>
          <w:p>
            <w:pPr>
              <w:jc w:val="right"/>
              <w:ind w:right="88"/>
              <w:spacing w:after="0"/>
              <w:rPr>
                <w:sz w:val="20"/>
                <w:szCs w:val="20"/>
                <w:color w:val="auto"/>
              </w:rPr>
            </w:pPr>
            <w:r>
              <w:rPr>
                <w:rFonts w:ascii="Times New Roman" w:cs="Times New Roman" w:eastAsia="Times New Roman" w:hAnsi="Times New Roman"/>
                <w:sz w:val="13"/>
                <w:szCs w:val="13"/>
                <w:color w:val="auto"/>
              </w:rPr>
              <w:t>6</w:t>
            </w:r>
          </w:p>
        </w:tc>
        <w:tc>
          <w:tcPr>
            <w:tcW w:w="140" w:type="dxa"/>
            <w:vAlign w:val="bottom"/>
            <w:shd w:val="clear" w:color="auto" w:fill="CCEEFF"/>
          </w:tcPr>
          <w:p>
            <w:pPr>
              <w:spacing w:after="0"/>
              <w:rPr>
                <w:sz w:val="15"/>
                <w:szCs w:val="15"/>
                <w:color w:val="auto"/>
              </w:rPr>
            </w:pPr>
          </w:p>
        </w:tc>
        <w:tc>
          <w:tcPr>
            <w:tcW w:w="26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74"/>
              <w:spacing w:after="0"/>
              <w:rPr>
                <w:sz w:val="20"/>
                <w:szCs w:val="20"/>
                <w:color w:val="auto"/>
              </w:rPr>
            </w:pPr>
            <w:r>
              <w:rPr>
                <w:rFonts w:ascii="Times New Roman" w:cs="Times New Roman" w:eastAsia="Times New Roman" w:hAnsi="Times New Roman"/>
                <w:sz w:val="13"/>
                <w:szCs w:val="13"/>
                <w:color w:val="auto"/>
              </w:rPr>
              <w:t>87</w:t>
            </w:r>
          </w:p>
        </w:tc>
        <w:tc>
          <w:tcPr>
            <w:tcW w:w="2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740" w:type="dxa"/>
            <w:vAlign w:val="bottom"/>
            <w:gridSpan w:val="2"/>
          </w:tcPr>
          <w:p>
            <w:pPr>
              <w:ind w:left="160"/>
              <w:spacing w:after="0"/>
              <w:rPr>
                <w:sz w:val="20"/>
                <w:szCs w:val="20"/>
                <w:color w:val="auto"/>
              </w:rPr>
            </w:pPr>
            <w:r>
              <w:rPr>
                <w:rFonts w:ascii="Times New Roman" w:cs="Times New Roman" w:eastAsia="Times New Roman" w:hAnsi="Times New Roman"/>
                <w:sz w:val="13"/>
                <w:szCs w:val="13"/>
                <w:color w:val="auto"/>
              </w:rPr>
              <w:t>Gross unrealized losses</w:t>
            </w:r>
          </w:p>
        </w:tc>
        <w:tc>
          <w:tcPr>
            <w:tcW w:w="100" w:type="dxa"/>
            <w:vAlign w:val="bottom"/>
          </w:tcPr>
          <w:p>
            <w:pPr>
              <w:spacing w:after="0"/>
              <w:rPr>
                <w:sz w:val="14"/>
                <w:szCs w:val="14"/>
                <w:color w:val="auto"/>
              </w:rPr>
            </w:pPr>
          </w:p>
        </w:tc>
        <w:tc>
          <w:tcPr>
            <w:tcW w:w="880" w:type="dxa"/>
            <w:vAlign w:val="bottom"/>
          </w:tcPr>
          <w:p>
            <w:pPr>
              <w:jc w:val="right"/>
              <w:ind w:right="57"/>
              <w:spacing w:after="0"/>
              <w:rPr>
                <w:sz w:val="20"/>
                <w:szCs w:val="20"/>
                <w:color w:val="auto"/>
              </w:rPr>
            </w:pPr>
            <w:r>
              <w:rPr>
                <w:rFonts w:ascii="Times New Roman" w:cs="Times New Roman" w:eastAsia="Times New Roman" w:hAnsi="Times New Roman"/>
                <w:sz w:val="13"/>
                <w:szCs w:val="13"/>
                <w:color w:val="auto"/>
              </w:rPr>
              <w:t>(1,425)</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gridSpan w:val="3"/>
          </w:tcPr>
          <w:p>
            <w:pPr>
              <w:jc w:val="right"/>
              <w:ind w:right="68"/>
              <w:spacing w:after="0"/>
              <w:rPr>
                <w:sz w:val="20"/>
                <w:szCs w:val="20"/>
                <w:color w:val="auto"/>
              </w:rPr>
            </w:pPr>
            <w:r>
              <w:rPr>
                <w:rFonts w:ascii="Times New Roman" w:cs="Times New Roman" w:eastAsia="Times New Roman" w:hAnsi="Times New Roman"/>
                <w:sz w:val="13"/>
                <w:szCs w:val="13"/>
                <w:color w:val="auto"/>
              </w:rPr>
              <w:t>(653)</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8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60" w:type="dxa"/>
            <w:vAlign w:val="bottom"/>
          </w:tcPr>
          <w:p>
            <w:pPr>
              <w:jc w:val="right"/>
              <w:ind w:right="75"/>
              <w:spacing w:after="0"/>
              <w:rPr>
                <w:sz w:val="20"/>
                <w:szCs w:val="20"/>
                <w:color w:val="auto"/>
              </w:rPr>
            </w:pPr>
            <w:r>
              <w:rPr>
                <w:rFonts w:ascii="Times New Roman" w:cs="Times New Roman" w:eastAsia="Times New Roman" w:hAnsi="Times New Roman"/>
                <w:sz w:val="13"/>
                <w:szCs w:val="13"/>
                <w:color w:val="auto"/>
              </w:rPr>
              <w:t>(14)</w:t>
            </w:r>
          </w:p>
        </w:tc>
        <w:tc>
          <w:tcPr>
            <w:tcW w:w="1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700" w:type="dxa"/>
            <w:vAlign w:val="bottom"/>
            <w:gridSpan w:val="2"/>
          </w:tcPr>
          <w:p>
            <w:pPr>
              <w:jc w:val="right"/>
              <w:ind w:right="54"/>
              <w:spacing w:after="0"/>
              <w:rPr>
                <w:sz w:val="20"/>
                <w:szCs w:val="20"/>
                <w:color w:val="auto"/>
              </w:rPr>
            </w:pPr>
            <w:r>
              <w:rPr>
                <w:rFonts w:ascii="Times New Roman" w:cs="Times New Roman" w:eastAsia="Times New Roman" w:hAnsi="Times New Roman"/>
                <w:sz w:val="13"/>
                <w:szCs w:val="13"/>
                <w:color w:val="auto"/>
              </w:rPr>
              <w:t>(10)</w:t>
            </w:r>
          </w:p>
        </w:tc>
        <w:tc>
          <w:tcPr>
            <w:tcW w:w="1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360" w:type="dxa"/>
            <w:vAlign w:val="bottom"/>
            <w:gridSpan w:val="3"/>
          </w:tcPr>
          <w:p>
            <w:pPr>
              <w:jc w:val="right"/>
              <w:ind w:right="68"/>
              <w:spacing w:after="0"/>
              <w:rPr>
                <w:sz w:val="20"/>
                <w:szCs w:val="20"/>
                <w:color w:val="auto"/>
              </w:rPr>
            </w:pPr>
            <w:r>
              <w:rPr>
                <w:rFonts w:ascii="Times New Roman" w:cs="Times New Roman" w:eastAsia="Times New Roman" w:hAnsi="Times New Roman"/>
                <w:sz w:val="13"/>
                <w:szCs w:val="13"/>
                <w:color w:val="auto"/>
                <w:w w:val="92"/>
              </w:rPr>
              <w:t>(24)</w:t>
            </w:r>
          </w:p>
        </w:tc>
        <w:tc>
          <w:tcPr>
            <w:tcW w:w="14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700" w:type="dxa"/>
            <w:vAlign w:val="bottom"/>
          </w:tcPr>
          <w:p>
            <w:pPr>
              <w:jc w:val="right"/>
              <w:ind w:right="54"/>
              <w:spacing w:after="0"/>
              <w:rPr>
                <w:sz w:val="20"/>
                <w:szCs w:val="20"/>
                <w:color w:val="auto"/>
              </w:rPr>
            </w:pPr>
            <w:r>
              <w:rPr>
                <w:rFonts w:ascii="Times New Roman" w:cs="Times New Roman" w:eastAsia="Times New Roman" w:hAnsi="Times New Roman"/>
                <w:sz w:val="13"/>
                <w:szCs w:val="13"/>
                <w:color w:val="auto"/>
              </w:rPr>
              <w:t>(2,126)</w:t>
            </w: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5"/>
        </w:trPr>
        <w:tc>
          <w:tcPr>
            <w:tcW w:w="20" w:type="dxa"/>
            <w:vAlign w:val="bottom"/>
            <w:tcBorders>
              <w:top w:val="single" w:sz="8" w:color="CCEEFF"/>
            </w:tcBorders>
            <w:shd w:val="clear" w:color="auto" w:fill="CCEEFF"/>
          </w:tcPr>
          <w:p>
            <w:pPr>
              <w:spacing w:after="0"/>
              <w:rPr>
                <w:sz w:val="15"/>
                <w:szCs w:val="15"/>
                <w:color w:val="auto"/>
              </w:rPr>
            </w:pPr>
          </w:p>
        </w:tc>
        <w:tc>
          <w:tcPr>
            <w:tcW w:w="3740" w:type="dxa"/>
            <w:vAlign w:val="bottom"/>
            <w:tcBorders>
              <w:top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3"/>
                <w:szCs w:val="13"/>
                <w:color w:val="auto"/>
              </w:rPr>
              <w:t>Total securities remeasured at fair value through earnings</w:t>
            </w: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88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27,167</w:t>
            </w:r>
          </w:p>
        </w:tc>
        <w:tc>
          <w:tcPr>
            <w:tcW w:w="1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12,389</w:t>
            </w: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800" w:type="dxa"/>
            <w:vAlign w:val="bottom"/>
            <w:tcBorders>
              <w:top w:val="single" w:sz="8" w:color="auto"/>
              <w:bottom w:val="single" w:sz="8" w:color="auto"/>
            </w:tcBorders>
            <w:shd w:val="clear" w:color="auto" w:fill="CCEEFF"/>
          </w:tcPr>
          <w:p>
            <w:pPr>
              <w:jc w:val="right"/>
              <w:ind w:right="113"/>
              <w:spacing w:after="0"/>
              <w:rPr>
                <w:sz w:val="20"/>
                <w:szCs w:val="20"/>
                <w:color w:val="auto"/>
              </w:rPr>
            </w:pPr>
            <w:r>
              <w:rPr>
                <w:rFonts w:ascii="Times New Roman" w:cs="Times New Roman" w:eastAsia="Times New Roman" w:hAnsi="Times New Roman"/>
                <w:sz w:val="13"/>
                <w:szCs w:val="13"/>
                <w:color w:val="auto"/>
              </w:rPr>
              <w:t>3</w:t>
            </w:r>
          </w:p>
        </w:tc>
        <w:tc>
          <w:tcPr>
            <w:tcW w:w="8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80" w:type="dxa"/>
            <w:vAlign w:val="bottom"/>
            <w:tcBorders>
              <w:top w:val="single" w:sz="8" w:color="auto"/>
              <w:bottom w:val="single" w:sz="8" w:color="auto"/>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760" w:type="dxa"/>
            <w:vAlign w:val="bottom"/>
            <w:tcBorders>
              <w:top w:val="single" w:sz="8" w:color="auto"/>
              <w:bottom w:val="single" w:sz="8" w:color="auto"/>
            </w:tcBorders>
            <w:shd w:val="clear" w:color="auto" w:fill="CCEEFF"/>
          </w:tcPr>
          <w:p>
            <w:pPr>
              <w:jc w:val="right"/>
              <w:ind w:right="115"/>
              <w:spacing w:after="0"/>
              <w:rPr>
                <w:sz w:val="20"/>
                <w:szCs w:val="20"/>
                <w:color w:val="auto"/>
              </w:rPr>
            </w:pPr>
            <w:r>
              <w:rPr>
                <w:rFonts w:ascii="Times New Roman" w:cs="Times New Roman" w:eastAsia="Times New Roman" w:hAnsi="Times New Roman"/>
                <w:sz w:val="13"/>
                <w:szCs w:val="13"/>
                <w:color w:val="auto"/>
              </w:rPr>
              <w:t>316</w:t>
            </w:r>
          </w:p>
        </w:tc>
        <w:tc>
          <w:tcPr>
            <w:tcW w:w="100" w:type="dxa"/>
            <w:vAlign w:val="bottom"/>
            <w:tcBorders>
              <w:top w:val="single" w:sz="8" w:color="CCEEFF"/>
            </w:tcBorders>
            <w:shd w:val="clear" w:color="auto" w:fill="CCEEFF"/>
          </w:tcPr>
          <w:p>
            <w:pPr>
              <w:spacing w:after="0"/>
              <w:rPr>
                <w:sz w:val="15"/>
                <w:szCs w:val="15"/>
                <w:color w:val="auto"/>
              </w:rPr>
            </w:pPr>
          </w:p>
        </w:tc>
        <w:tc>
          <w:tcPr>
            <w:tcW w:w="28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gridSpan w:val="2"/>
            <w:shd w:val="clear" w:color="auto" w:fill="CCEEFF"/>
          </w:tcPr>
          <w:p>
            <w:pPr>
              <w:jc w:val="right"/>
              <w:ind w:right="94"/>
              <w:spacing w:after="0"/>
              <w:rPr>
                <w:sz w:val="20"/>
                <w:szCs w:val="20"/>
                <w:color w:val="auto"/>
              </w:rPr>
            </w:pPr>
            <w:r>
              <w:rPr>
                <w:rFonts w:ascii="Times New Roman" w:cs="Times New Roman" w:eastAsia="Times New Roman" w:hAnsi="Times New Roman"/>
                <w:sz w:val="13"/>
                <w:szCs w:val="13"/>
                <w:color w:val="auto"/>
              </w:rPr>
              <w:t>488</w:t>
            </w:r>
          </w:p>
        </w:tc>
        <w:tc>
          <w:tcPr>
            <w:tcW w:w="120" w:type="dxa"/>
            <w:vAlign w:val="bottom"/>
            <w:tcBorders>
              <w:top w:val="single" w:sz="8" w:color="CCEEFF"/>
            </w:tcBorders>
            <w:shd w:val="clear" w:color="auto" w:fill="CCEEFF"/>
          </w:tcPr>
          <w:p>
            <w:pPr>
              <w:spacing w:after="0"/>
              <w:rPr>
                <w:sz w:val="15"/>
                <w:szCs w:val="15"/>
                <w:color w:val="auto"/>
              </w:rPr>
            </w:pPr>
          </w:p>
        </w:tc>
        <w:tc>
          <w:tcPr>
            <w:tcW w:w="100" w:type="dxa"/>
            <w:vAlign w:val="bottom"/>
            <w:tcBorders>
              <w:top w:val="single" w:sz="8" w:color="auto"/>
              <w:bottom w:val="single" w:sz="8" w:color="auto"/>
            </w:tcBorders>
            <w:shd w:val="clear" w:color="auto" w:fill="CCEEFF"/>
          </w:tcPr>
          <w:p>
            <w:pPr>
              <w:spacing w:after="0"/>
              <w:rPr>
                <w:sz w:val="15"/>
                <w:szCs w:val="15"/>
                <w:color w:val="auto"/>
              </w:rPr>
            </w:pPr>
          </w:p>
        </w:tc>
        <w:tc>
          <w:tcPr>
            <w:tcW w:w="480" w:type="dxa"/>
            <w:vAlign w:val="bottom"/>
            <w:tcBorders>
              <w:top w:val="single" w:sz="8" w:color="auto"/>
              <w:bottom w:val="single" w:sz="8" w:color="auto"/>
            </w:tcBorders>
            <w:shd w:val="clear" w:color="auto" w:fill="CCEEFF"/>
          </w:tcPr>
          <w:p>
            <w:pPr>
              <w:spacing w:after="0"/>
              <w:rPr>
                <w:sz w:val="15"/>
                <w:szCs w:val="15"/>
                <w:color w:val="auto"/>
              </w:rPr>
            </w:pPr>
          </w:p>
        </w:tc>
        <w:tc>
          <w:tcPr>
            <w:tcW w:w="360" w:type="dxa"/>
            <w:vAlign w:val="bottom"/>
            <w:tcBorders>
              <w:top w:val="single" w:sz="8" w:color="auto"/>
              <w:bottom w:val="single" w:sz="8" w:color="auto"/>
            </w:tcBorders>
            <w:gridSpan w:val="3"/>
            <w:shd w:val="clear" w:color="auto" w:fill="CCEEFF"/>
          </w:tcPr>
          <w:p>
            <w:pPr>
              <w:jc w:val="right"/>
              <w:ind w:right="88"/>
              <w:spacing w:after="0"/>
              <w:rPr>
                <w:sz w:val="20"/>
                <w:szCs w:val="20"/>
                <w:color w:val="auto"/>
              </w:rPr>
            </w:pPr>
            <w:r>
              <w:rPr>
                <w:rFonts w:ascii="Times New Roman" w:cs="Times New Roman" w:eastAsia="Times New Roman" w:hAnsi="Times New Roman"/>
                <w:sz w:val="13"/>
                <w:szCs w:val="13"/>
                <w:color w:val="auto"/>
                <w:w w:val="92"/>
              </w:rPr>
              <w:t>885</w:t>
            </w:r>
          </w:p>
        </w:tc>
        <w:tc>
          <w:tcPr>
            <w:tcW w:w="140" w:type="dxa"/>
            <w:vAlign w:val="bottom"/>
            <w:tcBorders>
              <w:top w:val="single" w:sz="8" w:color="CCEEFF"/>
            </w:tcBorders>
            <w:shd w:val="clear" w:color="auto" w:fill="CCEEFF"/>
          </w:tcPr>
          <w:p>
            <w:pPr>
              <w:spacing w:after="0"/>
              <w:rPr>
                <w:sz w:val="15"/>
                <w:szCs w:val="15"/>
                <w:color w:val="auto"/>
              </w:rPr>
            </w:pPr>
          </w:p>
        </w:tc>
        <w:tc>
          <w:tcPr>
            <w:tcW w:w="26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shd w:val="clear" w:color="auto" w:fill="CCEEFF"/>
          </w:tcPr>
          <w:p>
            <w:pPr>
              <w:jc w:val="right"/>
              <w:ind w:right="74"/>
              <w:spacing w:after="0"/>
              <w:rPr>
                <w:sz w:val="20"/>
                <w:szCs w:val="20"/>
                <w:color w:val="auto"/>
              </w:rPr>
            </w:pPr>
            <w:r>
              <w:rPr>
                <w:rFonts w:ascii="Times New Roman" w:cs="Times New Roman" w:eastAsia="Times New Roman" w:hAnsi="Times New Roman"/>
                <w:sz w:val="13"/>
                <w:szCs w:val="13"/>
                <w:color w:val="auto"/>
              </w:rPr>
              <w:t>41,248</w:t>
            </w: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3740" w:type="dxa"/>
            <w:vAlign w:val="bottom"/>
            <w:gridSpan w:val="2"/>
          </w:tcPr>
          <w:p>
            <w:pPr>
              <w:spacing w:after="0"/>
              <w:rPr>
                <w:sz w:val="20"/>
                <w:szCs w:val="20"/>
                <w:color w:val="auto"/>
              </w:rPr>
            </w:pPr>
            <w:r>
              <w:rPr>
                <w:rFonts w:ascii="Times New Roman" w:cs="Times New Roman" w:eastAsia="Times New Roman" w:hAnsi="Times New Roman"/>
                <w:sz w:val="13"/>
                <w:szCs w:val="13"/>
                <w:color w:val="auto"/>
              </w:rPr>
              <w:t>Total securities, at fair value</w:t>
            </w: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880" w:type="dxa"/>
            <w:vAlign w:val="bottom"/>
            <w:tcBorders>
              <w:bottom w:val="single" w:sz="8" w:color="auto"/>
            </w:tcBorders>
          </w:tcPr>
          <w:p>
            <w:pPr>
              <w:jc w:val="right"/>
              <w:ind w:right="97"/>
              <w:spacing w:after="0"/>
              <w:rPr>
                <w:sz w:val="20"/>
                <w:szCs w:val="20"/>
                <w:color w:val="auto"/>
              </w:rPr>
            </w:pPr>
            <w:r>
              <w:rPr>
                <w:rFonts w:ascii="Times New Roman" w:cs="Times New Roman" w:eastAsia="Times New Roman" w:hAnsi="Times New Roman"/>
                <w:sz w:val="13"/>
                <w:szCs w:val="13"/>
                <w:color w:val="auto"/>
              </w:rPr>
              <w:t>33,064</w:t>
            </w:r>
          </w:p>
        </w:tc>
        <w:tc>
          <w:tcPr>
            <w:tcW w:w="120" w:type="dxa"/>
            <w:vAlign w:val="bottom"/>
          </w:tcPr>
          <w:p>
            <w:pPr>
              <w:spacing w:after="0"/>
              <w:rPr>
                <w:sz w:val="14"/>
                <w:szCs w:val="14"/>
                <w:color w:val="auto"/>
              </w:rPr>
            </w:pPr>
          </w:p>
        </w:tc>
        <w:tc>
          <w:tcPr>
            <w:tcW w:w="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0"/>
                <w:szCs w:val="10"/>
                <w:color w:val="auto"/>
                <w:w w:val="79"/>
              </w:rPr>
              <w:t>$</w:t>
            </w:r>
          </w:p>
        </w:tc>
        <w:tc>
          <w:tcPr>
            <w:tcW w:w="74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3"/>
                <w:szCs w:val="13"/>
                <w:color w:val="auto"/>
              </w:rPr>
              <w:t>14,330</w:t>
            </w:r>
          </w:p>
        </w:tc>
        <w:tc>
          <w:tcPr>
            <w:tcW w:w="140" w:type="dxa"/>
            <w:vAlign w:val="bottom"/>
            <w:tcBorders>
              <w:bottom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4"/>
              <w:spacing w:after="0"/>
              <w:rPr>
                <w:sz w:val="20"/>
                <w:szCs w:val="20"/>
                <w:color w:val="auto"/>
              </w:rPr>
            </w:pPr>
            <w:r>
              <w:rPr>
                <w:rFonts w:ascii="Times New Roman" w:cs="Times New Roman" w:eastAsia="Times New Roman" w:hAnsi="Times New Roman"/>
                <w:sz w:val="13"/>
                <w:szCs w:val="13"/>
                <w:color w:val="auto"/>
                <w:w w:val="91"/>
              </w:rPr>
              <w:t>$</w:t>
            </w:r>
          </w:p>
        </w:tc>
        <w:tc>
          <w:tcPr>
            <w:tcW w:w="800" w:type="dxa"/>
            <w:vAlign w:val="bottom"/>
            <w:tcBorders>
              <w:bottom w:val="single" w:sz="8" w:color="auto"/>
            </w:tcBorders>
          </w:tcPr>
          <w:p>
            <w:pPr>
              <w:jc w:val="right"/>
              <w:ind w:right="113"/>
              <w:spacing w:after="0"/>
              <w:rPr>
                <w:sz w:val="20"/>
                <w:szCs w:val="20"/>
                <w:color w:val="auto"/>
              </w:rPr>
            </w:pPr>
            <w:r>
              <w:rPr>
                <w:rFonts w:ascii="Times New Roman" w:cs="Times New Roman" w:eastAsia="Times New Roman" w:hAnsi="Times New Roman"/>
                <w:sz w:val="13"/>
                <w:szCs w:val="13"/>
                <w:color w:val="auto"/>
              </w:rPr>
              <w:t>4</w:t>
            </w: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760" w:type="dxa"/>
            <w:vAlign w:val="bottom"/>
            <w:tcBorders>
              <w:bottom w:val="single" w:sz="8" w:color="auto"/>
            </w:tcBorders>
          </w:tcPr>
          <w:p>
            <w:pPr>
              <w:jc w:val="right"/>
              <w:ind w:right="115"/>
              <w:spacing w:after="0"/>
              <w:rPr>
                <w:sz w:val="20"/>
                <w:szCs w:val="20"/>
                <w:color w:val="auto"/>
              </w:rPr>
            </w:pPr>
            <w:r>
              <w:rPr>
                <w:rFonts w:ascii="Times New Roman" w:cs="Times New Roman" w:eastAsia="Times New Roman" w:hAnsi="Times New Roman"/>
                <w:sz w:val="13"/>
                <w:szCs w:val="13"/>
                <w:color w:val="auto"/>
              </w:rPr>
              <w:t>316</w:t>
            </w:r>
          </w:p>
        </w:tc>
        <w:tc>
          <w:tcPr>
            <w:tcW w:w="100" w:type="dxa"/>
            <w:vAlign w:val="bottom"/>
          </w:tcPr>
          <w:p>
            <w:pPr>
              <w:spacing w:after="0"/>
              <w:rPr>
                <w:sz w:val="14"/>
                <w:szCs w:val="14"/>
                <w:color w:val="auto"/>
              </w:rPr>
            </w:pPr>
          </w:p>
        </w:tc>
        <w:tc>
          <w:tcPr>
            <w:tcW w:w="280" w:type="dxa"/>
            <w:vAlign w:val="bottom"/>
            <w:tcBorders>
              <w:bottom w:val="single" w:sz="8" w:color="auto"/>
            </w:tcBorders>
          </w:tcPr>
          <w:p>
            <w:pPr>
              <w:jc w:val="right"/>
              <w:ind w:right="130"/>
              <w:spacing w:after="0"/>
              <w:rPr>
                <w:sz w:val="20"/>
                <w:szCs w:val="20"/>
                <w:color w:val="auto"/>
              </w:rPr>
            </w:pPr>
            <w:r>
              <w:rPr>
                <w:rFonts w:ascii="Times New Roman" w:cs="Times New Roman" w:eastAsia="Times New Roman" w:hAnsi="Times New Roman"/>
                <w:sz w:val="13"/>
                <w:szCs w:val="13"/>
                <w:color w:val="auto"/>
                <w:w w:val="91"/>
              </w:rPr>
              <w:t>$</w:t>
            </w:r>
          </w:p>
        </w:tc>
        <w:tc>
          <w:tcPr>
            <w:tcW w:w="700" w:type="dxa"/>
            <w:vAlign w:val="bottom"/>
            <w:tcBorders>
              <w:bottom w:val="single" w:sz="8" w:color="auto"/>
            </w:tcBorders>
            <w:gridSpan w:val="2"/>
          </w:tcPr>
          <w:p>
            <w:pPr>
              <w:jc w:val="right"/>
              <w:ind w:right="94"/>
              <w:spacing w:after="0"/>
              <w:rPr>
                <w:sz w:val="20"/>
                <w:szCs w:val="20"/>
                <w:color w:val="auto"/>
              </w:rPr>
            </w:pPr>
            <w:r>
              <w:rPr>
                <w:rFonts w:ascii="Times New Roman" w:cs="Times New Roman" w:eastAsia="Times New Roman" w:hAnsi="Times New Roman"/>
                <w:sz w:val="13"/>
                <w:szCs w:val="13"/>
                <w:color w:val="auto"/>
              </w:rPr>
              <w:t>488</w:t>
            </w:r>
          </w:p>
        </w:tc>
        <w:tc>
          <w:tcPr>
            <w:tcW w:w="120" w:type="dxa"/>
            <w:vAlign w:val="bottom"/>
          </w:tcPr>
          <w:p>
            <w:pPr>
              <w:spacing w:after="0"/>
              <w:rPr>
                <w:sz w:val="14"/>
                <w:szCs w:val="14"/>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w w:val="91"/>
              </w:rPr>
              <w:t>$</w:t>
            </w:r>
          </w:p>
        </w:tc>
        <w:tc>
          <w:tcPr>
            <w:tcW w:w="48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gridSpan w:val="3"/>
          </w:tcPr>
          <w:p>
            <w:pPr>
              <w:jc w:val="right"/>
              <w:ind w:right="88"/>
              <w:spacing w:after="0"/>
              <w:rPr>
                <w:sz w:val="20"/>
                <w:szCs w:val="20"/>
                <w:color w:val="auto"/>
              </w:rPr>
            </w:pPr>
            <w:r>
              <w:rPr>
                <w:rFonts w:ascii="Times New Roman" w:cs="Times New Roman" w:eastAsia="Times New Roman" w:hAnsi="Times New Roman"/>
                <w:sz w:val="13"/>
                <w:szCs w:val="13"/>
                <w:color w:val="auto"/>
                <w:w w:val="92"/>
              </w:rPr>
              <w:t>885</w:t>
            </w:r>
          </w:p>
        </w:tc>
        <w:tc>
          <w:tcPr>
            <w:tcW w:w="140" w:type="dxa"/>
            <w:vAlign w:val="bottom"/>
          </w:tcPr>
          <w:p>
            <w:pPr>
              <w:spacing w:after="0"/>
              <w:rPr>
                <w:sz w:val="14"/>
                <w:szCs w:val="14"/>
                <w:color w:val="auto"/>
              </w:rPr>
            </w:pPr>
          </w:p>
        </w:tc>
        <w:tc>
          <w:tcPr>
            <w:tcW w:w="26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w:t>
            </w:r>
          </w:p>
        </w:tc>
        <w:tc>
          <w:tcPr>
            <w:tcW w:w="700" w:type="dxa"/>
            <w:vAlign w:val="bottom"/>
            <w:tcBorders>
              <w:bottom w:val="single" w:sz="8" w:color="auto"/>
            </w:tcBorders>
          </w:tcPr>
          <w:p>
            <w:pPr>
              <w:jc w:val="right"/>
              <w:ind w:right="74"/>
              <w:spacing w:after="0"/>
              <w:rPr>
                <w:sz w:val="20"/>
                <w:szCs w:val="20"/>
                <w:color w:val="auto"/>
              </w:rPr>
            </w:pPr>
            <w:r>
              <w:rPr>
                <w:rFonts w:ascii="Times New Roman" w:cs="Times New Roman" w:eastAsia="Times New Roman" w:hAnsi="Times New Roman"/>
                <w:sz w:val="13"/>
                <w:szCs w:val="13"/>
                <w:color w:val="auto"/>
              </w:rPr>
              <w:t>49,087</w:t>
            </w:r>
          </w:p>
        </w:tc>
        <w:tc>
          <w:tcPr>
            <w:tcW w:w="2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0"/>
        </w:trPr>
        <w:tc>
          <w:tcPr>
            <w:tcW w:w="20" w:type="dxa"/>
            <w:vAlign w:val="bottom"/>
            <w:tcBorders>
              <w:bottom w:val="single" w:sz="8" w:color="CCEEFF"/>
            </w:tcBorders>
          </w:tcPr>
          <w:p>
            <w:pPr>
              <w:spacing w:after="0" w:line="20" w:lineRule="exact"/>
              <w:rPr>
                <w:sz w:val="1"/>
                <w:szCs w:val="1"/>
                <w:color w:val="auto"/>
              </w:rPr>
            </w:pPr>
          </w:p>
        </w:tc>
        <w:tc>
          <w:tcPr>
            <w:tcW w:w="36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5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0"/>
        </w:trPr>
        <w:tc>
          <w:tcPr>
            <w:tcW w:w="20" w:type="dxa"/>
            <w:vAlign w:val="bottom"/>
            <w:shd w:val="clear" w:color="auto" w:fill="CCEEFF"/>
          </w:tcPr>
          <w:p>
            <w:pPr>
              <w:spacing w:after="0"/>
              <w:rPr>
                <w:sz w:val="14"/>
                <w:szCs w:val="14"/>
                <w:color w:val="auto"/>
              </w:rPr>
            </w:pPr>
          </w:p>
        </w:tc>
        <w:tc>
          <w:tcPr>
            <w:tcW w:w="374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3"/>
                <w:szCs w:val="13"/>
                <w:color w:val="auto"/>
              </w:rPr>
              <w:t>Weighted average coupon as of March 31, 2022</w:t>
            </w:r>
          </w:p>
        </w:tc>
        <w:tc>
          <w:tcPr>
            <w:tcW w:w="100" w:type="dxa"/>
            <w:vAlign w:val="bottom"/>
            <w:shd w:val="clear" w:color="auto" w:fill="CCEEFF"/>
          </w:tcPr>
          <w:p>
            <w:pPr>
              <w:spacing w:after="0"/>
              <w:rPr>
                <w:sz w:val="14"/>
                <w:szCs w:val="14"/>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3.11 %</w:t>
            </w:r>
          </w:p>
        </w:tc>
        <w:tc>
          <w:tcPr>
            <w:tcW w:w="1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88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3.10 %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4.73 %</w:t>
            </w:r>
          </w:p>
        </w:tc>
        <w:tc>
          <w:tcPr>
            <w:tcW w:w="8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3.39 %</w:t>
            </w:r>
          </w:p>
        </w:tc>
        <w:tc>
          <w:tcPr>
            <w:tcW w:w="10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7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3.76 %</w:t>
            </w:r>
          </w:p>
        </w:tc>
        <w:tc>
          <w:tcPr>
            <w:tcW w:w="12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40" w:type="dxa"/>
            <w:vAlign w:val="bottom"/>
            <w:gridSpan w:val="4"/>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4.23 %</w:t>
            </w:r>
          </w:p>
        </w:tc>
        <w:tc>
          <w:tcPr>
            <w:tcW w:w="140" w:type="dxa"/>
            <w:vAlign w:val="bottom"/>
            <w:shd w:val="clear" w:color="auto" w:fill="CCEEFF"/>
          </w:tcPr>
          <w:p>
            <w:pPr>
              <w:spacing w:after="0"/>
              <w:rPr>
                <w:sz w:val="14"/>
                <w:szCs w:val="14"/>
                <w:color w:val="auto"/>
              </w:rPr>
            </w:pPr>
          </w:p>
        </w:tc>
        <w:tc>
          <w:tcPr>
            <w:tcW w:w="26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3.13 %</w:t>
            </w:r>
          </w:p>
        </w:tc>
        <w:tc>
          <w:tcPr>
            <w:tcW w:w="2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3740" w:type="dxa"/>
            <w:vAlign w:val="bottom"/>
            <w:gridSpan w:val="2"/>
          </w:tcPr>
          <w:p>
            <w:pPr>
              <w:spacing w:after="0"/>
              <w:rPr>
                <w:sz w:val="20"/>
                <w:szCs w:val="20"/>
                <w:color w:val="auto"/>
              </w:rPr>
            </w:pPr>
            <w:r>
              <w:rPr>
                <w:rFonts w:ascii="Times New Roman" w:cs="Times New Roman" w:eastAsia="Times New Roman" w:hAnsi="Times New Roman"/>
                <w:sz w:val="13"/>
                <w:szCs w:val="13"/>
                <w:color w:val="auto"/>
              </w:rPr>
              <w:t xml:space="preserve">Weighted average yield as of March 31, 2022 </w:t>
            </w:r>
            <w:r>
              <w:rPr>
                <w:rFonts w:ascii="Times New Roman" w:cs="Times New Roman" w:eastAsia="Times New Roman" w:hAnsi="Times New Roman"/>
                <w:sz w:val="16"/>
                <w:szCs w:val="16"/>
                <w:color w:val="auto"/>
                <w:vertAlign w:val="superscript"/>
              </w:rPr>
              <w:t>1</w:t>
            </w:r>
          </w:p>
        </w:tc>
        <w:tc>
          <w:tcPr>
            <w:tcW w:w="1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2.47 %</w:t>
            </w: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80" w:type="dxa"/>
            <w:vAlign w:val="bottom"/>
            <w:gridSpan w:val="3"/>
          </w:tcPr>
          <w:p>
            <w:pPr>
              <w:jc w:val="right"/>
              <w:spacing w:after="0"/>
              <w:rPr>
                <w:sz w:val="20"/>
                <w:szCs w:val="20"/>
                <w:color w:val="auto"/>
              </w:rPr>
            </w:pPr>
            <w:r>
              <w:rPr>
                <w:rFonts w:ascii="Times New Roman" w:cs="Times New Roman" w:eastAsia="Times New Roman" w:hAnsi="Times New Roman"/>
                <w:sz w:val="13"/>
                <w:szCs w:val="13"/>
                <w:color w:val="auto"/>
              </w:rPr>
              <w:t>2.46 %</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2.56 %</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5.63 %</w:t>
            </w:r>
          </w:p>
        </w:tc>
        <w:tc>
          <w:tcPr>
            <w:tcW w:w="1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700" w:type="dxa"/>
            <w:vAlign w:val="bottom"/>
            <w:gridSpan w:val="2"/>
          </w:tcPr>
          <w:p>
            <w:pPr>
              <w:jc w:val="right"/>
              <w:spacing w:after="0"/>
              <w:rPr>
                <w:sz w:val="20"/>
                <w:szCs w:val="20"/>
                <w:color w:val="auto"/>
              </w:rPr>
            </w:pPr>
            <w:r>
              <w:rPr>
                <w:rFonts w:ascii="Times New Roman" w:cs="Times New Roman" w:eastAsia="Times New Roman" w:hAnsi="Times New Roman"/>
                <w:sz w:val="13"/>
                <w:szCs w:val="13"/>
                <w:color w:val="auto"/>
              </w:rPr>
              <w:t>4.43 %</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40" w:type="dxa"/>
            <w:vAlign w:val="bottom"/>
            <w:gridSpan w:val="4"/>
          </w:tcPr>
          <w:p>
            <w:pPr>
              <w:jc w:val="right"/>
              <w:spacing w:after="0"/>
              <w:rPr>
                <w:sz w:val="20"/>
                <w:szCs w:val="20"/>
                <w:color w:val="auto"/>
              </w:rPr>
            </w:pPr>
            <w:r>
              <w:rPr>
                <w:rFonts w:ascii="Times New Roman" w:cs="Times New Roman" w:eastAsia="Times New Roman" w:hAnsi="Times New Roman"/>
                <w:sz w:val="13"/>
                <w:szCs w:val="13"/>
                <w:color w:val="auto"/>
              </w:rPr>
              <w:t>5.30 %</w:t>
            </w:r>
          </w:p>
        </w:tc>
        <w:tc>
          <w:tcPr>
            <w:tcW w:w="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2.56 %</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55"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tabs>
          <w:tab w:leader="none" w:pos="660" w:val="left"/>
        </w:tabs>
        <w:numPr>
          <w:ilvl w:val="0"/>
          <w:numId w:val="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Incorporates a weighted average future constant prepayment rate assumption of 7.9% based on forward rates as of March 31, 2022.</w:t>
      </w: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12" w:name="page13"/>
    <w:bookmarkEnd w:id="12"/>
    <w:tbl>
      <w:tblPr>
        <w:tblLayout w:type="fixed"/>
        <w:tblInd w:w="340" w:type="dxa"/>
        <w:tblCellMar>
          <w:top w:w="0" w:type="dxa"/>
          <w:left w:w="0" w:type="dxa"/>
          <w:bottom w:w="0" w:type="dxa"/>
          <w:right w:w="0" w:type="dxa"/>
        </w:tblCellMar>
      </w:tblPr>
      <w:tr>
        <w:trPr>
          <w:trHeight w:val="190"/>
        </w:trPr>
        <w:tc>
          <w:tcPr>
            <w:tcW w:w="3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180" w:type="dxa"/>
            <w:vAlign w:val="bottom"/>
            <w:gridSpan w:val="6"/>
          </w:tcPr>
          <w:p>
            <w:pPr>
              <w:jc w:val="center"/>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4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34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gridSpan w:val="4"/>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gridSpan w:val="6"/>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34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112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Agency RMBS</w:t>
            </w:r>
          </w:p>
        </w:tc>
        <w:tc>
          <w:tcPr>
            <w:tcW w:w="16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2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1800" w:type="dxa"/>
            <w:vAlign w:val="bottom"/>
            <w:tcBorders>
              <w:bottom w:val="single" w:sz="8" w:color="auto"/>
            </w:tcBorders>
            <w:gridSpan w:val="5"/>
          </w:tcPr>
          <w:p>
            <w:pPr>
              <w:jc w:val="right"/>
              <w:ind w:right="537"/>
              <w:spacing w:after="0"/>
              <w:rPr>
                <w:sz w:val="20"/>
                <w:szCs w:val="20"/>
                <w:color w:val="auto"/>
              </w:rPr>
            </w:pPr>
            <w:r>
              <w:rPr>
                <w:rFonts w:ascii="Times New Roman" w:cs="Times New Roman" w:eastAsia="Times New Roman" w:hAnsi="Times New Roman"/>
                <w:sz w:val="14"/>
                <w:szCs w:val="14"/>
                <w:b w:val="1"/>
                <w:bCs w:val="1"/>
                <w:color w:val="auto"/>
              </w:rPr>
              <w:t>Non-Agency</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7"/>
        </w:trPr>
        <w:tc>
          <w:tcPr>
            <w:tcW w:w="35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Investment Securities</w:t>
            </w:r>
          </w:p>
        </w:tc>
        <w:tc>
          <w:tcPr>
            <w:tcW w:w="160" w:type="dxa"/>
            <w:vAlign w:val="bottom"/>
          </w:tcPr>
          <w:p>
            <w:pPr>
              <w:spacing w:after="0"/>
              <w:rPr>
                <w:sz w:val="11"/>
                <w:szCs w:val="11"/>
                <w:color w:val="auto"/>
              </w:rPr>
            </w:pPr>
          </w:p>
        </w:tc>
        <w:tc>
          <w:tcPr>
            <w:tcW w:w="760" w:type="dxa"/>
            <w:vAlign w:val="bottom"/>
          </w:tcPr>
          <w:p>
            <w:pPr>
              <w:jc w:val="right"/>
              <w:ind w:right="196"/>
              <w:spacing w:after="0" w:line="137" w:lineRule="exact"/>
              <w:rPr>
                <w:sz w:val="20"/>
                <w:szCs w:val="20"/>
                <w:color w:val="auto"/>
              </w:rPr>
            </w:pPr>
            <w:r>
              <w:rPr>
                <w:rFonts w:ascii="Times New Roman" w:cs="Times New Roman" w:eastAsia="Times New Roman" w:hAnsi="Times New Roman"/>
                <w:sz w:val="14"/>
                <w:szCs w:val="14"/>
                <w:b w:val="1"/>
                <w:bCs w:val="1"/>
                <w:color w:val="auto"/>
              </w:rPr>
              <w:t>Fannie</w:t>
            </w:r>
          </w:p>
        </w:tc>
        <w:tc>
          <w:tcPr>
            <w:tcW w:w="120" w:type="dxa"/>
            <w:vAlign w:val="bottom"/>
          </w:tcPr>
          <w:p>
            <w:pPr>
              <w:spacing w:after="0"/>
              <w:rPr>
                <w:sz w:val="11"/>
                <w:szCs w:val="11"/>
                <w:color w:val="auto"/>
              </w:rPr>
            </w:pPr>
          </w:p>
        </w:tc>
        <w:tc>
          <w:tcPr>
            <w:tcW w:w="1000" w:type="dxa"/>
            <w:vAlign w:val="bottom"/>
            <w:gridSpan w:val="3"/>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Freddie Mac</w:t>
            </w:r>
          </w:p>
        </w:tc>
        <w:tc>
          <w:tcPr>
            <w:tcW w:w="160" w:type="dxa"/>
            <w:vAlign w:val="bottom"/>
          </w:tcPr>
          <w:p>
            <w:pPr>
              <w:spacing w:after="0"/>
              <w:rPr>
                <w:sz w:val="11"/>
                <w:szCs w:val="11"/>
                <w:color w:val="auto"/>
              </w:rPr>
            </w:pPr>
          </w:p>
        </w:tc>
        <w:tc>
          <w:tcPr>
            <w:tcW w:w="740" w:type="dxa"/>
            <w:vAlign w:val="bottom"/>
          </w:tcPr>
          <w:p>
            <w:pPr>
              <w:jc w:val="right"/>
              <w:ind w:right="176"/>
              <w:spacing w:after="0" w:line="137" w:lineRule="exact"/>
              <w:rPr>
                <w:sz w:val="20"/>
                <w:szCs w:val="20"/>
                <w:color w:val="auto"/>
              </w:rPr>
            </w:pPr>
            <w:r>
              <w:rPr>
                <w:rFonts w:ascii="Times New Roman" w:cs="Times New Roman" w:eastAsia="Times New Roman" w:hAnsi="Times New Roman"/>
                <w:sz w:val="14"/>
                <w:szCs w:val="14"/>
                <w:b w:val="1"/>
                <w:bCs w:val="1"/>
                <w:color w:val="auto"/>
              </w:rPr>
              <w:t>Ginnie</w:t>
            </w:r>
          </w:p>
        </w:tc>
        <w:tc>
          <w:tcPr>
            <w:tcW w:w="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80" w:type="dxa"/>
            <w:vAlign w:val="bottom"/>
            <w:gridSpan w:val="3"/>
            <w:vMerge w:val="restart"/>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RMBS</w:t>
            </w:r>
          </w:p>
        </w:tc>
        <w:tc>
          <w:tcPr>
            <w:tcW w:w="140" w:type="dxa"/>
            <w:vAlign w:val="bottom"/>
          </w:tcPr>
          <w:p>
            <w:pPr>
              <w:spacing w:after="0"/>
              <w:rPr>
                <w:sz w:val="11"/>
                <w:szCs w:val="11"/>
                <w:color w:val="auto"/>
              </w:rPr>
            </w:pPr>
          </w:p>
        </w:tc>
        <w:tc>
          <w:tcPr>
            <w:tcW w:w="880" w:type="dxa"/>
            <w:vAlign w:val="bottom"/>
            <w:gridSpan w:val="2"/>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CMBS</w:t>
            </w:r>
          </w:p>
        </w:tc>
        <w:tc>
          <w:tcPr>
            <w:tcW w:w="180" w:type="dxa"/>
            <w:vAlign w:val="bottom"/>
          </w:tcPr>
          <w:p>
            <w:pPr>
              <w:spacing w:after="0"/>
              <w:rPr>
                <w:sz w:val="11"/>
                <w:szCs w:val="11"/>
                <w:color w:val="auto"/>
              </w:rPr>
            </w:pPr>
          </w:p>
        </w:tc>
        <w:tc>
          <w:tcPr>
            <w:tcW w:w="8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4"/>
                <w:szCs w:val="14"/>
                <w:b w:val="1"/>
                <w:bCs w:val="1"/>
                <w:color w:val="auto"/>
              </w:rPr>
              <w:t>CRT</w:t>
            </w:r>
          </w:p>
        </w:tc>
        <w:tc>
          <w:tcPr>
            <w:tcW w:w="180" w:type="dxa"/>
            <w:vAlign w:val="bottom"/>
          </w:tcPr>
          <w:p>
            <w:pPr>
              <w:spacing w:after="0"/>
              <w:rPr>
                <w:sz w:val="11"/>
                <w:szCs w:val="11"/>
                <w:color w:val="auto"/>
              </w:rPr>
            </w:pPr>
          </w:p>
        </w:tc>
        <w:tc>
          <w:tcPr>
            <w:tcW w:w="740" w:type="dxa"/>
            <w:vAlign w:val="bottom"/>
            <w:vMerge w:val="restart"/>
          </w:tcPr>
          <w:p>
            <w:pPr>
              <w:jc w:val="right"/>
              <w:ind w:right="237"/>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5"/>
        </w:trPr>
        <w:tc>
          <w:tcPr>
            <w:tcW w:w="3520" w:type="dxa"/>
            <w:vAlign w:val="bottom"/>
            <w:gridSpan w:val="2"/>
            <w:vMerge w:val="continue"/>
          </w:tcPr>
          <w:p>
            <w:pPr>
              <w:spacing w:after="0"/>
              <w:rPr>
                <w:sz w:val="16"/>
                <w:szCs w:val="16"/>
                <w:color w:val="auto"/>
              </w:rPr>
            </w:pPr>
          </w:p>
        </w:tc>
        <w:tc>
          <w:tcPr>
            <w:tcW w:w="160" w:type="dxa"/>
            <w:vAlign w:val="bottom"/>
          </w:tcPr>
          <w:p>
            <w:pPr>
              <w:spacing w:after="0"/>
              <w:rPr>
                <w:sz w:val="16"/>
                <w:szCs w:val="16"/>
                <w:color w:val="auto"/>
              </w:rPr>
            </w:pPr>
          </w:p>
        </w:tc>
        <w:tc>
          <w:tcPr>
            <w:tcW w:w="760" w:type="dxa"/>
            <w:vAlign w:val="bottom"/>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Mae</w:t>
            </w:r>
          </w:p>
        </w:tc>
        <w:tc>
          <w:tcPr>
            <w:tcW w:w="120" w:type="dxa"/>
            <w:vAlign w:val="bottom"/>
          </w:tcPr>
          <w:p>
            <w:pPr>
              <w:spacing w:after="0"/>
              <w:rPr>
                <w:sz w:val="16"/>
                <w:szCs w:val="16"/>
                <w:color w:val="auto"/>
              </w:rPr>
            </w:pPr>
          </w:p>
        </w:tc>
        <w:tc>
          <w:tcPr>
            <w:tcW w:w="1000" w:type="dxa"/>
            <w:vAlign w:val="bottom"/>
            <w:gridSpan w:val="3"/>
            <w:vMerge w:val="continue"/>
          </w:tcPr>
          <w:p>
            <w:pPr>
              <w:spacing w:after="0"/>
              <w:rPr>
                <w:sz w:val="16"/>
                <w:szCs w:val="16"/>
                <w:color w:val="auto"/>
              </w:rPr>
            </w:pPr>
          </w:p>
        </w:tc>
        <w:tc>
          <w:tcPr>
            <w:tcW w:w="160" w:type="dxa"/>
            <w:vAlign w:val="bottom"/>
          </w:tcPr>
          <w:p>
            <w:pPr>
              <w:spacing w:after="0"/>
              <w:rPr>
                <w:sz w:val="16"/>
                <w:szCs w:val="16"/>
                <w:color w:val="auto"/>
              </w:rPr>
            </w:pPr>
          </w:p>
        </w:tc>
        <w:tc>
          <w:tcPr>
            <w:tcW w:w="740" w:type="dxa"/>
            <w:vAlign w:val="bottom"/>
          </w:tcPr>
          <w:p>
            <w:pPr>
              <w:jc w:val="right"/>
              <w:ind w:right="236"/>
              <w:spacing w:after="0"/>
              <w:rPr>
                <w:sz w:val="20"/>
                <w:szCs w:val="20"/>
                <w:color w:val="auto"/>
              </w:rPr>
            </w:pPr>
            <w:r>
              <w:rPr>
                <w:rFonts w:ascii="Times New Roman" w:cs="Times New Roman" w:eastAsia="Times New Roman" w:hAnsi="Times New Roman"/>
                <w:sz w:val="14"/>
                <w:szCs w:val="14"/>
                <w:b w:val="1"/>
                <w:bCs w:val="1"/>
                <w:color w:val="auto"/>
              </w:rPr>
              <w:t>Mae</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80" w:type="dxa"/>
            <w:vAlign w:val="bottom"/>
            <w:gridSpan w:val="3"/>
            <w:vMerge w:val="continue"/>
          </w:tcPr>
          <w:p>
            <w:pPr>
              <w:spacing w:after="0"/>
              <w:rPr>
                <w:sz w:val="16"/>
                <w:szCs w:val="16"/>
                <w:color w:val="auto"/>
              </w:rPr>
            </w:pPr>
          </w:p>
        </w:tc>
        <w:tc>
          <w:tcPr>
            <w:tcW w:w="140" w:type="dxa"/>
            <w:vAlign w:val="bottom"/>
          </w:tcPr>
          <w:p>
            <w:pPr>
              <w:spacing w:after="0"/>
              <w:rPr>
                <w:sz w:val="16"/>
                <w:szCs w:val="16"/>
                <w:color w:val="auto"/>
              </w:rPr>
            </w:pPr>
          </w:p>
        </w:tc>
        <w:tc>
          <w:tcPr>
            <w:tcW w:w="88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7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68"/>
        </w:trPr>
        <w:tc>
          <w:tcPr>
            <w:tcW w:w="342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3"/>
                <w:szCs w:val="13"/>
                <w:color w:val="auto"/>
              </w:rPr>
              <w:t>Available-for-sale securities:</w:t>
            </w: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81"/>
        </w:trPr>
        <w:tc>
          <w:tcPr>
            <w:tcW w:w="352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3"/>
                <w:szCs w:val="13"/>
                <w:color w:val="auto"/>
              </w:rPr>
              <w:t>Par value</w:t>
            </w: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3"/>
                <w:szCs w:val="13"/>
                <w:color w:val="auto"/>
              </w:rPr>
              <w:t>6,345</w:t>
            </w:r>
          </w:p>
        </w:tc>
        <w:tc>
          <w:tcPr>
            <w:tcW w:w="360" w:type="dxa"/>
            <w:vAlign w:val="bottom"/>
            <w:gridSpan w:val="2"/>
            <w:shd w:val="clear" w:color="auto" w:fill="CCEEFF"/>
          </w:tcPr>
          <w:p>
            <w:pPr>
              <w:jc w:val="right"/>
              <w:ind w:right="93"/>
              <w:spacing w:after="0"/>
              <w:rPr>
                <w:sz w:val="20"/>
                <w:szCs w:val="20"/>
                <w:color w:val="auto"/>
              </w:rPr>
            </w:pPr>
            <w:r>
              <w:rPr>
                <w:rFonts w:ascii="Times New Roman" w:cs="Times New Roman" w:eastAsia="Times New Roman" w:hAnsi="Times New Roman"/>
                <w:sz w:val="13"/>
                <w:szCs w:val="13"/>
                <w:color w:val="auto"/>
              </w:rPr>
              <w:t>$</w:t>
            </w:r>
          </w:p>
        </w:tc>
        <w:tc>
          <w:tcPr>
            <w:tcW w:w="66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2,111</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jc w:val="right"/>
              <w:ind w:right="17"/>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3"/>
                <w:szCs w:val="13"/>
                <w:color w:val="auto"/>
              </w:rPr>
              <w:t>2</w:t>
            </w:r>
          </w:p>
        </w:tc>
        <w:tc>
          <w:tcPr>
            <w:tcW w:w="300" w:type="dxa"/>
            <w:vAlign w:val="bottom"/>
            <w:gridSpan w:val="3"/>
            <w:shd w:val="clear" w:color="auto" w:fill="CCEEFF"/>
          </w:tcPr>
          <w:p>
            <w:pPr>
              <w:jc w:val="right"/>
              <w:ind w:right="17"/>
              <w:spacing w:after="0"/>
              <w:rPr>
                <w:sz w:val="20"/>
                <w:szCs w:val="20"/>
                <w:color w:val="auto"/>
              </w:rPr>
            </w:pPr>
            <w:r>
              <w:rPr>
                <w:rFonts w:ascii="Times New Roman" w:cs="Times New Roman" w:eastAsia="Times New Roman" w:hAnsi="Times New Roman"/>
                <w:sz w:val="13"/>
                <w:szCs w:val="13"/>
                <w:color w:val="auto"/>
              </w:rPr>
              <w:t>$</w:t>
            </w:r>
          </w:p>
        </w:tc>
        <w:tc>
          <w:tcPr>
            <w:tcW w:w="88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0"/>
                <w:szCs w:val="10"/>
                <w:color w:val="auto"/>
                <w:w w:val="79"/>
              </w:rPr>
              <w:t>$</w:t>
            </w:r>
          </w:p>
        </w:tc>
        <w:tc>
          <w:tcPr>
            <w:tcW w:w="88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jc w:val="right"/>
              <w:ind w:right="37"/>
              <w:spacing w:after="0"/>
              <w:rPr>
                <w:sz w:val="20"/>
                <w:szCs w:val="20"/>
                <w:color w:val="auto"/>
              </w:rPr>
            </w:pPr>
            <w:r>
              <w:rPr>
                <w:rFonts w:ascii="Times New Roman" w:cs="Times New Roman" w:eastAsia="Times New Roman" w:hAnsi="Times New Roman"/>
                <w:sz w:val="13"/>
                <w:szCs w:val="13"/>
                <w:color w:val="auto"/>
                <w:w w:val="91"/>
              </w:rPr>
              <w:t>$</w:t>
            </w:r>
          </w:p>
        </w:tc>
        <w:tc>
          <w:tcPr>
            <w:tcW w:w="82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jc w:val="right"/>
              <w:ind w:right="37"/>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8,458</w:t>
            </w:r>
          </w:p>
        </w:tc>
        <w:tc>
          <w:tcPr>
            <w:tcW w:w="0" w:type="dxa"/>
            <w:vAlign w:val="bottom"/>
          </w:tcPr>
          <w:p>
            <w:pPr>
              <w:spacing w:after="0"/>
              <w:rPr>
                <w:sz w:val="1"/>
                <w:szCs w:val="1"/>
                <w:color w:val="auto"/>
              </w:rPr>
            </w:pPr>
          </w:p>
        </w:tc>
      </w:tr>
      <w:tr>
        <w:trPr>
          <w:trHeight w:val="170"/>
        </w:trPr>
        <w:tc>
          <w:tcPr>
            <w:tcW w:w="3520" w:type="dxa"/>
            <w:vAlign w:val="bottom"/>
            <w:gridSpan w:val="2"/>
          </w:tcPr>
          <w:p>
            <w:pPr>
              <w:ind w:left="180"/>
              <w:spacing w:after="0"/>
              <w:rPr>
                <w:sz w:val="20"/>
                <w:szCs w:val="20"/>
                <w:color w:val="auto"/>
              </w:rPr>
            </w:pPr>
            <w:r>
              <w:rPr>
                <w:rFonts w:ascii="Times New Roman" w:cs="Times New Roman" w:eastAsia="Times New Roman" w:hAnsi="Times New Roman"/>
                <w:sz w:val="13"/>
                <w:szCs w:val="13"/>
                <w:color w:val="auto"/>
              </w:rPr>
              <w:t>Unamortized discount</w:t>
            </w:r>
          </w:p>
        </w:tc>
        <w:tc>
          <w:tcPr>
            <w:tcW w:w="160" w:type="dxa"/>
            <w:vAlign w:val="bottom"/>
          </w:tcPr>
          <w:p>
            <w:pPr>
              <w:spacing w:after="0"/>
              <w:rPr>
                <w:sz w:val="14"/>
                <w:szCs w:val="14"/>
                <w:color w:val="auto"/>
              </w:rPr>
            </w:pPr>
          </w:p>
        </w:tc>
        <w:tc>
          <w:tcPr>
            <w:tcW w:w="760" w:type="dxa"/>
            <w:vAlign w:val="bottom"/>
          </w:tcPr>
          <w:p>
            <w:pPr>
              <w:jc w:val="right"/>
              <w:ind w:right="56"/>
              <w:spacing w:after="0"/>
              <w:rPr>
                <w:sz w:val="20"/>
                <w:szCs w:val="20"/>
                <w:color w:val="auto"/>
              </w:rPr>
            </w:pPr>
            <w:r>
              <w:rPr>
                <w:rFonts w:ascii="Times New Roman" w:cs="Times New Roman" w:eastAsia="Times New Roman" w:hAnsi="Times New Roman"/>
                <w:sz w:val="13"/>
                <w:szCs w:val="13"/>
                <w:color w:val="auto"/>
              </w:rPr>
              <w:t>(3)</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tcPr>
          <w:p>
            <w:pPr>
              <w:jc w:val="right"/>
              <w:ind w:right="77"/>
              <w:spacing w:after="0"/>
              <w:rPr>
                <w:sz w:val="20"/>
                <w:szCs w:val="20"/>
                <w:color w:val="auto"/>
              </w:rPr>
            </w:pPr>
            <w:r>
              <w:rPr>
                <w:rFonts w:ascii="Times New Roman" w:cs="Times New Roman" w:eastAsia="Times New Roman" w:hAnsi="Times New Roman"/>
                <w:sz w:val="13"/>
                <w:szCs w:val="13"/>
                <w:color w:val="auto"/>
              </w:rPr>
              <w:t>(1)</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6"/>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gridSpan w:val="3"/>
          </w:tcPr>
          <w:p>
            <w:pPr>
              <w:jc w:val="right"/>
              <w:ind w:right="3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4"/>
                <w:szCs w:val="14"/>
                <w:color w:val="auto"/>
              </w:rPr>
            </w:pPr>
          </w:p>
        </w:tc>
        <w:tc>
          <w:tcPr>
            <w:tcW w:w="880" w:type="dxa"/>
            <w:vAlign w:val="bottom"/>
            <w:gridSpan w:val="2"/>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4"/>
                <w:szCs w:val="14"/>
                <w:color w:val="auto"/>
              </w:rPr>
            </w:pPr>
          </w:p>
        </w:tc>
        <w:tc>
          <w:tcPr>
            <w:tcW w:w="820" w:type="dxa"/>
            <w:vAlign w:val="bottom"/>
            <w:gridSpan w:val="2"/>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4"/>
                <w:szCs w:val="14"/>
                <w:color w:val="auto"/>
              </w:rPr>
            </w:pPr>
          </w:p>
        </w:tc>
        <w:tc>
          <w:tcPr>
            <w:tcW w:w="740" w:type="dxa"/>
            <w:vAlign w:val="bottom"/>
          </w:tcPr>
          <w:p>
            <w:pPr>
              <w:jc w:val="right"/>
              <w:ind w:right="77"/>
              <w:spacing w:after="0"/>
              <w:rPr>
                <w:sz w:val="20"/>
                <w:szCs w:val="20"/>
                <w:color w:val="auto"/>
              </w:rPr>
            </w:pPr>
            <w:r>
              <w:rPr>
                <w:rFonts w:ascii="Times New Roman" w:cs="Times New Roman" w:eastAsia="Times New Roman" w:hAnsi="Times New Roman"/>
                <w:sz w:val="13"/>
                <w:szCs w:val="13"/>
                <w:color w:val="auto"/>
              </w:rPr>
              <w:t>(4)</w:t>
            </w:r>
          </w:p>
        </w:tc>
        <w:tc>
          <w:tcPr>
            <w:tcW w:w="0" w:type="dxa"/>
            <w:vAlign w:val="bottom"/>
          </w:tcPr>
          <w:p>
            <w:pPr>
              <w:spacing w:after="0"/>
              <w:rPr>
                <w:sz w:val="1"/>
                <w:szCs w:val="1"/>
                <w:color w:val="auto"/>
              </w:rPr>
            </w:pPr>
          </w:p>
        </w:tc>
      </w:tr>
      <w:tr>
        <w:trPr>
          <w:trHeight w:val="181"/>
        </w:trPr>
        <w:tc>
          <w:tcPr>
            <w:tcW w:w="352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3"/>
                <w:szCs w:val="13"/>
                <w:color w:val="auto"/>
              </w:rPr>
              <w:t>Unamortized premium</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3"/>
                <w:szCs w:val="13"/>
                <w:color w:val="auto"/>
              </w:rPr>
              <w:t>299</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105</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8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404</w:t>
            </w:r>
          </w:p>
        </w:tc>
        <w:tc>
          <w:tcPr>
            <w:tcW w:w="0" w:type="dxa"/>
            <w:vAlign w:val="bottom"/>
          </w:tcPr>
          <w:p>
            <w:pPr>
              <w:spacing w:after="0"/>
              <w:rPr>
                <w:sz w:val="1"/>
                <w:szCs w:val="1"/>
                <w:color w:val="auto"/>
              </w:rPr>
            </w:pPr>
          </w:p>
        </w:tc>
      </w:tr>
      <w:tr>
        <w:trPr>
          <w:trHeight w:val="163"/>
        </w:trPr>
        <w:tc>
          <w:tcPr>
            <w:tcW w:w="3520" w:type="dxa"/>
            <w:vAlign w:val="bottom"/>
            <w:gridSpan w:val="2"/>
          </w:tcPr>
          <w:p>
            <w:pPr>
              <w:ind w:left="220"/>
              <w:spacing w:after="0"/>
              <w:rPr>
                <w:sz w:val="20"/>
                <w:szCs w:val="20"/>
                <w:color w:val="auto"/>
              </w:rPr>
            </w:pPr>
            <w:r>
              <w:rPr>
                <w:rFonts w:ascii="Times New Roman" w:cs="Times New Roman" w:eastAsia="Times New Roman" w:hAnsi="Times New Roman"/>
                <w:sz w:val="13"/>
                <w:szCs w:val="13"/>
                <w:color w:val="auto"/>
              </w:rPr>
              <w:t>Amortized cost</w:t>
            </w:r>
          </w:p>
        </w:tc>
        <w:tc>
          <w:tcPr>
            <w:tcW w:w="16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jc w:val="right"/>
              <w:ind w:right="96"/>
              <w:spacing w:after="0"/>
              <w:rPr>
                <w:sz w:val="20"/>
                <w:szCs w:val="20"/>
                <w:color w:val="auto"/>
              </w:rPr>
            </w:pPr>
            <w:r>
              <w:rPr>
                <w:rFonts w:ascii="Times New Roman" w:cs="Times New Roman" w:eastAsia="Times New Roman" w:hAnsi="Times New Roman"/>
                <w:sz w:val="13"/>
                <w:szCs w:val="13"/>
                <w:color w:val="auto"/>
              </w:rPr>
              <w:t>6,641</w:t>
            </w:r>
          </w:p>
        </w:tc>
        <w:tc>
          <w:tcPr>
            <w:tcW w:w="120" w:type="dxa"/>
            <w:vAlign w:val="bottom"/>
          </w:tcPr>
          <w:p>
            <w:pPr>
              <w:spacing w:after="0"/>
              <w:rPr>
                <w:sz w:val="14"/>
                <w:szCs w:val="14"/>
                <w:color w:val="auto"/>
              </w:rPr>
            </w:pPr>
          </w:p>
        </w:tc>
        <w:tc>
          <w:tcPr>
            <w:tcW w:w="24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jc w:val="right"/>
              <w:ind w:right="97"/>
              <w:spacing w:after="0"/>
              <w:rPr>
                <w:sz w:val="20"/>
                <w:szCs w:val="20"/>
                <w:color w:val="auto"/>
              </w:rPr>
            </w:pPr>
            <w:r>
              <w:rPr>
                <w:rFonts w:ascii="Times New Roman" w:cs="Times New Roman" w:eastAsia="Times New Roman" w:hAnsi="Times New Roman"/>
                <w:sz w:val="13"/>
                <w:szCs w:val="13"/>
                <w:color w:val="auto"/>
              </w:rPr>
              <w:t>2,215</w:t>
            </w: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jc w:val="right"/>
              <w:ind w:right="76"/>
              <w:spacing w:after="0"/>
              <w:rPr>
                <w:sz w:val="20"/>
                <w:szCs w:val="20"/>
                <w:color w:val="auto"/>
              </w:rPr>
            </w:pPr>
            <w:r>
              <w:rPr>
                <w:rFonts w:ascii="Times New Roman" w:cs="Times New Roman" w:eastAsia="Times New Roman" w:hAnsi="Times New Roman"/>
                <w:sz w:val="13"/>
                <w:szCs w:val="13"/>
                <w:color w:val="auto"/>
              </w:rPr>
              <w:t>2</w:t>
            </w:r>
          </w:p>
        </w:tc>
        <w:tc>
          <w:tcPr>
            <w:tcW w:w="2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760" w:type="dxa"/>
            <w:vAlign w:val="bottom"/>
            <w:tcBorders>
              <w:top w:val="single" w:sz="8" w:color="auto"/>
            </w:tcBorders>
          </w:tcPr>
          <w:p>
            <w:pPr>
              <w:jc w:val="right"/>
              <w:ind w:right="116"/>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4"/>
                <w:szCs w:val="14"/>
                <w:color w:val="auto"/>
              </w:rPr>
            </w:pPr>
          </w:p>
        </w:tc>
        <w:tc>
          <w:tcPr>
            <w:tcW w:w="20" w:type="dxa"/>
            <w:vAlign w:val="bottom"/>
            <w:tcBorders>
              <w:top w:val="single" w:sz="8" w:color="auto"/>
            </w:tcBorders>
          </w:tcPr>
          <w:p>
            <w:pPr>
              <w:spacing w:after="0"/>
              <w:rPr>
                <w:sz w:val="14"/>
                <w:szCs w:val="14"/>
                <w:color w:val="auto"/>
              </w:rPr>
            </w:pPr>
          </w:p>
        </w:tc>
        <w:tc>
          <w:tcPr>
            <w:tcW w:w="14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jc w:val="right"/>
              <w:ind w:right="117"/>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700" w:type="dxa"/>
            <w:vAlign w:val="bottom"/>
            <w:tcBorders>
              <w:top w:val="single" w:sz="8" w:color="auto"/>
            </w:tcBorders>
          </w:tcPr>
          <w:p>
            <w:pPr>
              <w:jc w:val="right"/>
              <w:ind w:right="9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4"/>
                <w:szCs w:val="14"/>
                <w:color w:val="auto"/>
              </w:rPr>
            </w:pPr>
          </w:p>
        </w:tc>
        <w:tc>
          <w:tcPr>
            <w:tcW w:w="18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jc w:val="right"/>
              <w:ind w:right="117"/>
              <w:spacing w:after="0"/>
              <w:rPr>
                <w:sz w:val="20"/>
                <w:szCs w:val="20"/>
                <w:color w:val="auto"/>
              </w:rPr>
            </w:pPr>
            <w:r>
              <w:rPr>
                <w:rFonts w:ascii="Times New Roman" w:cs="Times New Roman" w:eastAsia="Times New Roman" w:hAnsi="Times New Roman"/>
                <w:sz w:val="13"/>
                <w:szCs w:val="13"/>
                <w:color w:val="auto"/>
              </w:rPr>
              <w:t>8,858</w:t>
            </w:r>
          </w:p>
        </w:tc>
        <w:tc>
          <w:tcPr>
            <w:tcW w:w="0" w:type="dxa"/>
            <w:vAlign w:val="bottom"/>
          </w:tcPr>
          <w:p>
            <w:pPr>
              <w:spacing w:after="0"/>
              <w:rPr>
                <w:sz w:val="1"/>
                <w:szCs w:val="1"/>
                <w:color w:val="auto"/>
              </w:rPr>
            </w:pPr>
          </w:p>
        </w:tc>
      </w:tr>
      <w:tr>
        <w:trPr>
          <w:trHeight w:val="181"/>
        </w:trPr>
        <w:tc>
          <w:tcPr>
            <w:tcW w:w="352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3"/>
                <w:szCs w:val="13"/>
                <w:color w:val="auto"/>
              </w:rPr>
              <w:t>Gross unrealized gains</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3"/>
                <w:szCs w:val="13"/>
                <w:color w:val="auto"/>
              </w:rPr>
              <w:t>234</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67</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880" w:type="dxa"/>
            <w:vAlign w:val="bottom"/>
            <w:gridSpan w:val="3"/>
            <w:shd w:val="clear" w:color="auto" w:fill="CCEEFF"/>
          </w:tcPr>
          <w:p>
            <w:pPr>
              <w:jc w:val="right"/>
              <w:ind w:right="3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shd w:val="clear" w:color="auto" w:fill="CCEEFF"/>
          </w:tcPr>
          <w:p>
            <w:pPr>
              <w:spacing w:after="0"/>
              <w:rPr>
                <w:sz w:val="15"/>
                <w:szCs w:val="15"/>
                <w:color w:val="auto"/>
              </w:rPr>
            </w:pPr>
          </w:p>
        </w:tc>
        <w:tc>
          <w:tcPr>
            <w:tcW w:w="88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5"/>
                <w:szCs w:val="15"/>
                <w:color w:val="auto"/>
              </w:rPr>
            </w:pPr>
          </w:p>
        </w:tc>
        <w:tc>
          <w:tcPr>
            <w:tcW w:w="820" w:type="dxa"/>
            <w:vAlign w:val="bottom"/>
            <w:gridSpan w:val="2"/>
            <w:shd w:val="clear" w:color="auto" w:fill="CCEEFF"/>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301</w:t>
            </w:r>
          </w:p>
        </w:tc>
        <w:tc>
          <w:tcPr>
            <w:tcW w:w="0" w:type="dxa"/>
            <w:vAlign w:val="bottom"/>
          </w:tcPr>
          <w:p>
            <w:pPr>
              <w:spacing w:after="0"/>
              <w:rPr>
                <w:sz w:val="1"/>
                <w:szCs w:val="1"/>
                <w:color w:val="auto"/>
              </w:rPr>
            </w:pPr>
          </w:p>
        </w:tc>
      </w:tr>
      <w:tr>
        <w:trPr>
          <w:trHeight w:val="170"/>
        </w:trPr>
        <w:tc>
          <w:tcPr>
            <w:tcW w:w="3520" w:type="dxa"/>
            <w:vAlign w:val="bottom"/>
            <w:gridSpan w:val="2"/>
          </w:tcPr>
          <w:p>
            <w:pPr>
              <w:ind w:left="180"/>
              <w:spacing w:after="0"/>
              <w:rPr>
                <w:sz w:val="20"/>
                <w:szCs w:val="20"/>
                <w:color w:val="auto"/>
              </w:rPr>
            </w:pPr>
            <w:r>
              <w:rPr>
                <w:rFonts w:ascii="Times New Roman" w:cs="Times New Roman" w:eastAsia="Times New Roman" w:hAnsi="Times New Roman"/>
                <w:sz w:val="13"/>
                <w:szCs w:val="13"/>
                <w:color w:val="auto"/>
              </w:rPr>
              <w:t>Gross unrealized losses</w:t>
            </w:r>
          </w:p>
        </w:tc>
        <w:tc>
          <w:tcPr>
            <w:tcW w:w="160" w:type="dxa"/>
            <w:vAlign w:val="bottom"/>
          </w:tcPr>
          <w:p>
            <w:pPr>
              <w:spacing w:after="0"/>
              <w:rPr>
                <w:sz w:val="14"/>
                <w:szCs w:val="14"/>
                <w:color w:val="auto"/>
              </w:rPr>
            </w:pPr>
          </w:p>
        </w:tc>
        <w:tc>
          <w:tcPr>
            <w:tcW w:w="760" w:type="dxa"/>
            <w:vAlign w:val="bottom"/>
          </w:tcPr>
          <w:p>
            <w:pPr>
              <w:jc w:val="right"/>
              <w:ind w:right="96"/>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760" w:type="dxa"/>
            <w:vAlign w:val="bottom"/>
            <w:gridSpan w:val="2"/>
          </w:tcPr>
          <w:p>
            <w:pPr>
              <w:jc w:val="right"/>
              <w:ind w:right="260"/>
              <w:spacing w:after="0"/>
              <w:rPr>
                <w:sz w:val="20"/>
                <w:szCs w:val="20"/>
                <w:color w:val="auto"/>
              </w:rPr>
            </w:pPr>
            <w:r>
              <w:rPr>
                <w:rFonts w:ascii="Times New Roman" w:cs="Times New Roman" w:eastAsia="Times New Roman" w:hAnsi="Times New Roman"/>
                <w:sz w:val="13"/>
                <w:szCs w:val="13"/>
                <w:color w:val="auto"/>
              </w:rPr>
              <w:t>—</w:t>
            </w:r>
          </w:p>
        </w:tc>
        <w:tc>
          <w:tcPr>
            <w:tcW w:w="160" w:type="dxa"/>
            <w:vAlign w:val="bottom"/>
          </w:tcPr>
          <w:p>
            <w:pPr>
              <w:spacing w:after="0"/>
              <w:rPr>
                <w:sz w:val="14"/>
                <w:szCs w:val="14"/>
                <w:color w:val="auto"/>
              </w:rPr>
            </w:pPr>
          </w:p>
        </w:tc>
        <w:tc>
          <w:tcPr>
            <w:tcW w:w="740" w:type="dxa"/>
            <w:vAlign w:val="bottom"/>
          </w:tcPr>
          <w:p>
            <w:pPr>
              <w:jc w:val="right"/>
              <w:ind w:right="76"/>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80" w:type="dxa"/>
            <w:vAlign w:val="bottom"/>
            <w:gridSpan w:val="3"/>
          </w:tcPr>
          <w:p>
            <w:pPr>
              <w:jc w:val="right"/>
              <w:ind w:right="300"/>
              <w:spacing w:after="0"/>
              <w:rPr>
                <w:sz w:val="20"/>
                <w:szCs w:val="20"/>
                <w:color w:val="auto"/>
              </w:rPr>
            </w:pPr>
            <w:r>
              <w:rPr>
                <w:rFonts w:ascii="Times New Roman" w:cs="Times New Roman" w:eastAsia="Times New Roman" w:hAnsi="Times New Roman"/>
                <w:sz w:val="13"/>
                <w:szCs w:val="13"/>
                <w:color w:val="auto"/>
              </w:rPr>
              <w:t>—</w:t>
            </w:r>
          </w:p>
        </w:tc>
        <w:tc>
          <w:tcPr>
            <w:tcW w:w="140" w:type="dxa"/>
            <w:vAlign w:val="bottom"/>
          </w:tcPr>
          <w:p>
            <w:pPr>
              <w:spacing w:after="0"/>
              <w:rPr>
                <w:sz w:val="14"/>
                <w:szCs w:val="14"/>
                <w:color w:val="auto"/>
              </w:rPr>
            </w:pPr>
          </w:p>
        </w:tc>
        <w:tc>
          <w:tcPr>
            <w:tcW w:w="880" w:type="dxa"/>
            <w:vAlign w:val="bottom"/>
            <w:gridSpan w:val="2"/>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4"/>
                <w:szCs w:val="14"/>
                <w:color w:val="auto"/>
              </w:rPr>
            </w:pPr>
          </w:p>
        </w:tc>
        <w:tc>
          <w:tcPr>
            <w:tcW w:w="820" w:type="dxa"/>
            <w:vAlign w:val="bottom"/>
            <w:gridSpan w:val="2"/>
          </w:tcPr>
          <w:p>
            <w:pPr>
              <w:jc w:val="right"/>
              <w:ind w:right="280"/>
              <w:spacing w:after="0"/>
              <w:rPr>
                <w:sz w:val="20"/>
                <w:szCs w:val="20"/>
                <w:color w:val="auto"/>
              </w:rPr>
            </w:pPr>
            <w:r>
              <w:rPr>
                <w:rFonts w:ascii="Times New Roman" w:cs="Times New Roman" w:eastAsia="Times New Roman" w:hAnsi="Times New Roman"/>
                <w:sz w:val="13"/>
                <w:szCs w:val="13"/>
                <w:color w:val="auto"/>
              </w:rPr>
              <w:t>—</w:t>
            </w:r>
          </w:p>
        </w:tc>
        <w:tc>
          <w:tcPr>
            <w:tcW w:w="18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Times New Roman" w:cs="Times New Roman" w:eastAsia="Times New Roman" w:hAnsi="Times New Roman"/>
                <w:sz w:val="13"/>
                <w:szCs w:val="13"/>
                <w:color w:val="auto"/>
              </w:rPr>
              <w:t>—</w:t>
            </w:r>
          </w:p>
        </w:tc>
        <w:tc>
          <w:tcPr>
            <w:tcW w:w="0" w:type="dxa"/>
            <w:vAlign w:val="bottom"/>
          </w:tcPr>
          <w:p>
            <w:pPr>
              <w:spacing w:after="0"/>
              <w:rPr>
                <w:sz w:val="1"/>
                <w:szCs w:val="1"/>
                <w:color w:val="auto"/>
              </w:rPr>
            </w:pPr>
          </w:p>
        </w:tc>
      </w:tr>
      <w:tr>
        <w:trPr>
          <w:trHeight w:val="175"/>
        </w:trPr>
        <w:tc>
          <w:tcPr>
            <w:tcW w:w="352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Total available-for-sale securities, at fair value</w:t>
            </w: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760" w:type="dxa"/>
            <w:vAlign w:val="bottom"/>
            <w:tcBorders>
              <w:top w:val="single" w:sz="8" w:color="auto"/>
              <w:bottom w:val="single" w:sz="8" w:color="auto"/>
            </w:tcBorders>
            <w:shd w:val="clear" w:color="auto" w:fill="CCEEFF"/>
          </w:tcPr>
          <w:p>
            <w:pPr>
              <w:jc w:val="right"/>
              <w:ind w:right="96"/>
              <w:spacing w:after="0"/>
              <w:rPr>
                <w:sz w:val="20"/>
                <w:szCs w:val="20"/>
                <w:color w:val="auto"/>
              </w:rPr>
            </w:pPr>
            <w:r>
              <w:rPr>
                <w:rFonts w:ascii="Times New Roman" w:cs="Times New Roman" w:eastAsia="Times New Roman" w:hAnsi="Times New Roman"/>
                <w:sz w:val="13"/>
                <w:szCs w:val="13"/>
                <w:color w:val="auto"/>
              </w:rPr>
              <w:t>6,875</w:t>
            </w:r>
          </w:p>
        </w:tc>
        <w:tc>
          <w:tcPr>
            <w:tcW w:w="12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auto"/>
              <w:bottom w:val="single" w:sz="8" w:color="auto"/>
            </w:tcBorders>
            <w:shd w:val="clear" w:color="auto" w:fill="CCEEFF"/>
          </w:tcPr>
          <w:p>
            <w:pPr>
              <w:spacing w:after="0"/>
              <w:rPr>
                <w:sz w:val="15"/>
                <w:szCs w:val="15"/>
                <w:color w:val="auto"/>
              </w:rPr>
            </w:pPr>
          </w:p>
        </w:tc>
        <w:tc>
          <w:tcPr>
            <w:tcW w:w="66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2,282</w:t>
            </w:r>
          </w:p>
        </w:tc>
        <w:tc>
          <w:tcPr>
            <w:tcW w:w="10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3"/>
                <w:szCs w:val="13"/>
                <w:color w:val="auto"/>
              </w:rPr>
              <w:t>2</w:t>
            </w: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120" w:type="dxa"/>
            <w:vAlign w:val="bottom"/>
            <w:tcBorders>
              <w:top w:val="single" w:sz="8" w:color="CCEEFF"/>
            </w:tcBorders>
            <w:shd w:val="clear" w:color="auto" w:fill="CCEEFF"/>
          </w:tcPr>
          <w:p>
            <w:pPr>
              <w:spacing w:after="0"/>
              <w:rPr>
                <w:sz w:val="15"/>
                <w:szCs w:val="15"/>
                <w:color w:val="auto"/>
              </w:rPr>
            </w:pPr>
          </w:p>
        </w:tc>
        <w:tc>
          <w:tcPr>
            <w:tcW w:w="160" w:type="dxa"/>
            <w:vAlign w:val="bottom"/>
            <w:tcBorders>
              <w:top w:val="single" w:sz="8" w:color="auto"/>
              <w:bottom w:val="single" w:sz="8" w:color="auto"/>
            </w:tcBorders>
            <w:shd w:val="clear" w:color="auto" w:fill="CCEEFF"/>
          </w:tcPr>
          <w:p>
            <w:pPr>
              <w:spacing w:after="0"/>
              <w:rPr>
                <w:sz w:val="15"/>
                <w:szCs w:val="15"/>
                <w:color w:val="auto"/>
              </w:rPr>
            </w:pPr>
          </w:p>
        </w:tc>
        <w:tc>
          <w:tcPr>
            <w:tcW w:w="760" w:type="dxa"/>
            <w:vAlign w:val="bottom"/>
            <w:tcBorders>
              <w:top w:val="single" w:sz="8" w:color="auto"/>
              <w:bottom w:val="single" w:sz="8" w:color="auto"/>
            </w:tcBorders>
            <w:shd w:val="clear" w:color="auto" w:fill="CCEEFF"/>
          </w:tcPr>
          <w:p>
            <w:pPr>
              <w:jc w:val="right"/>
              <w:ind w:right="116"/>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auto"/>
              <w:bottom w:val="single" w:sz="8" w:color="auto"/>
            </w:tcBorders>
            <w:shd w:val="clear" w:color="auto" w:fill="CCEEFF"/>
          </w:tcPr>
          <w:p>
            <w:pPr>
              <w:spacing w:after="0"/>
              <w:rPr>
                <w:sz w:val="15"/>
                <w:szCs w:val="15"/>
                <w:color w:val="auto"/>
              </w:rPr>
            </w:pPr>
          </w:p>
        </w:tc>
        <w:tc>
          <w:tcPr>
            <w:tcW w:w="140" w:type="dxa"/>
            <w:vAlign w:val="bottom"/>
            <w:tcBorders>
              <w:top w:val="single" w:sz="8" w:color="auto"/>
              <w:bottom w:val="single" w:sz="8" w:color="auto"/>
            </w:tcBorders>
            <w:shd w:val="clear" w:color="auto" w:fill="CCEEFF"/>
          </w:tcPr>
          <w:p>
            <w:pPr>
              <w:spacing w:after="0"/>
              <w:rPr>
                <w:sz w:val="15"/>
                <w:szCs w:val="15"/>
                <w:color w:val="auto"/>
              </w:rPr>
            </w:pPr>
          </w:p>
        </w:tc>
        <w:tc>
          <w:tcPr>
            <w:tcW w:w="780" w:type="dxa"/>
            <w:vAlign w:val="bottom"/>
            <w:tcBorders>
              <w:top w:val="single" w:sz="8" w:color="auto"/>
              <w:bottom w:val="single" w:sz="8" w:color="auto"/>
            </w:tcBorders>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w:t>
            </w:r>
          </w:p>
        </w:tc>
        <w:tc>
          <w:tcPr>
            <w:tcW w:w="10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700" w:type="dxa"/>
            <w:vAlign w:val="bottom"/>
            <w:tcBorders>
              <w:top w:val="single" w:sz="8" w:color="auto"/>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w:t>
            </w:r>
          </w:p>
        </w:tc>
        <w:tc>
          <w:tcPr>
            <w:tcW w:w="120" w:type="dxa"/>
            <w:vAlign w:val="bottom"/>
            <w:tcBorders>
              <w:top w:val="single" w:sz="8" w:color="CCEEFF"/>
            </w:tcBorders>
            <w:shd w:val="clear" w:color="auto" w:fill="CCEEFF"/>
          </w:tcPr>
          <w:p>
            <w:pPr>
              <w:spacing w:after="0"/>
              <w:rPr>
                <w:sz w:val="15"/>
                <w:szCs w:val="15"/>
                <w:color w:val="auto"/>
              </w:rPr>
            </w:pPr>
          </w:p>
        </w:tc>
        <w:tc>
          <w:tcPr>
            <w:tcW w:w="180" w:type="dxa"/>
            <w:vAlign w:val="bottom"/>
            <w:tcBorders>
              <w:top w:val="single" w:sz="8" w:color="auto"/>
              <w:bottom w:val="single" w:sz="8" w:color="auto"/>
            </w:tcBorders>
            <w:shd w:val="clear" w:color="auto" w:fill="CCEEFF"/>
          </w:tcPr>
          <w:p>
            <w:pPr>
              <w:spacing w:after="0"/>
              <w:rPr>
                <w:sz w:val="15"/>
                <w:szCs w:val="15"/>
                <w:color w:val="auto"/>
              </w:rPr>
            </w:pPr>
          </w:p>
        </w:tc>
        <w:tc>
          <w:tcPr>
            <w:tcW w:w="740" w:type="dxa"/>
            <w:vAlign w:val="bottom"/>
            <w:tcBorders>
              <w:top w:val="single" w:sz="8" w:color="auto"/>
              <w:bottom w:val="single" w:sz="8" w:color="auto"/>
            </w:tcBorders>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9,159</w:t>
            </w:r>
          </w:p>
        </w:tc>
        <w:tc>
          <w:tcPr>
            <w:tcW w:w="0" w:type="dxa"/>
            <w:vAlign w:val="bottom"/>
          </w:tcPr>
          <w:p>
            <w:pPr>
              <w:spacing w:after="0"/>
              <w:rPr>
                <w:sz w:val="1"/>
                <w:szCs w:val="1"/>
                <w:color w:val="auto"/>
              </w:rPr>
            </w:pPr>
          </w:p>
        </w:tc>
      </w:tr>
      <w:tr>
        <w:trPr>
          <w:trHeight w:val="150"/>
        </w:trPr>
        <w:tc>
          <w:tcPr>
            <w:tcW w:w="3520" w:type="dxa"/>
            <w:vAlign w:val="bottom"/>
            <w:gridSpan w:val="2"/>
          </w:tcPr>
          <w:p>
            <w:pPr>
              <w:ind w:left="20"/>
              <w:spacing w:after="0" w:line="144" w:lineRule="exact"/>
              <w:rPr>
                <w:sz w:val="20"/>
                <w:szCs w:val="20"/>
                <w:color w:val="auto"/>
              </w:rPr>
            </w:pPr>
            <w:r>
              <w:rPr>
                <w:rFonts w:ascii="Times New Roman" w:cs="Times New Roman" w:eastAsia="Times New Roman" w:hAnsi="Times New Roman"/>
                <w:sz w:val="13"/>
                <w:szCs w:val="13"/>
                <w:color w:val="auto"/>
              </w:rPr>
              <w:t>Securities remeasured at fair value through earnings:</w:t>
            </w: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81"/>
        </w:trPr>
        <w:tc>
          <w:tcPr>
            <w:tcW w:w="352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3"/>
                <w:szCs w:val="13"/>
                <w:color w:val="auto"/>
              </w:rPr>
              <w:t>Par value</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3"/>
                <w:szCs w:val="13"/>
                <w:color w:val="auto"/>
              </w:rPr>
              <w:t>27,952</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13,680</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3"/>
                <w:szCs w:val="13"/>
                <w:color w:val="auto"/>
              </w:rPr>
              <w:t>3</w:t>
            </w: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116"/>
              <w:spacing w:after="0"/>
              <w:rPr>
                <w:sz w:val="20"/>
                <w:szCs w:val="20"/>
                <w:color w:val="auto"/>
              </w:rPr>
            </w:pPr>
            <w:r>
              <w:rPr>
                <w:rFonts w:ascii="Times New Roman" w:cs="Times New Roman" w:eastAsia="Times New Roman" w:hAnsi="Times New Roman"/>
                <w:sz w:val="13"/>
                <w:szCs w:val="13"/>
                <w:color w:val="auto"/>
              </w:rPr>
              <w:t>327</w:t>
            </w: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508</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950</w:t>
            </w: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43,420</w:t>
            </w:r>
          </w:p>
        </w:tc>
        <w:tc>
          <w:tcPr>
            <w:tcW w:w="0" w:type="dxa"/>
            <w:vAlign w:val="bottom"/>
          </w:tcPr>
          <w:p>
            <w:pPr>
              <w:spacing w:after="0"/>
              <w:rPr>
                <w:sz w:val="1"/>
                <w:szCs w:val="1"/>
                <w:color w:val="auto"/>
              </w:rPr>
            </w:pPr>
          </w:p>
        </w:tc>
      </w:tr>
      <w:tr>
        <w:trPr>
          <w:trHeight w:val="170"/>
        </w:trPr>
        <w:tc>
          <w:tcPr>
            <w:tcW w:w="3520" w:type="dxa"/>
            <w:vAlign w:val="bottom"/>
            <w:gridSpan w:val="2"/>
          </w:tcPr>
          <w:p>
            <w:pPr>
              <w:ind w:left="220"/>
              <w:spacing w:after="0"/>
              <w:rPr>
                <w:sz w:val="20"/>
                <w:szCs w:val="20"/>
                <w:color w:val="auto"/>
              </w:rPr>
            </w:pPr>
            <w:r>
              <w:rPr>
                <w:rFonts w:ascii="Times New Roman" w:cs="Times New Roman" w:eastAsia="Times New Roman" w:hAnsi="Times New Roman"/>
                <w:sz w:val="13"/>
                <w:szCs w:val="13"/>
                <w:color w:val="auto"/>
              </w:rPr>
              <w:t>Unamortized discount</w:t>
            </w:r>
          </w:p>
        </w:tc>
        <w:tc>
          <w:tcPr>
            <w:tcW w:w="160" w:type="dxa"/>
            <w:vAlign w:val="bottom"/>
          </w:tcPr>
          <w:p>
            <w:pPr>
              <w:spacing w:after="0"/>
              <w:rPr>
                <w:sz w:val="14"/>
                <w:szCs w:val="14"/>
                <w:color w:val="auto"/>
              </w:rPr>
            </w:pPr>
          </w:p>
        </w:tc>
        <w:tc>
          <w:tcPr>
            <w:tcW w:w="760" w:type="dxa"/>
            <w:vAlign w:val="bottom"/>
          </w:tcPr>
          <w:p>
            <w:pPr>
              <w:jc w:val="right"/>
              <w:ind w:right="56"/>
              <w:spacing w:after="0"/>
              <w:rPr>
                <w:sz w:val="20"/>
                <w:szCs w:val="20"/>
                <w:color w:val="auto"/>
              </w:rPr>
            </w:pPr>
            <w:r>
              <w:rPr>
                <w:rFonts w:ascii="Times New Roman" w:cs="Times New Roman" w:eastAsia="Times New Roman" w:hAnsi="Times New Roman"/>
                <w:sz w:val="13"/>
                <w:szCs w:val="13"/>
                <w:color w:val="auto"/>
              </w:rPr>
              <w:t>(14)</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tcPr>
          <w:p>
            <w:pPr>
              <w:jc w:val="right"/>
              <w:ind w:right="77"/>
              <w:spacing w:after="0"/>
              <w:rPr>
                <w:sz w:val="20"/>
                <w:szCs w:val="20"/>
                <w:color w:val="auto"/>
              </w:rPr>
            </w:pPr>
            <w:r>
              <w:rPr>
                <w:rFonts w:ascii="Times New Roman" w:cs="Times New Roman" w:eastAsia="Times New Roman" w:hAnsi="Times New Roman"/>
                <w:sz w:val="13"/>
                <w:szCs w:val="13"/>
                <w:color w:val="auto"/>
              </w:rPr>
              <w:t>(4)</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6"/>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right"/>
              <w:ind w:right="76"/>
              <w:spacing w:after="0"/>
              <w:rPr>
                <w:sz w:val="20"/>
                <w:szCs w:val="20"/>
                <w:color w:val="auto"/>
              </w:rPr>
            </w:pPr>
            <w:r>
              <w:rPr>
                <w:rFonts w:ascii="Times New Roman" w:cs="Times New Roman" w:eastAsia="Times New Roman" w:hAnsi="Times New Roman"/>
                <w:sz w:val="13"/>
                <w:szCs w:val="13"/>
                <w:color w:val="auto"/>
              </w:rPr>
              <w:t>(6)</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77"/>
              <w:spacing w:after="0"/>
              <w:rPr>
                <w:sz w:val="20"/>
                <w:szCs w:val="20"/>
                <w:color w:val="auto"/>
              </w:rPr>
            </w:pPr>
            <w:r>
              <w:rPr>
                <w:rFonts w:ascii="Times New Roman" w:cs="Times New Roman" w:eastAsia="Times New Roman" w:hAnsi="Times New Roman"/>
                <w:sz w:val="13"/>
                <w:szCs w:val="13"/>
                <w:color w:val="auto"/>
              </w:rPr>
              <w:t>(6)</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jc w:val="right"/>
              <w:ind w:right="57"/>
              <w:spacing w:after="0"/>
              <w:rPr>
                <w:sz w:val="20"/>
                <w:szCs w:val="20"/>
                <w:color w:val="auto"/>
              </w:rPr>
            </w:pPr>
            <w:r>
              <w:rPr>
                <w:rFonts w:ascii="Times New Roman" w:cs="Times New Roman" w:eastAsia="Times New Roman" w:hAnsi="Times New Roman"/>
                <w:sz w:val="13"/>
                <w:szCs w:val="13"/>
                <w:color w:val="auto"/>
              </w:rPr>
              <w:t>(7)</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jc w:val="right"/>
              <w:ind w:right="77"/>
              <w:spacing w:after="0"/>
              <w:rPr>
                <w:sz w:val="20"/>
                <w:szCs w:val="20"/>
                <w:color w:val="auto"/>
              </w:rPr>
            </w:pPr>
            <w:r>
              <w:rPr>
                <w:rFonts w:ascii="Times New Roman" w:cs="Times New Roman" w:eastAsia="Times New Roman" w:hAnsi="Times New Roman"/>
                <w:sz w:val="13"/>
                <w:szCs w:val="13"/>
                <w:color w:val="auto"/>
              </w:rPr>
              <w:t>(37)</w:t>
            </w:r>
          </w:p>
        </w:tc>
        <w:tc>
          <w:tcPr>
            <w:tcW w:w="0" w:type="dxa"/>
            <w:vAlign w:val="bottom"/>
          </w:tcPr>
          <w:p>
            <w:pPr>
              <w:spacing w:after="0"/>
              <w:rPr>
                <w:sz w:val="1"/>
                <w:szCs w:val="1"/>
                <w:color w:val="auto"/>
              </w:rPr>
            </w:pPr>
          </w:p>
        </w:tc>
      </w:tr>
      <w:tr>
        <w:trPr>
          <w:trHeight w:val="181"/>
        </w:trPr>
        <w:tc>
          <w:tcPr>
            <w:tcW w:w="352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3"/>
                <w:szCs w:val="13"/>
                <w:color w:val="auto"/>
              </w:rPr>
              <w:t>Unamortized premium</w:t>
            </w: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96"/>
              <w:spacing w:after="0"/>
              <w:rPr>
                <w:sz w:val="20"/>
                <w:szCs w:val="20"/>
                <w:color w:val="auto"/>
              </w:rPr>
            </w:pPr>
            <w:r>
              <w:rPr>
                <w:rFonts w:ascii="Times New Roman" w:cs="Times New Roman" w:eastAsia="Times New Roman" w:hAnsi="Times New Roman"/>
                <w:sz w:val="13"/>
                <w:szCs w:val="13"/>
                <w:color w:val="auto"/>
              </w:rPr>
              <w:t>924</w:t>
            </w:r>
          </w:p>
        </w:tc>
        <w:tc>
          <w:tcPr>
            <w:tcW w:w="120" w:type="dxa"/>
            <w:vAlign w:val="bottom"/>
            <w:shd w:val="clear" w:color="auto" w:fill="CCEEFF"/>
          </w:tcPr>
          <w:p>
            <w:pPr>
              <w:spacing w:after="0"/>
              <w:rPr>
                <w:sz w:val="15"/>
                <w:szCs w:val="15"/>
                <w:color w:val="auto"/>
              </w:rPr>
            </w:pPr>
          </w:p>
        </w:tc>
        <w:tc>
          <w:tcPr>
            <w:tcW w:w="24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444</w:t>
            </w:r>
          </w:p>
        </w:tc>
        <w:tc>
          <w:tcPr>
            <w:tcW w:w="10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116"/>
              <w:spacing w:after="0"/>
              <w:rPr>
                <w:sz w:val="20"/>
                <w:szCs w:val="20"/>
                <w:color w:val="auto"/>
              </w:rPr>
            </w:pPr>
            <w:r>
              <w:rPr>
                <w:rFonts w:ascii="Times New Roman" w:cs="Times New Roman" w:eastAsia="Times New Roman" w:hAnsi="Times New Roman"/>
                <w:sz w:val="13"/>
                <w:szCs w:val="13"/>
                <w:color w:val="auto"/>
              </w:rPr>
              <w:t>4</w:t>
            </w:r>
          </w:p>
        </w:tc>
        <w:tc>
          <w:tcPr>
            <w:tcW w:w="100" w:type="dxa"/>
            <w:vAlign w:val="bottom"/>
            <w:shd w:val="clear" w:color="auto" w:fill="CCEEFF"/>
          </w:tcPr>
          <w:p>
            <w:pPr>
              <w:spacing w:after="0"/>
              <w:rPr>
                <w:sz w:val="15"/>
                <w:szCs w:val="15"/>
                <w:color w:val="auto"/>
              </w:rPr>
            </w:pPr>
          </w:p>
        </w:tc>
        <w:tc>
          <w:tcPr>
            <w:tcW w:w="20" w:type="dxa"/>
            <w:vAlign w:val="bottom"/>
            <w:tcBorders>
              <w:bottom w:val="single" w:sz="8" w:color="auto"/>
            </w:tcBorders>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3</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00" w:type="dxa"/>
            <w:vAlign w:val="bottom"/>
            <w:tcBorders>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12</w:t>
            </w:r>
          </w:p>
        </w:tc>
        <w:tc>
          <w:tcPr>
            <w:tcW w:w="12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1,387</w:t>
            </w:r>
          </w:p>
        </w:tc>
        <w:tc>
          <w:tcPr>
            <w:tcW w:w="0" w:type="dxa"/>
            <w:vAlign w:val="bottom"/>
          </w:tcPr>
          <w:p>
            <w:pPr>
              <w:spacing w:after="0"/>
              <w:rPr>
                <w:sz w:val="1"/>
                <w:szCs w:val="1"/>
                <w:color w:val="auto"/>
              </w:rPr>
            </w:pPr>
          </w:p>
        </w:tc>
      </w:tr>
      <w:tr>
        <w:trPr>
          <w:trHeight w:val="163"/>
        </w:trPr>
        <w:tc>
          <w:tcPr>
            <w:tcW w:w="3520" w:type="dxa"/>
            <w:vAlign w:val="bottom"/>
            <w:gridSpan w:val="2"/>
          </w:tcPr>
          <w:p>
            <w:pPr>
              <w:ind w:left="220"/>
              <w:spacing w:after="0"/>
              <w:rPr>
                <w:sz w:val="20"/>
                <w:szCs w:val="20"/>
                <w:color w:val="auto"/>
              </w:rPr>
            </w:pPr>
            <w:r>
              <w:rPr>
                <w:rFonts w:ascii="Times New Roman" w:cs="Times New Roman" w:eastAsia="Times New Roman" w:hAnsi="Times New Roman"/>
                <w:sz w:val="13"/>
                <w:szCs w:val="13"/>
                <w:color w:val="auto"/>
              </w:rPr>
              <w:t>Amortized cost</w:t>
            </w:r>
          </w:p>
        </w:tc>
        <w:tc>
          <w:tcPr>
            <w:tcW w:w="160" w:type="dxa"/>
            <w:vAlign w:val="bottom"/>
          </w:tcPr>
          <w:p>
            <w:pPr>
              <w:spacing w:after="0"/>
              <w:rPr>
                <w:sz w:val="14"/>
                <w:szCs w:val="14"/>
                <w:color w:val="auto"/>
              </w:rPr>
            </w:pPr>
          </w:p>
        </w:tc>
        <w:tc>
          <w:tcPr>
            <w:tcW w:w="760" w:type="dxa"/>
            <w:vAlign w:val="bottom"/>
          </w:tcPr>
          <w:p>
            <w:pPr>
              <w:jc w:val="right"/>
              <w:ind w:right="96"/>
              <w:spacing w:after="0"/>
              <w:rPr>
                <w:sz w:val="20"/>
                <w:szCs w:val="20"/>
                <w:color w:val="auto"/>
              </w:rPr>
            </w:pPr>
            <w:r>
              <w:rPr>
                <w:rFonts w:ascii="Times New Roman" w:cs="Times New Roman" w:eastAsia="Times New Roman" w:hAnsi="Times New Roman"/>
                <w:sz w:val="13"/>
                <w:szCs w:val="13"/>
                <w:color w:val="auto"/>
              </w:rPr>
              <w:t>28,862</w:t>
            </w:r>
          </w:p>
        </w:tc>
        <w:tc>
          <w:tcPr>
            <w:tcW w:w="1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60" w:type="dxa"/>
            <w:vAlign w:val="bottom"/>
          </w:tcPr>
          <w:p>
            <w:pPr>
              <w:jc w:val="right"/>
              <w:ind w:right="97"/>
              <w:spacing w:after="0"/>
              <w:rPr>
                <w:sz w:val="20"/>
                <w:szCs w:val="20"/>
                <w:color w:val="auto"/>
              </w:rPr>
            </w:pPr>
            <w:r>
              <w:rPr>
                <w:rFonts w:ascii="Times New Roman" w:cs="Times New Roman" w:eastAsia="Times New Roman" w:hAnsi="Times New Roman"/>
                <w:sz w:val="13"/>
                <w:szCs w:val="13"/>
                <w:color w:val="auto"/>
              </w:rPr>
              <w:t>14,120</w:t>
            </w: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40" w:type="dxa"/>
            <w:vAlign w:val="bottom"/>
          </w:tcPr>
          <w:p>
            <w:pPr>
              <w:jc w:val="right"/>
              <w:ind w:right="76"/>
              <w:spacing w:after="0"/>
              <w:rPr>
                <w:sz w:val="20"/>
                <w:szCs w:val="20"/>
                <w:color w:val="auto"/>
              </w:rPr>
            </w:pPr>
            <w:r>
              <w:rPr>
                <w:rFonts w:ascii="Times New Roman" w:cs="Times New Roman" w:eastAsia="Times New Roman" w:hAnsi="Times New Roman"/>
                <w:sz w:val="13"/>
                <w:szCs w:val="13"/>
                <w:color w:val="auto"/>
              </w:rPr>
              <w:t>3</w:t>
            </w:r>
          </w:p>
        </w:tc>
        <w:tc>
          <w:tcPr>
            <w:tcW w:w="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jc w:val="right"/>
              <w:ind w:right="116"/>
              <w:spacing w:after="0"/>
              <w:rPr>
                <w:sz w:val="20"/>
                <w:szCs w:val="20"/>
                <w:color w:val="auto"/>
              </w:rPr>
            </w:pPr>
            <w:r>
              <w:rPr>
                <w:rFonts w:ascii="Times New Roman" w:cs="Times New Roman" w:eastAsia="Times New Roman" w:hAnsi="Times New Roman"/>
                <w:sz w:val="13"/>
                <w:szCs w:val="13"/>
                <w:color w:val="auto"/>
              </w:rPr>
              <w:t>325</w:t>
            </w: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780" w:type="dxa"/>
            <w:vAlign w:val="bottom"/>
          </w:tcPr>
          <w:p>
            <w:pPr>
              <w:jc w:val="right"/>
              <w:ind w:right="117"/>
              <w:spacing w:after="0"/>
              <w:rPr>
                <w:sz w:val="20"/>
                <w:szCs w:val="20"/>
                <w:color w:val="auto"/>
              </w:rPr>
            </w:pPr>
            <w:r>
              <w:rPr>
                <w:rFonts w:ascii="Times New Roman" w:cs="Times New Roman" w:eastAsia="Times New Roman" w:hAnsi="Times New Roman"/>
                <w:sz w:val="13"/>
                <w:szCs w:val="13"/>
                <w:color w:val="auto"/>
              </w:rPr>
              <w:t>505</w:t>
            </w:r>
          </w:p>
        </w:tc>
        <w:tc>
          <w:tcPr>
            <w:tcW w:w="1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00" w:type="dxa"/>
            <w:vAlign w:val="bottom"/>
          </w:tcPr>
          <w:p>
            <w:pPr>
              <w:jc w:val="right"/>
              <w:ind w:right="97"/>
              <w:spacing w:after="0"/>
              <w:rPr>
                <w:sz w:val="20"/>
                <w:szCs w:val="20"/>
                <w:color w:val="auto"/>
              </w:rPr>
            </w:pPr>
            <w:r>
              <w:rPr>
                <w:rFonts w:ascii="Times New Roman" w:cs="Times New Roman" w:eastAsia="Times New Roman" w:hAnsi="Times New Roman"/>
                <w:sz w:val="13"/>
                <w:szCs w:val="13"/>
                <w:color w:val="auto"/>
              </w:rPr>
              <w:t>955</w:t>
            </w:r>
          </w:p>
        </w:tc>
        <w:tc>
          <w:tcPr>
            <w:tcW w:w="1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jc w:val="right"/>
              <w:ind w:right="117"/>
              <w:spacing w:after="0"/>
              <w:rPr>
                <w:sz w:val="20"/>
                <w:szCs w:val="20"/>
                <w:color w:val="auto"/>
              </w:rPr>
            </w:pPr>
            <w:r>
              <w:rPr>
                <w:rFonts w:ascii="Times New Roman" w:cs="Times New Roman" w:eastAsia="Times New Roman" w:hAnsi="Times New Roman"/>
                <w:sz w:val="13"/>
                <w:szCs w:val="13"/>
                <w:color w:val="auto"/>
              </w:rPr>
              <w:t>44,770</w:t>
            </w:r>
          </w:p>
        </w:tc>
        <w:tc>
          <w:tcPr>
            <w:tcW w:w="0" w:type="dxa"/>
            <w:vAlign w:val="bottom"/>
          </w:tcPr>
          <w:p>
            <w:pPr>
              <w:spacing w:after="0"/>
              <w:rPr>
                <w:sz w:val="1"/>
                <w:szCs w:val="1"/>
                <w:color w:val="auto"/>
              </w:rPr>
            </w:pPr>
          </w:p>
        </w:tc>
      </w:tr>
      <w:tr>
        <w:trPr>
          <w:trHeight w:val="181"/>
        </w:trPr>
        <w:tc>
          <w:tcPr>
            <w:tcW w:w="352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3"/>
                <w:szCs w:val="13"/>
                <w:color w:val="auto"/>
              </w:rPr>
              <w:t>Gross unrealized gains</w:t>
            </w: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96"/>
              <w:spacing w:after="0"/>
              <w:rPr>
                <w:sz w:val="20"/>
                <w:szCs w:val="20"/>
                <w:color w:val="auto"/>
              </w:rPr>
            </w:pPr>
            <w:r>
              <w:rPr>
                <w:rFonts w:ascii="Times New Roman" w:cs="Times New Roman" w:eastAsia="Times New Roman" w:hAnsi="Times New Roman"/>
                <w:sz w:val="13"/>
                <w:szCs w:val="13"/>
                <w:color w:val="auto"/>
              </w:rPr>
              <w:t>517</w:t>
            </w:r>
          </w:p>
        </w:tc>
        <w:tc>
          <w:tcPr>
            <w:tcW w:w="1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6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213</w:t>
            </w:r>
          </w:p>
        </w:tc>
        <w:tc>
          <w:tcPr>
            <w:tcW w:w="1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76"/>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60" w:type="dxa"/>
            <w:vAlign w:val="bottom"/>
            <w:shd w:val="clear" w:color="auto" w:fill="CCEEFF"/>
          </w:tcPr>
          <w:p>
            <w:pPr>
              <w:jc w:val="right"/>
              <w:ind w:right="116"/>
              <w:spacing w:after="0"/>
              <w:rPr>
                <w:sz w:val="20"/>
                <w:szCs w:val="20"/>
                <w:color w:val="auto"/>
              </w:rPr>
            </w:pPr>
            <w:r>
              <w:rPr>
                <w:rFonts w:ascii="Times New Roman" w:cs="Times New Roman" w:eastAsia="Times New Roman" w:hAnsi="Times New Roman"/>
                <w:sz w:val="13"/>
                <w:szCs w:val="13"/>
                <w:color w:val="auto"/>
              </w:rPr>
              <w:t>6</w:t>
            </w: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780" w:type="dxa"/>
            <w:vAlign w:val="bottom"/>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11</w:t>
            </w:r>
          </w:p>
        </w:tc>
        <w:tc>
          <w:tcPr>
            <w:tcW w:w="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00" w:type="dxa"/>
            <w:vAlign w:val="bottom"/>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21</w:t>
            </w:r>
          </w:p>
        </w:tc>
        <w:tc>
          <w:tcPr>
            <w:tcW w:w="12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740" w:type="dxa"/>
            <w:vAlign w:val="bottom"/>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768</w:t>
            </w:r>
          </w:p>
        </w:tc>
        <w:tc>
          <w:tcPr>
            <w:tcW w:w="0" w:type="dxa"/>
            <w:vAlign w:val="bottom"/>
          </w:tcPr>
          <w:p>
            <w:pPr>
              <w:spacing w:after="0"/>
              <w:rPr>
                <w:sz w:val="1"/>
                <w:szCs w:val="1"/>
                <w:color w:val="auto"/>
              </w:rPr>
            </w:pPr>
          </w:p>
        </w:tc>
      </w:tr>
      <w:tr>
        <w:trPr>
          <w:trHeight w:val="170"/>
        </w:trPr>
        <w:tc>
          <w:tcPr>
            <w:tcW w:w="3520" w:type="dxa"/>
            <w:vAlign w:val="bottom"/>
            <w:tcBorders>
              <w:bottom w:val="single" w:sz="8" w:color="CCEEFF"/>
            </w:tcBorders>
            <w:gridSpan w:val="2"/>
          </w:tcPr>
          <w:p>
            <w:pPr>
              <w:ind w:left="220"/>
              <w:spacing w:after="0"/>
              <w:rPr>
                <w:sz w:val="20"/>
                <w:szCs w:val="20"/>
                <w:color w:val="auto"/>
              </w:rPr>
            </w:pPr>
            <w:r>
              <w:rPr>
                <w:rFonts w:ascii="Times New Roman" w:cs="Times New Roman" w:eastAsia="Times New Roman" w:hAnsi="Times New Roman"/>
                <w:sz w:val="13"/>
                <w:szCs w:val="13"/>
                <w:color w:val="auto"/>
              </w:rPr>
              <w:t>Gross unrealized losses</w:t>
            </w: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56"/>
              <w:spacing w:after="0"/>
              <w:rPr>
                <w:sz w:val="20"/>
                <w:szCs w:val="20"/>
                <w:color w:val="auto"/>
              </w:rPr>
            </w:pPr>
            <w:r>
              <w:rPr>
                <w:rFonts w:ascii="Times New Roman" w:cs="Times New Roman" w:eastAsia="Times New Roman" w:hAnsi="Times New Roman"/>
                <w:sz w:val="13"/>
                <w:szCs w:val="13"/>
                <w:color w:val="auto"/>
              </w:rPr>
              <w:t>(181)</w:t>
            </w:r>
          </w:p>
        </w:tc>
        <w:tc>
          <w:tcPr>
            <w:tcW w:w="120" w:type="dxa"/>
            <w:vAlign w:val="bottom"/>
            <w:tcBorders>
              <w:bottom w:val="single" w:sz="8" w:color="CCEEFF"/>
            </w:tcBorders>
          </w:tcPr>
          <w:p>
            <w:pPr>
              <w:spacing w:after="0"/>
              <w:rPr>
                <w:sz w:val="14"/>
                <w:szCs w:val="14"/>
                <w:color w:val="auto"/>
              </w:rPr>
            </w:pPr>
          </w:p>
        </w:tc>
        <w:tc>
          <w:tcPr>
            <w:tcW w:w="240" w:type="dxa"/>
            <w:vAlign w:val="bottom"/>
            <w:tcBorders>
              <w:bottom w:val="single" w:sz="8" w:color="auto"/>
            </w:tcBorders>
          </w:tcPr>
          <w:p>
            <w:pPr>
              <w:spacing w:after="0"/>
              <w:rPr>
                <w:sz w:val="14"/>
                <w:szCs w:val="14"/>
                <w:color w:val="auto"/>
              </w:rPr>
            </w:pPr>
          </w:p>
        </w:tc>
        <w:tc>
          <w:tcPr>
            <w:tcW w:w="660" w:type="dxa"/>
            <w:vAlign w:val="bottom"/>
            <w:tcBorders>
              <w:bottom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(89)</w:t>
            </w:r>
          </w:p>
        </w:tc>
        <w:tc>
          <w:tcPr>
            <w:tcW w:w="10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76"/>
              <w:spacing w:after="0"/>
              <w:rPr>
                <w:sz w:val="20"/>
                <w:szCs w:val="20"/>
                <w:color w:val="auto"/>
              </w:rPr>
            </w:pPr>
            <w:r>
              <w:rPr>
                <w:rFonts w:ascii="Times New Roman" w:cs="Times New Roman" w:eastAsia="Times New Roman" w:hAnsi="Times New Roman"/>
                <w:sz w:val="13"/>
                <w:szCs w:val="13"/>
                <w:color w:val="auto"/>
              </w:rPr>
              <w:t>—</w:t>
            </w:r>
          </w:p>
        </w:tc>
        <w:tc>
          <w:tcPr>
            <w:tcW w:w="20" w:type="dxa"/>
            <w:vAlign w:val="bottom"/>
            <w:tcBorders>
              <w:bottom w:val="single" w:sz="8" w:color="auto"/>
            </w:tcBorders>
          </w:tcPr>
          <w:p>
            <w:pPr>
              <w:spacing w:after="0"/>
              <w:rPr>
                <w:sz w:val="14"/>
                <w:szCs w:val="14"/>
                <w:color w:val="auto"/>
              </w:rPr>
            </w:pPr>
          </w:p>
        </w:tc>
        <w:tc>
          <w:tcPr>
            <w:tcW w:w="120" w:type="dxa"/>
            <w:vAlign w:val="bottom"/>
            <w:tcBorders>
              <w:bottom w:val="single" w:sz="8" w:color="CCEEFF"/>
            </w:tcBorders>
          </w:tcPr>
          <w:p>
            <w:pPr>
              <w:spacing w:after="0"/>
              <w:rPr>
                <w:sz w:val="14"/>
                <w:szCs w:val="14"/>
                <w:color w:val="auto"/>
              </w:rPr>
            </w:pPr>
          </w:p>
        </w:tc>
        <w:tc>
          <w:tcPr>
            <w:tcW w:w="16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76"/>
              <w:spacing w:after="0"/>
              <w:rPr>
                <w:sz w:val="20"/>
                <w:szCs w:val="20"/>
                <w:color w:val="auto"/>
              </w:rPr>
            </w:pPr>
            <w:r>
              <w:rPr>
                <w:rFonts w:ascii="Times New Roman" w:cs="Times New Roman" w:eastAsia="Times New Roman" w:hAnsi="Times New Roman"/>
                <w:sz w:val="13"/>
                <w:szCs w:val="13"/>
                <w:color w:val="auto"/>
              </w:rPr>
              <w:t>(2)</w:t>
            </w:r>
          </w:p>
        </w:tc>
        <w:tc>
          <w:tcPr>
            <w:tcW w:w="100" w:type="dxa"/>
            <w:vAlign w:val="bottom"/>
            <w:tcBorders>
              <w:bottom w:val="single" w:sz="8" w:color="CCEEFF"/>
            </w:tcBorders>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(2)</w:t>
            </w:r>
          </w:p>
        </w:tc>
        <w:tc>
          <w:tcPr>
            <w:tcW w:w="10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jc w:val="right"/>
              <w:ind w:right="57"/>
              <w:spacing w:after="0"/>
              <w:rPr>
                <w:sz w:val="20"/>
                <w:szCs w:val="20"/>
                <w:color w:val="auto"/>
              </w:rPr>
            </w:pPr>
            <w:r>
              <w:rPr>
                <w:rFonts w:ascii="Times New Roman" w:cs="Times New Roman" w:eastAsia="Times New Roman" w:hAnsi="Times New Roman"/>
                <w:sz w:val="13"/>
                <w:szCs w:val="13"/>
                <w:color w:val="auto"/>
              </w:rPr>
              <w:t>(2)</w:t>
            </w:r>
          </w:p>
        </w:tc>
        <w:tc>
          <w:tcPr>
            <w:tcW w:w="120" w:type="dxa"/>
            <w:vAlign w:val="bottom"/>
            <w:tcBorders>
              <w:bottom w:val="single" w:sz="8" w:color="CCEEFF"/>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77"/>
              <w:spacing w:after="0"/>
              <w:rPr>
                <w:sz w:val="20"/>
                <w:szCs w:val="20"/>
                <w:color w:val="auto"/>
              </w:rPr>
            </w:pPr>
            <w:r>
              <w:rPr>
                <w:rFonts w:ascii="Times New Roman" w:cs="Times New Roman" w:eastAsia="Times New Roman" w:hAnsi="Times New Roman"/>
                <w:sz w:val="13"/>
                <w:szCs w:val="13"/>
                <w:color w:val="auto"/>
              </w:rPr>
              <w:t>(276)</w:t>
            </w:r>
          </w:p>
        </w:tc>
        <w:tc>
          <w:tcPr>
            <w:tcW w:w="0" w:type="dxa"/>
            <w:vAlign w:val="bottom"/>
          </w:tcPr>
          <w:p>
            <w:pPr>
              <w:spacing w:after="0"/>
              <w:rPr>
                <w:sz w:val="1"/>
                <w:szCs w:val="1"/>
                <w:color w:val="auto"/>
              </w:rPr>
            </w:pPr>
          </w:p>
        </w:tc>
      </w:tr>
      <w:tr>
        <w:trPr>
          <w:trHeight w:val="175"/>
        </w:trPr>
        <w:tc>
          <w:tcPr>
            <w:tcW w:w="3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Total securities remeasured at fair value through earnings</w:t>
            </w: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96"/>
              <w:spacing w:after="0"/>
              <w:rPr>
                <w:sz w:val="20"/>
                <w:szCs w:val="20"/>
                <w:color w:val="auto"/>
              </w:rPr>
            </w:pPr>
            <w:r>
              <w:rPr>
                <w:rFonts w:ascii="Times New Roman" w:cs="Times New Roman" w:eastAsia="Times New Roman" w:hAnsi="Times New Roman"/>
                <w:sz w:val="13"/>
                <w:szCs w:val="13"/>
                <w:color w:val="auto"/>
              </w:rPr>
              <w:t>29,198</w:t>
            </w:r>
          </w:p>
        </w:tc>
        <w:tc>
          <w:tcPr>
            <w:tcW w:w="120" w:type="dxa"/>
            <w:vAlign w:val="bottom"/>
            <w:shd w:val="clear" w:color="auto" w:fill="CCEEFF"/>
          </w:tcPr>
          <w:p>
            <w:pPr>
              <w:spacing w:after="0"/>
              <w:rPr>
                <w:sz w:val="15"/>
                <w:szCs w:val="15"/>
                <w:color w:val="auto"/>
              </w:rPr>
            </w:pPr>
          </w:p>
        </w:tc>
        <w:tc>
          <w:tcPr>
            <w:tcW w:w="240" w:type="dxa"/>
            <w:vAlign w:val="bottom"/>
            <w:tcBorders>
              <w:bottom w:val="single" w:sz="8" w:color="auto"/>
            </w:tcBorders>
            <w:shd w:val="clear" w:color="auto" w:fill="CCEEFF"/>
          </w:tcPr>
          <w:p>
            <w:pPr>
              <w:spacing w:after="0"/>
              <w:rPr>
                <w:sz w:val="15"/>
                <w:szCs w:val="15"/>
                <w:color w:val="auto"/>
              </w:rPr>
            </w:pPr>
          </w:p>
        </w:tc>
        <w:tc>
          <w:tcPr>
            <w:tcW w:w="660" w:type="dxa"/>
            <w:vAlign w:val="bottom"/>
            <w:tcBorders>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14,244</w:t>
            </w:r>
          </w:p>
        </w:tc>
        <w:tc>
          <w:tcPr>
            <w:tcW w:w="10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76"/>
              <w:spacing w:after="0"/>
              <w:rPr>
                <w:sz w:val="20"/>
                <w:szCs w:val="20"/>
                <w:color w:val="auto"/>
              </w:rPr>
            </w:pPr>
            <w:r>
              <w:rPr>
                <w:rFonts w:ascii="Times New Roman" w:cs="Times New Roman" w:eastAsia="Times New Roman" w:hAnsi="Times New Roman"/>
                <w:sz w:val="13"/>
                <w:szCs w:val="13"/>
                <w:color w:val="auto"/>
              </w:rPr>
              <w:t>3</w:t>
            </w:r>
          </w:p>
        </w:tc>
        <w:tc>
          <w:tcPr>
            <w:tcW w:w="20" w:type="dxa"/>
            <w:vAlign w:val="bottom"/>
            <w:tcBorders>
              <w:bottom w:val="single" w:sz="8" w:color="auto"/>
            </w:tcBorders>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60" w:type="dxa"/>
            <w:vAlign w:val="bottom"/>
            <w:tcBorders>
              <w:bottom w:val="single" w:sz="8" w:color="auto"/>
            </w:tcBorders>
            <w:shd w:val="clear" w:color="auto" w:fill="CCEEFF"/>
          </w:tcPr>
          <w:p>
            <w:pPr>
              <w:spacing w:after="0"/>
              <w:rPr>
                <w:sz w:val="15"/>
                <w:szCs w:val="15"/>
                <w:color w:val="auto"/>
              </w:rPr>
            </w:pPr>
          </w:p>
        </w:tc>
        <w:tc>
          <w:tcPr>
            <w:tcW w:w="760" w:type="dxa"/>
            <w:vAlign w:val="bottom"/>
            <w:tcBorders>
              <w:bottom w:val="single" w:sz="8" w:color="auto"/>
            </w:tcBorders>
            <w:shd w:val="clear" w:color="auto" w:fill="CCEEFF"/>
          </w:tcPr>
          <w:p>
            <w:pPr>
              <w:jc w:val="right"/>
              <w:ind w:right="116"/>
              <w:spacing w:after="0"/>
              <w:rPr>
                <w:sz w:val="20"/>
                <w:szCs w:val="20"/>
                <w:color w:val="auto"/>
              </w:rPr>
            </w:pPr>
            <w:r>
              <w:rPr>
                <w:rFonts w:ascii="Times New Roman" w:cs="Times New Roman" w:eastAsia="Times New Roman" w:hAnsi="Times New Roman"/>
                <w:sz w:val="13"/>
                <w:szCs w:val="13"/>
                <w:color w:val="auto"/>
              </w:rPr>
              <w:t>329</w:t>
            </w:r>
          </w:p>
        </w:tc>
        <w:tc>
          <w:tcPr>
            <w:tcW w:w="100" w:type="dxa"/>
            <w:vAlign w:val="bottom"/>
            <w:shd w:val="clear" w:color="auto" w:fill="CCEEFF"/>
          </w:tcPr>
          <w:p>
            <w:pPr>
              <w:spacing w:after="0"/>
              <w:rPr>
                <w:sz w:val="15"/>
                <w:szCs w:val="15"/>
                <w:color w:val="auto"/>
              </w:rPr>
            </w:pPr>
          </w:p>
        </w:tc>
        <w:tc>
          <w:tcPr>
            <w:tcW w:w="20" w:type="dxa"/>
            <w:vAlign w:val="bottom"/>
            <w:tcBorders>
              <w:bottom w:val="single" w:sz="8" w:color="auto"/>
            </w:tcBorders>
            <w:shd w:val="clear" w:color="auto" w:fill="CCEEFF"/>
          </w:tcPr>
          <w:p>
            <w:pPr>
              <w:spacing w:after="0"/>
              <w:rPr>
                <w:sz w:val="15"/>
                <w:szCs w:val="15"/>
                <w:color w:val="auto"/>
              </w:rPr>
            </w:pPr>
          </w:p>
        </w:tc>
        <w:tc>
          <w:tcPr>
            <w:tcW w:w="140" w:type="dxa"/>
            <w:vAlign w:val="bottom"/>
            <w:tcBorders>
              <w:bottom w:val="single" w:sz="8" w:color="auto"/>
            </w:tcBorders>
            <w:shd w:val="clear" w:color="auto" w:fill="CCEEFF"/>
          </w:tcPr>
          <w:p>
            <w:pPr>
              <w:spacing w:after="0"/>
              <w:rPr>
                <w:sz w:val="15"/>
                <w:szCs w:val="15"/>
                <w:color w:val="auto"/>
              </w:rPr>
            </w:pPr>
          </w:p>
        </w:tc>
        <w:tc>
          <w:tcPr>
            <w:tcW w:w="780" w:type="dxa"/>
            <w:vAlign w:val="bottom"/>
            <w:tcBorders>
              <w:bottom w:val="single" w:sz="8" w:color="auto"/>
            </w:tcBorders>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514</w:t>
            </w:r>
          </w:p>
        </w:tc>
        <w:tc>
          <w:tcPr>
            <w:tcW w:w="10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00" w:type="dxa"/>
            <w:vAlign w:val="bottom"/>
            <w:tcBorders>
              <w:bottom w:val="single" w:sz="8" w:color="auto"/>
            </w:tcBorders>
            <w:shd w:val="clear" w:color="auto" w:fill="CCEEFF"/>
          </w:tcPr>
          <w:p>
            <w:pPr>
              <w:jc w:val="right"/>
              <w:ind w:right="97"/>
              <w:spacing w:after="0"/>
              <w:rPr>
                <w:sz w:val="20"/>
                <w:szCs w:val="20"/>
                <w:color w:val="auto"/>
              </w:rPr>
            </w:pPr>
            <w:r>
              <w:rPr>
                <w:rFonts w:ascii="Times New Roman" w:cs="Times New Roman" w:eastAsia="Times New Roman" w:hAnsi="Times New Roman"/>
                <w:sz w:val="13"/>
                <w:szCs w:val="13"/>
                <w:color w:val="auto"/>
              </w:rPr>
              <w:t>974</w:t>
            </w:r>
          </w:p>
        </w:tc>
        <w:tc>
          <w:tcPr>
            <w:tcW w:w="120" w:type="dxa"/>
            <w:vAlign w:val="bottom"/>
            <w:shd w:val="clear" w:color="auto" w:fill="CCEEFF"/>
          </w:tcPr>
          <w:p>
            <w:pPr>
              <w:spacing w:after="0"/>
              <w:rPr>
                <w:sz w:val="15"/>
                <w:szCs w:val="15"/>
                <w:color w:val="auto"/>
              </w:rPr>
            </w:pPr>
          </w:p>
        </w:tc>
        <w:tc>
          <w:tcPr>
            <w:tcW w:w="180" w:type="dxa"/>
            <w:vAlign w:val="bottom"/>
            <w:tcBorders>
              <w:bottom w:val="single" w:sz="8" w:color="auto"/>
            </w:tcBorders>
            <w:shd w:val="clear" w:color="auto" w:fill="CCEEFF"/>
          </w:tcPr>
          <w:p>
            <w:pPr>
              <w:spacing w:after="0"/>
              <w:rPr>
                <w:sz w:val="15"/>
                <w:szCs w:val="15"/>
                <w:color w:val="auto"/>
              </w:rPr>
            </w:pPr>
          </w:p>
        </w:tc>
        <w:tc>
          <w:tcPr>
            <w:tcW w:w="740" w:type="dxa"/>
            <w:vAlign w:val="bottom"/>
            <w:tcBorders>
              <w:bottom w:val="single" w:sz="8" w:color="auto"/>
            </w:tcBorders>
            <w:shd w:val="clear" w:color="auto" w:fill="CCEEFF"/>
          </w:tcPr>
          <w:p>
            <w:pPr>
              <w:jc w:val="right"/>
              <w:ind w:right="117"/>
              <w:spacing w:after="0"/>
              <w:rPr>
                <w:sz w:val="20"/>
                <w:szCs w:val="20"/>
                <w:color w:val="auto"/>
              </w:rPr>
            </w:pPr>
            <w:r>
              <w:rPr>
                <w:rFonts w:ascii="Times New Roman" w:cs="Times New Roman" w:eastAsia="Times New Roman" w:hAnsi="Times New Roman"/>
                <w:sz w:val="13"/>
                <w:szCs w:val="13"/>
                <w:color w:val="auto"/>
              </w:rPr>
              <w:t>45,262</w:t>
            </w:r>
          </w:p>
        </w:tc>
        <w:tc>
          <w:tcPr>
            <w:tcW w:w="0" w:type="dxa"/>
            <w:vAlign w:val="bottom"/>
          </w:tcPr>
          <w:p>
            <w:pPr>
              <w:spacing w:after="0"/>
              <w:rPr>
                <w:sz w:val="1"/>
                <w:szCs w:val="1"/>
                <w:color w:val="auto"/>
              </w:rPr>
            </w:pPr>
          </w:p>
        </w:tc>
      </w:tr>
      <w:tr>
        <w:trPr>
          <w:trHeight w:val="169"/>
        </w:trPr>
        <w:tc>
          <w:tcPr>
            <w:tcW w:w="352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Total securities, at fair value</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3"/>
                <w:szCs w:val="13"/>
                <w:color w:val="auto"/>
              </w:rPr>
              <w:t>$</w:t>
            </w:r>
          </w:p>
        </w:tc>
        <w:tc>
          <w:tcPr>
            <w:tcW w:w="760" w:type="dxa"/>
            <w:vAlign w:val="bottom"/>
            <w:tcBorders>
              <w:bottom w:val="single" w:sz="8" w:color="auto"/>
            </w:tcBorders>
          </w:tcPr>
          <w:p>
            <w:pPr>
              <w:jc w:val="right"/>
              <w:ind w:right="96"/>
              <w:spacing w:after="0"/>
              <w:rPr>
                <w:sz w:val="20"/>
                <w:szCs w:val="20"/>
                <w:color w:val="auto"/>
              </w:rPr>
            </w:pPr>
            <w:r>
              <w:rPr>
                <w:rFonts w:ascii="Times New Roman" w:cs="Times New Roman" w:eastAsia="Times New Roman" w:hAnsi="Times New Roman"/>
                <w:sz w:val="13"/>
                <w:szCs w:val="13"/>
                <w:color w:val="auto"/>
              </w:rPr>
              <w:t>36,073</w:t>
            </w:r>
          </w:p>
        </w:tc>
        <w:tc>
          <w:tcPr>
            <w:tcW w:w="120" w:type="dxa"/>
            <w:vAlign w:val="bottom"/>
          </w:tcPr>
          <w:p>
            <w:pPr>
              <w:spacing w:after="0"/>
              <w:rPr>
                <w:sz w:val="14"/>
                <w:szCs w:val="14"/>
                <w:color w:val="auto"/>
              </w:rPr>
            </w:pPr>
          </w:p>
        </w:tc>
        <w:tc>
          <w:tcPr>
            <w:tcW w:w="240" w:type="dxa"/>
            <w:vAlign w:val="bottom"/>
            <w:tcBorders>
              <w:bottom w:val="single" w:sz="8" w:color="auto"/>
            </w:tcBorders>
          </w:tcPr>
          <w:p>
            <w:pPr>
              <w:jc w:val="right"/>
              <w:ind w:right="93"/>
              <w:spacing w:after="0"/>
              <w:rPr>
                <w:sz w:val="20"/>
                <w:szCs w:val="20"/>
                <w:color w:val="auto"/>
              </w:rPr>
            </w:pPr>
            <w:r>
              <w:rPr>
                <w:rFonts w:ascii="Times New Roman" w:cs="Times New Roman" w:eastAsia="Times New Roman" w:hAnsi="Times New Roman"/>
                <w:sz w:val="13"/>
                <w:szCs w:val="13"/>
                <w:color w:val="auto"/>
                <w:w w:val="91"/>
              </w:rPr>
              <w:t>$</w:t>
            </w:r>
          </w:p>
        </w:tc>
        <w:tc>
          <w:tcPr>
            <w:tcW w:w="660" w:type="dxa"/>
            <w:vAlign w:val="bottom"/>
            <w:tcBorders>
              <w:bottom w:val="single" w:sz="8" w:color="auto"/>
            </w:tcBorders>
          </w:tcPr>
          <w:p>
            <w:pPr>
              <w:jc w:val="right"/>
              <w:ind w:right="97"/>
              <w:spacing w:after="0"/>
              <w:rPr>
                <w:sz w:val="20"/>
                <w:szCs w:val="20"/>
                <w:color w:val="auto"/>
              </w:rPr>
            </w:pPr>
            <w:r>
              <w:rPr>
                <w:rFonts w:ascii="Times New Roman" w:cs="Times New Roman" w:eastAsia="Times New Roman" w:hAnsi="Times New Roman"/>
                <w:sz w:val="13"/>
                <w:szCs w:val="13"/>
                <w:color w:val="auto"/>
              </w:rPr>
              <w:t>16,526</w:t>
            </w:r>
          </w:p>
        </w:tc>
        <w:tc>
          <w:tcPr>
            <w:tcW w:w="100" w:type="dxa"/>
            <w:vAlign w:val="bottom"/>
          </w:tcPr>
          <w:p>
            <w:pPr>
              <w:spacing w:after="0"/>
              <w:rPr>
                <w:sz w:val="14"/>
                <w:szCs w:val="14"/>
                <w:color w:val="auto"/>
              </w:rPr>
            </w:pPr>
          </w:p>
        </w:tc>
        <w:tc>
          <w:tcPr>
            <w:tcW w:w="16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tcBorders>
              <w:bottom w:val="single" w:sz="8" w:color="auto"/>
            </w:tcBorders>
          </w:tcPr>
          <w:p>
            <w:pPr>
              <w:jc w:val="right"/>
              <w:ind w:right="76"/>
              <w:spacing w:after="0"/>
              <w:rPr>
                <w:sz w:val="20"/>
                <w:szCs w:val="20"/>
                <w:color w:val="auto"/>
              </w:rPr>
            </w:pPr>
            <w:r>
              <w:rPr>
                <w:rFonts w:ascii="Times New Roman" w:cs="Times New Roman" w:eastAsia="Times New Roman" w:hAnsi="Times New Roman"/>
                <w:sz w:val="13"/>
                <w:szCs w:val="13"/>
                <w:color w:val="auto"/>
              </w:rPr>
              <w:t>5</w:t>
            </w:r>
          </w:p>
        </w:tc>
        <w:tc>
          <w:tcPr>
            <w:tcW w:w="20" w:type="dxa"/>
            <w:vAlign w:val="bottom"/>
            <w:tcBorders>
              <w:bottom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bottom w:val="single" w:sz="8" w:color="auto"/>
            </w:tcBorders>
          </w:tcPr>
          <w:p>
            <w:pPr>
              <w:jc w:val="right"/>
              <w:ind w:right="17"/>
              <w:spacing w:after="0"/>
              <w:rPr>
                <w:sz w:val="20"/>
                <w:szCs w:val="20"/>
                <w:color w:val="auto"/>
              </w:rPr>
            </w:pPr>
            <w:r>
              <w:rPr>
                <w:rFonts w:ascii="Times New Roman" w:cs="Times New Roman" w:eastAsia="Times New Roman" w:hAnsi="Times New Roman"/>
                <w:sz w:val="13"/>
                <w:szCs w:val="13"/>
                <w:color w:val="auto"/>
                <w:w w:val="91"/>
              </w:rPr>
              <w:t>$</w:t>
            </w:r>
          </w:p>
        </w:tc>
        <w:tc>
          <w:tcPr>
            <w:tcW w:w="760" w:type="dxa"/>
            <w:vAlign w:val="bottom"/>
            <w:tcBorders>
              <w:bottom w:val="single" w:sz="8" w:color="auto"/>
            </w:tcBorders>
          </w:tcPr>
          <w:p>
            <w:pPr>
              <w:jc w:val="right"/>
              <w:ind w:right="116"/>
              <w:spacing w:after="0"/>
              <w:rPr>
                <w:sz w:val="20"/>
                <w:szCs w:val="20"/>
                <w:color w:val="auto"/>
              </w:rPr>
            </w:pPr>
            <w:r>
              <w:rPr>
                <w:rFonts w:ascii="Times New Roman" w:cs="Times New Roman" w:eastAsia="Times New Roman" w:hAnsi="Times New Roman"/>
                <w:sz w:val="13"/>
                <w:szCs w:val="13"/>
                <w:color w:val="auto"/>
              </w:rPr>
              <w:t>329</w:t>
            </w:r>
          </w:p>
        </w:tc>
        <w:tc>
          <w:tcPr>
            <w:tcW w:w="100" w:type="dxa"/>
            <w:vAlign w:val="bottom"/>
          </w:tcPr>
          <w:p>
            <w:pPr>
              <w:spacing w:after="0"/>
              <w:rPr>
                <w:sz w:val="14"/>
                <w:szCs w:val="14"/>
                <w:color w:val="auto"/>
              </w:rPr>
            </w:pPr>
          </w:p>
        </w:tc>
        <w:tc>
          <w:tcPr>
            <w:tcW w:w="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0"/>
                <w:szCs w:val="10"/>
                <w:color w:val="auto"/>
                <w:w w:val="79"/>
              </w:rPr>
              <w:t>$</w:t>
            </w:r>
          </w:p>
        </w:tc>
        <w:tc>
          <w:tcPr>
            <w:tcW w:w="780" w:type="dxa"/>
            <w:vAlign w:val="bottom"/>
            <w:tcBorders>
              <w:bottom w:val="single" w:sz="8" w:color="auto"/>
            </w:tcBorders>
          </w:tcPr>
          <w:p>
            <w:pPr>
              <w:jc w:val="right"/>
              <w:ind w:right="117"/>
              <w:spacing w:after="0"/>
              <w:rPr>
                <w:sz w:val="20"/>
                <w:szCs w:val="20"/>
                <w:color w:val="auto"/>
              </w:rPr>
            </w:pPr>
            <w:r>
              <w:rPr>
                <w:rFonts w:ascii="Times New Roman" w:cs="Times New Roman" w:eastAsia="Times New Roman" w:hAnsi="Times New Roman"/>
                <w:sz w:val="13"/>
                <w:szCs w:val="13"/>
                <w:color w:val="auto"/>
              </w:rPr>
              <w:t>514</w:t>
            </w:r>
          </w:p>
        </w:tc>
        <w:tc>
          <w:tcPr>
            <w:tcW w:w="100" w:type="dxa"/>
            <w:vAlign w:val="bottom"/>
          </w:tcPr>
          <w:p>
            <w:pPr>
              <w:spacing w:after="0"/>
              <w:rPr>
                <w:sz w:val="14"/>
                <w:szCs w:val="14"/>
                <w:color w:val="auto"/>
              </w:rPr>
            </w:pPr>
          </w:p>
        </w:tc>
        <w:tc>
          <w:tcPr>
            <w:tcW w:w="180" w:type="dxa"/>
            <w:vAlign w:val="bottom"/>
            <w:tcBorders>
              <w:bottom w:val="single" w:sz="8" w:color="auto"/>
            </w:tcBorders>
          </w:tcPr>
          <w:p>
            <w:pPr>
              <w:jc w:val="right"/>
              <w:ind w:right="37"/>
              <w:spacing w:after="0"/>
              <w:rPr>
                <w:sz w:val="20"/>
                <w:szCs w:val="20"/>
                <w:color w:val="auto"/>
              </w:rPr>
            </w:pPr>
            <w:r>
              <w:rPr>
                <w:rFonts w:ascii="Times New Roman" w:cs="Times New Roman" w:eastAsia="Times New Roman" w:hAnsi="Times New Roman"/>
                <w:sz w:val="13"/>
                <w:szCs w:val="13"/>
                <w:color w:val="auto"/>
                <w:w w:val="91"/>
              </w:rPr>
              <w:t>$</w:t>
            </w:r>
          </w:p>
        </w:tc>
        <w:tc>
          <w:tcPr>
            <w:tcW w:w="700" w:type="dxa"/>
            <w:vAlign w:val="bottom"/>
            <w:tcBorders>
              <w:bottom w:val="single" w:sz="8" w:color="auto"/>
            </w:tcBorders>
          </w:tcPr>
          <w:p>
            <w:pPr>
              <w:jc w:val="right"/>
              <w:ind w:right="97"/>
              <w:spacing w:after="0"/>
              <w:rPr>
                <w:sz w:val="20"/>
                <w:szCs w:val="20"/>
                <w:color w:val="auto"/>
              </w:rPr>
            </w:pPr>
            <w:r>
              <w:rPr>
                <w:rFonts w:ascii="Times New Roman" w:cs="Times New Roman" w:eastAsia="Times New Roman" w:hAnsi="Times New Roman"/>
                <w:sz w:val="13"/>
                <w:szCs w:val="13"/>
                <w:color w:val="auto"/>
              </w:rPr>
              <w:t>974</w:t>
            </w:r>
          </w:p>
        </w:tc>
        <w:tc>
          <w:tcPr>
            <w:tcW w:w="120" w:type="dxa"/>
            <w:vAlign w:val="bottom"/>
          </w:tcPr>
          <w:p>
            <w:pPr>
              <w:spacing w:after="0"/>
              <w:rPr>
                <w:sz w:val="14"/>
                <w:szCs w:val="14"/>
                <w:color w:val="auto"/>
              </w:rPr>
            </w:pPr>
          </w:p>
        </w:tc>
        <w:tc>
          <w:tcPr>
            <w:tcW w:w="180" w:type="dxa"/>
            <w:vAlign w:val="bottom"/>
            <w:tcBorders>
              <w:bottom w:val="single" w:sz="8" w:color="auto"/>
            </w:tcBorders>
          </w:tcPr>
          <w:p>
            <w:pPr>
              <w:jc w:val="right"/>
              <w:ind w:right="37"/>
              <w:spacing w:after="0"/>
              <w:rPr>
                <w:sz w:val="20"/>
                <w:szCs w:val="20"/>
                <w:color w:val="auto"/>
              </w:rPr>
            </w:pPr>
            <w:r>
              <w:rPr>
                <w:rFonts w:ascii="Times New Roman" w:cs="Times New Roman" w:eastAsia="Times New Roman" w:hAnsi="Times New Roman"/>
                <w:sz w:val="13"/>
                <w:szCs w:val="13"/>
                <w:color w:val="auto"/>
                <w:w w:val="91"/>
              </w:rPr>
              <w:t>$</w:t>
            </w:r>
          </w:p>
        </w:tc>
        <w:tc>
          <w:tcPr>
            <w:tcW w:w="740" w:type="dxa"/>
            <w:vAlign w:val="bottom"/>
            <w:tcBorders>
              <w:bottom w:val="single" w:sz="8" w:color="auto"/>
            </w:tcBorders>
          </w:tcPr>
          <w:p>
            <w:pPr>
              <w:jc w:val="right"/>
              <w:ind w:right="117"/>
              <w:spacing w:after="0"/>
              <w:rPr>
                <w:sz w:val="20"/>
                <w:szCs w:val="20"/>
                <w:color w:val="auto"/>
              </w:rPr>
            </w:pPr>
            <w:r>
              <w:rPr>
                <w:rFonts w:ascii="Times New Roman" w:cs="Times New Roman" w:eastAsia="Times New Roman" w:hAnsi="Times New Roman"/>
                <w:sz w:val="13"/>
                <w:szCs w:val="13"/>
                <w:color w:val="auto"/>
              </w:rPr>
              <w:t>54,421</w:t>
            </w:r>
          </w:p>
        </w:tc>
        <w:tc>
          <w:tcPr>
            <w:tcW w:w="0" w:type="dxa"/>
            <w:vAlign w:val="bottom"/>
          </w:tcPr>
          <w:p>
            <w:pPr>
              <w:spacing w:after="0"/>
              <w:rPr>
                <w:sz w:val="1"/>
                <w:szCs w:val="1"/>
                <w:color w:val="auto"/>
              </w:rPr>
            </w:pPr>
          </w:p>
        </w:tc>
      </w:tr>
      <w:tr>
        <w:trPr>
          <w:trHeight w:val="20"/>
        </w:trPr>
        <w:tc>
          <w:tcPr>
            <w:tcW w:w="34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9"/>
        </w:trPr>
        <w:tc>
          <w:tcPr>
            <w:tcW w:w="3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3"/>
                <w:szCs w:val="13"/>
                <w:color w:val="auto"/>
              </w:rPr>
              <w:t>Weighted average coupon as of December 31, 2021</w:t>
            </w: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3.09 %</w:t>
            </w:r>
          </w:p>
        </w:tc>
        <w:tc>
          <w:tcPr>
            <w:tcW w:w="12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2.98 %</w:t>
            </w: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4.69 %</w:t>
            </w:r>
          </w:p>
        </w:tc>
        <w:tc>
          <w:tcPr>
            <w:tcW w:w="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3.33 %</w:t>
            </w:r>
          </w:p>
        </w:tc>
        <w:tc>
          <w:tcPr>
            <w:tcW w:w="100" w:type="dxa"/>
            <w:vAlign w:val="bottom"/>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3.60 %</w:t>
            </w:r>
          </w:p>
        </w:tc>
        <w:tc>
          <w:tcPr>
            <w:tcW w:w="10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3.74 %</w:t>
            </w:r>
          </w:p>
        </w:tc>
        <w:tc>
          <w:tcPr>
            <w:tcW w:w="12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3"/>
                <w:szCs w:val="13"/>
                <w:color w:val="auto"/>
              </w:rPr>
              <w:t>3.08 %</w:t>
            </w:r>
          </w:p>
        </w:tc>
        <w:tc>
          <w:tcPr>
            <w:tcW w:w="0" w:type="dxa"/>
            <w:vAlign w:val="bottom"/>
          </w:tcPr>
          <w:p>
            <w:pPr>
              <w:spacing w:after="0"/>
              <w:rPr>
                <w:sz w:val="1"/>
                <w:szCs w:val="1"/>
                <w:color w:val="auto"/>
              </w:rPr>
            </w:pPr>
          </w:p>
        </w:tc>
      </w:tr>
      <w:tr>
        <w:trPr>
          <w:trHeight w:val="214"/>
        </w:trPr>
        <w:tc>
          <w:tcPr>
            <w:tcW w:w="3520" w:type="dxa"/>
            <w:vAlign w:val="bottom"/>
            <w:gridSpan w:val="2"/>
          </w:tcPr>
          <w:p>
            <w:pPr>
              <w:ind w:left="20"/>
              <w:spacing w:after="0"/>
              <w:rPr>
                <w:sz w:val="20"/>
                <w:szCs w:val="20"/>
                <w:color w:val="auto"/>
              </w:rPr>
            </w:pPr>
            <w:r>
              <w:rPr>
                <w:rFonts w:ascii="Times New Roman" w:cs="Times New Roman" w:eastAsia="Times New Roman" w:hAnsi="Times New Roman"/>
                <w:sz w:val="13"/>
                <w:szCs w:val="13"/>
                <w:color w:val="auto"/>
              </w:rPr>
              <w:t xml:space="preserve">Weighted average yield as of December 31, 2021 </w:t>
            </w:r>
            <w:r>
              <w:rPr>
                <w:rFonts w:ascii="Times New Roman" w:cs="Times New Roman" w:eastAsia="Times New Roman" w:hAnsi="Times New Roman"/>
                <w:sz w:val="16"/>
                <w:szCs w:val="16"/>
                <w:color w:val="auto"/>
                <w:vertAlign w:val="superscript"/>
              </w:rPr>
              <w:t>1</w:t>
            </w: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2.38 %</w:t>
            </w:r>
          </w:p>
        </w:tc>
        <w:tc>
          <w:tcPr>
            <w:tcW w:w="1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2.29 %</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2.54 %</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5.68 %</w:t>
            </w:r>
          </w:p>
        </w:tc>
        <w:tc>
          <w:tcPr>
            <w:tcW w:w="1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4.28 %</w:t>
            </w: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4.47 %</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3"/>
                <w:szCs w:val="13"/>
                <w:color w:val="auto"/>
              </w:rPr>
              <w:t>2.43 %</w:t>
            </w: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 w:lineRule="exact"/>
        <w:rPr>
          <w:sz w:val="20"/>
          <w:szCs w:val="20"/>
          <w:color w:val="auto"/>
        </w:rPr>
      </w:pPr>
    </w:p>
    <w:p>
      <w:pPr>
        <w:ind w:left="660" w:hanging="328"/>
        <w:spacing w:after="0"/>
        <w:tabs>
          <w:tab w:leader="none" w:pos="660" w:val="left"/>
        </w:tabs>
        <w:numPr>
          <w:ilvl w:val="0"/>
          <w:numId w:val="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Incorporates a weighted average future constant prepayment rate assumption of 10.9% based on forward rates as of December 31, 2021.</w:t>
      </w:r>
    </w:p>
    <w:p>
      <w:pPr>
        <w:spacing w:after="0" w:line="165"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As of March 31, 2022 and December 31, 2021, our investments in CRT and non-Agency securities had the following credit ratings (in millions):</w:t>
      </w:r>
    </w:p>
    <w:p>
      <w:pPr>
        <w:spacing w:after="0" w:line="43" w:lineRule="exact"/>
        <w:rPr>
          <w:sz w:val="20"/>
          <w:szCs w:val="20"/>
          <w:color w:val="auto"/>
        </w:rPr>
      </w:pPr>
    </w:p>
    <w:tbl>
      <w:tblPr>
        <w:tblLayout w:type="fixed"/>
        <w:tblInd w:w="20" w:type="dxa"/>
        <w:tblCellMar>
          <w:top w:w="0" w:type="dxa"/>
          <w:left w:w="0" w:type="dxa"/>
          <w:bottom w:w="0" w:type="dxa"/>
          <w:right w:w="0" w:type="dxa"/>
        </w:tblCellMar>
      </w:tblPr>
      <w:tr>
        <w:trPr>
          <w:trHeight w:val="190"/>
        </w:trPr>
        <w:tc>
          <w:tcPr>
            <w:tcW w:w="38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0" w:type="dxa"/>
            <w:vAlign w:val="bottom"/>
            <w:gridSpan w:val="3"/>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32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20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406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 xml:space="preserve">CRT and Non-Agency Security Credit Ratings </w:t>
            </w:r>
            <w:r>
              <w:rPr>
                <w:rFonts w:ascii="Times New Roman" w:cs="Times New Roman" w:eastAsia="Times New Roman" w:hAnsi="Times New Roman"/>
                <w:sz w:val="18"/>
                <w:szCs w:val="18"/>
                <w:b w:val="1"/>
                <w:bCs w:val="1"/>
                <w:color w:val="auto"/>
                <w:vertAlign w:val="superscript"/>
              </w:rPr>
              <w:t>1</w:t>
            </w:r>
          </w:p>
        </w:tc>
        <w:tc>
          <w:tcPr>
            <w:tcW w:w="240" w:type="dxa"/>
            <w:vAlign w:val="bottom"/>
          </w:tcPr>
          <w:p>
            <w:pPr>
              <w:spacing w:after="0"/>
              <w:rPr>
                <w:sz w:val="2"/>
                <w:szCs w:val="2"/>
                <w:color w:val="auto"/>
              </w:rPr>
            </w:pPr>
          </w:p>
        </w:tc>
        <w:tc>
          <w:tcPr>
            <w:tcW w:w="96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260" w:type="dxa"/>
            <w:vAlign w:val="bottom"/>
          </w:tcPr>
          <w:p>
            <w:pPr>
              <w:spacing w:after="0"/>
              <w:rPr>
                <w:sz w:val="2"/>
                <w:szCs w:val="2"/>
                <w:color w:val="auto"/>
              </w:rPr>
            </w:pPr>
          </w:p>
        </w:tc>
        <w:tc>
          <w:tcPr>
            <w:tcW w:w="840" w:type="dxa"/>
            <w:vAlign w:val="bottom"/>
          </w:tcPr>
          <w:p>
            <w:pPr>
              <w:spacing w:after="0"/>
              <w:rPr>
                <w:sz w:val="2"/>
                <w:szCs w:val="2"/>
                <w:color w:val="auto"/>
              </w:rPr>
            </w:pPr>
          </w:p>
        </w:tc>
        <w:tc>
          <w:tcPr>
            <w:tcW w:w="1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8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4060" w:type="dxa"/>
            <w:vAlign w:val="bottom"/>
            <w:gridSpan w:val="2"/>
            <w:vMerge w:val="continue"/>
          </w:tcPr>
          <w:p>
            <w:pPr>
              <w:spacing w:after="0"/>
              <w:rPr>
                <w:sz w:val="17"/>
                <w:szCs w:val="17"/>
                <w:color w:val="auto"/>
              </w:rPr>
            </w:pPr>
          </w:p>
        </w:tc>
        <w:tc>
          <w:tcPr>
            <w:tcW w:w="240" w:type="dxa"/>
            <w:vAlign w:val="bottom"/>
            <w:tcBorders>
              <w:top w:val="single" w:sz="8" w:color="auto"/>
            </w:tcBorders>
          </w:tcPr>
          <w:p>
            <w:pPr>
              <w:spacing w:after="0"/>
              <w:rPr>
                <w:sz w:val="17"/>
                <w:szCs w:val="17"/>
                <w:color w:val="auto"/>
              </w:rPr>
            </w:pPr>
          </w:p>
        </w:tc>
        <w:tc>
          <w:tcPr>
            <w:tcW w:w="960" w:type="dxa"/>
            <w:vAlign w:val="bottom"/>
            <w:tcBorders>
              <w:top w:val="single" w:sz="8" w:color="auto"/>
            </w:tcBorders>
            <w:gridSpan w:val="2"/>
          </w:tcPr>
          <w:p>
            <w:pPr>
              <w:ind w:left="140"/>
              <w:spacing w:after="0"/>
              <w:rPr>
                <w:sz w:val="20"/>
                <w:szCs w:val="20"/>
                <w:color w:val="auto"/>
              </w:rPr>
            </w:pPr>
            <w:r>
              <w:rPr>
                <w:rFonts w:ascii="Times New Roman" w:cs="Times New Roman" w:eastAsia="Times New Roman" w:hAnsi="Times New Roman"/>
                <w:sz w:val="14"/>
                <w:szCs w:val="14"/>
                <w:b w:val="1"/>
                <w:bCs w:val="1"/>
                <w:color w:val="auto"/>
              </w:rPr>
              <w:t>CRT</w:t>
            </w:r>
          </w:p>
        </w:tc>
        <w:tc>
          <w:tcPr>
            <w:tcW w:w="20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w w:val="98"/>
              </w:rPr>
              <w:t>RMBS</w:t>
            </w:r>
          </w:p>
        </w:tc>
        <w:tc>
          <w:tcPr>
            <w:tcW w:w="20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CMBS</w:t>
            </w:r>
          </w:p>
        </w:tc>
        <w:tc>
          <w:tcPr>
            <w:tcW w:w="160" w:type="dxa"/>
            <w:vAlign w:val="bottom"/>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840" w:type="dxa"/>
            <w:vAlign w:val="bottom"/>
            <w:tcBorders>
              <w:top w:val="single" w:sz="8" w:color="auto"/>
            </w:tcBorders>
          </w:tcPr>
          <w:p>
            <w:pPr>
              <w:jc w:val="right"/>
              <w:ind w:right="328"/>
              <w:spacing w:after="0"/>
              <w:rPr>
                <w:sz w:val="20"/>
                <w:szCs w:val="20"/>
                <w:color w:val="auto"/>
              </w:rPr>
            </w:pPr>
            <w:r>
              <w:rPr>
                <w:rFonts w:ascii="Times New Roman" w:cs="Times New Roman" w:eastAsia="Times New Roman" w:hAnsi="Times New Roman"/>
                <w:sz w:val="14"/>
                <w:szCs w:val="14"/>
                <w:b w:val="1"/>
                <w:bCs w:val="1"/>
                <w:color w:val="auto"/>
              </w:rPr>
              <w:t>CRT</w:t>
            </w:r>
          </w:p>
        </w:tc>
        <w:tc>
          <w:tcPr>
            <w:tcW w:w="120" w:type="dxa"/>
            <w:vAlign w:val="bottom"/>
            <w:tcBorders>
              <w:top w:val="single" w:sz="8" w:color="auto"/>
            </w:tcBorders>
          </w:tcPr>
          <w:p>
            <w:pPr>
              <w:spacing w:after="0"/>
              <w:rPr>
                <w:sz w:val="17"/>
                <w:szCs w:val="17"/>
                <w:color w:val="auto"/>
              </w:rPr>
            </w:pPr>
          </w:p>
        </w:tc>
        <w:tc>
          <w:tcPr>
            <w:tcW w:w="200" w:type="dxa"/>
            <w:vAlign w:val="bottom"/>
            <w:tcBorders>
              <w:top w:val="single" w:sz="8" w:color="auto"/>
            </w:tcBorders>
          </w:tcPr>
          <w:p>
            <w:pPr>
              <w:spacing w:after="0"/>
              <w:rPr>
                <w:sz w:val="17"/>
                <w:szCs w:val="17"/>
                <w:color w:val="auto"/>
              </w:rPr>
            </w:pPr>
          </w:p>
        </w:tc>
        <w:tc>
          <w:tcPr>
            <w:tcW w:w="1000" w:type="dxa"/>
            <w:vAlign w:val="bottom"/>
            <w:tcBorders>
              <w:top w:val="single" w:sz="8" w:color="auto"/>
            </w:tcBorders>
            <w:gridSpan w:val="2"/>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w w:val="98"/>
              </w:rPr>
              <w:t>RMBS</w:t>
            </w:r>
          </w:p>
        </w:tc>
        <w:tc>
          <w:tcPr>
            <w:tcW w:w="200" w:type="dxa"/>
            <w:vAlign w:val="bottom"/>
            <w:tcBorders>
              <w:top w:val="single" w:sz="8" w:color="auto"/>
            </w:tcBorders>
          </w:tcPr>
          <w:p>
            <w:pPr>
              <w:spacing w:after="0"/>
              <w:rPr>
                <w:sz w:val="17"/>
                <w:szCs w:val="17"/>
                <w:color w:val="auto"/>
              </w:rPr>
            </w:pPr>
          </w:p>
        </w:tc>
        <w:tc>
          <w:tcPr>
            <w:tcW w:w="880" w:type="dxa"/>
            <w:vAlign w:val="bottom"/>
            <w:tcBorders>
              <w:top w:val="single" w:sz="8" w:color="auto"/>
            </w:tcBorders>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CMBS</w:t>
            </w:r>
          </w:p>
        </w:tc>
        <w:tc>
          <w:tcPr>
            <w:tcW w:w="0" w:type="dxa"/>
            <w:vAlign w:val="bottom"/>
          </w:tcPr>
          <w:p>
            <w:pPr>
              <w:spacing w:after="0"/>
              <w:rPr>
                <w:sz w:val="1"/>
                <w:szCs w:val="1"/>
                <w:color w:val="auto"/>
              </w:rPr>
            </w:pPr>
          </w:p>
        </w:tc>
      </w:tr>
      <w:tr>
        <w:trPr>
          <w:trHeight w:val="196"/>
        </w:trPr>
        <w:tc>
          <w:tcPr>
            <w:tcW w:w="38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AAA</w:t>
            </w:r>
          </w:p>
        </w:tc>
        <w:tc>
          <w:tcPr>
            <w:tcW w:w="18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174</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w:t>
            </w:r>
          </w:p>
        </w:tc>
        <w:tc>
          <w:tcPr>
            <w:tcW w:w="16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164</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w:t>
            </w:r>
          </w:p>
        </w:tc>
        <w:tc>
          <w:tcPr>
            <w:tcW w:w="0" w:type="dxa"/>
            <w:vAlign w:val="bottom"/>
          </w:tcPr>
          <w:p>
            <w:pPr>
              <w:spacing w:after="0"/>
              <w:rPr>
                <w:sz w:val="1"/>
                <w:szCs w:val="1"/>
                <w:color w:val="auto"/>
              </w:rPr>
            </w:pPr>
          </w:p>
        </w:tc>
      </w:tr>
      <w:tr>
        <w:trPr>
          <w:trHeight w:val="195"/>
        </w:trPr>
        <w:tc>
          <w:tcPr>
            <w:tcW w:w="406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AA</w:t>
            </w:r>
          </w:p>
        </w:tc>
        <w:tc>
          <w:tcPr>
            <w:tcW w:w="240" w:type="dxa"/>
            <w:vAlign w:val="bottom"/>
          </w:tcPr>
          <w:p>
            <w:pPr>
              <w:spacing w:after="0"/>
              <w:rPr>
                <w:sz w:val="16"/>
                <w:szCs w:val="16"/>
                <w:color w:val="auto"/>
              </w:rPr>
            </w:pPr>
          </w:p>
        </w:tc>
        <w:tc>
          <w:tcPr>
            <w:tcW w:w="9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97</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111</w:t>
            </w:r>
          </w:p>
        </w:tc>
        <w:tc>
          <w:tcPr>
            <w:tcW w:w="0" w:type="dxa"/>
            <w:vAlign w:val="bottom"/>
          </w:tcPr>
          <w:p>
            <w:pPr>
              <w:spacing w:after="0"/>
              <w:rPr>
                <w:sz w:val="1"/>
                <w:szCs w:val="1"/>
                <w:color w:val="auto"/>
              </w:rPr>
            </w:pPr>
          </w:p>
        </w:tc>
      </w:tr>
      <w:tr>
        <w:trPr>
          <w:trHeight w:val="210"/>
        </w:trPr>
        <w:tc>
          <w:tcPr>
            <w:tcW w:w="40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w:t>
            </w:r>
          </w:p>
        </w:tc>
        <w:tc>
          <w:tcPr>
            <w:tcW w:w="0" w:type="dxa"/>
            <w:vAlign w:val="bottom"/>
          </w:tcPr>
          <w:p>
            <w:pPr>
              <w:spacing w:after="0"/>
              <w:rPr>
                <w:sz w:val="1"/>
                <w:szCs w:val="1"/>
                <w:color w:val="auto"/>
              </w:rPr>
            </w:pPr>
          </w:p>
        </w:tc>
      </w:tr>
      <w:tr>
        <w:trPr>
          <w:trHeight w:val="195"/>
        </w:trPr>
        <w:tc>
          <w:tcPr>
            <w:tcW w:w="406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BBB</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38</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74</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85</w:t>
            </w:r>
          </w:p>
        </w:tc>
        <w:tc>
          <w:tcPr>
            <w:tcW w:w="0" w:type="dxa"/>
            <w:vAlign w:val="bottom"/>
          </w:tcPr>
          <w:p>
            <w:pPr>
              <w:spacing w:after="0"/>
              <w:rPr>
                <w:sz w:val="1"/>
                <w:szCs w:val="1"/>
                <w:color w:val="auto"/>
              </w:rPr>
            </w:pPr>
          </w:p>
        </w:tc>
      </w:tr>
      <w:tr>
        <w:trPr>
          <w:trHeight w:val="210"/>
        </w:trPr>
        <w:tc>
          <w:tcPr>
            <w:tcW w:w="40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BB</w:t>
            </w:r>
          </w:p>
        </w:tc>
        <w:tc>
          <w:tcPr>
            <w:tcW w:w="2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329</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105</w:t>
            </w:r>
          </w:p>
        </w:tc>
        <w:tc>
          <w:tcPr>
            <w:tcW w:w="160" w:type="dxa"/>
            <w:vAlign w:val="bottom"/>
            <w:shd w:val="clear" w:color="auto" w:fill="CCEEFF"/>
          </w:tcPr>
          <w:p>
            <w:pPr>
              <w:spacing w:after="0"/>
              <w:rPr>
                <w:sz w:val="18"/>
                <w:szCs w:val="18"/>
                <w:color w:val="auto"/>
              </w:rPr>
            </w:pPr>
          </w:p>
        </w:tc>
        <w:tc>
          <w:tcPr>
            <w:tcW w:w="26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126</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126</w:t>
            </w:r>
          </w:p>
        </w:tc>
        <w:tc>
          <w:tcPr>
            <w:tcW w:w="0" w:type="dxa"/>
            <w:vAlign w:val="bottom"/>
          </w:tcPr>
          <w:p>
            <w:pPr>
              <w:spacing w:after="0"/>
              <w:rPr>
                <w:sz w:val="1"/>
                <w:szCs w:val="1"/>
                <w:color w:val="auto"/>
              </w:rPr>
            </w:pPr>
          </w:p>
        </w:tc>
      </w:tr>
      <w:tr>
        <w:trPr>
          <w:trHeight w:val="195"/>
        </w:trPr>
        <w:tc>
          <w:tcPr>
            <w:tcW w:w="406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B</w:t>
            </w:r>
          </w:p>
        </w:tc>
        <w:tc>
          <w:tcPr>
            <w:tcW w:w="2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192</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123</w:t>
            </w:r>
          </w:p>
        </w:tc>
        <w:tc>
          <w:tcPr>
            <w:tcW w:w="16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0" w:type="dxa"/>
            <w:vAlign w:val="bottom"/>
          </w:tcPr>
          <w:p>
            <w:pPr>
              <w:spacing w:after="0"/>
              <w:rPr>
                <w:sz w:val="1"/>
                <w:szCs w:val="1"/>
                <w:color w:val="auto"/>
              </w:rPr>
            </w:pPr>
          </w:p>
        </w:tc>
      </w:tr>
      <w:tr>
        <w:trPr>
          <w:trHeight w:val="210"/>
        </w:trPr>
        <w:tc>
          <w:tcPr>
            <w:tcW w:w="40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Not Rated</w:t>
            </w:r>
          </w:p>
        </w:tc>
        <w:tc>
          <w:tcPr>
            <w:tcW w:w="24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316</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w:t>
            </w:r>
          </w:p>
        </w:tc>
        <w:tc>
          <w:tcPr>
            <w:tcW w:w="16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429</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12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w:t>
            </w:r>
          </w:p>
        </w:tc>
        <w:tc>
          <w:tcPr>
            <w:tcW w:w="0" w:type="dxa"/>
            <w:vAlign w:val="bottom"/>
          </w:tcPr>
          <w:p>
            <w:pPr>
              <w:spacing w:after="0"/>
              <w:rPr>
                <w:sz w:val="1"/>
                <w:szCs w:val="1"/>
                <w:color w:val="auto"/>
              </w:rPr>
            </w:pPr>
          </w:p>
        </w:tc>
      </w:tr>
      <w:tr>
        <w:trPr>
          <w:trHeight w:val="196"/>
        </w:trPr>
        <w:tc>
          <w:tcPr>
            <w:tcW w:w="406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Total</w:t>
            </w:r>
          </w:p>
        </w:tc>
        <w:tc>
          <w:tcPr>
            <w:tcW w:w="24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885</w:t>
            </w:r>
          </w:p>
        </w:tc>
        <w:tc>
          <w:tcPr>
            <w:tcW w:w="120" w:type="dxa"/>
            <w:vAlign w:val="bottom"/>
          </w:tcPr>
          <w:p>
            <w:pPr>
              <w:spacing w:after="0"/>
              <w:rPr>
                <w:sz w:val="17"/>
                <w:szCs w:val="17"/>
                <w:color w:val="auto"/>
              </w:rPr>
            </w:pPr>
          </w:p>
        </w:tc>
        <w:tc>
          <w:tcPr>
            <w:tcW w:w="2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316</w:t>
            </w:r>
          </w:p>
        </w:tc>
        <w:tc>
          <w:tcPr>
            <w:tcW w:w="120" w:type="dxa"/>
            <w:vAlign w:val="bottom"/>
          </w:tcPr>
          <w:p>
            <w:pPr>
              <w:spacing w:after="0"/>
              <w:rPr>
                <w:sz w:val="17"/>
                <w:szCs w:val="17"/>
                <w:color w:val="auto"/>
              </w:rPr>
            </w:pPr>
          </w:p>
        </w:tc>
        <w:tc>
          <w:tcPr>
            <w:tcW w:w="2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488</w:t>
            </w:r>
          </w:p>
        </w:tc>
        <w:tc>
          <w:tcPr>
            <w:tcW w:w="160" w:type="dxa"/>
            <w:vAlign w:val="bottom"/>
          </w:tcPr>
          <w:p>
            <w:pPr>
              <w:spacing w:after="0"/>
              <w:rPr>
                <w:sz w:val="17"/>
                <w:szCs w:val="17"/>
                <w:color w:val="auto"/>
              </w:rPr>
            </w:pPr>
          </w:p>
        </w:tc>
        <w:tc>
          <w:tcPr>
            <w:tcW w:w="26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974</w:t>
            </w:r>
          </w:p>
        </w:tc>
        <w:tc>
          <w:tcPr>
            <w:tcW w:w="120" w:type="dxa"/>
            <w:vAlign w:val="bottom"/>
          </w:tcPr>
          <w:p>
            <w:pPr>
              <w:spacing w:after="0"/>
              <w:rPr>
                <w:sz w:val="17"/>
                <w:szCs w:val="17"/>
                <w:color w:val="auto"/>
              </w:rPr>
            </w:pPr>
          </w:p>
        </w:tc>
        <w:tc>
          <w:tcPr>
            <w:tcW w:w="2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329</w:t>
            </w:r>
          </w:p>
        </w:tc>
        <w:tc>
          <w:tcPr>
            <w:tcW w:w="120" w:type="dxa"/>
            <w:vAlign w:val="bottom"/>
          </w:tcPr>
          <w:p>
            <w:pPr>
              <w:spacing w:after="0"/>
              <w:rPr>
                <w:sz w:val="17"/>
                <w:szCs w:val="17"/>
                <w:color w:val="auto"/>
              </w:rPr>
            </w:pPr>
          </w:p>
        </w:tc>
        <w:tc>
          <w:tcPr>
            <w:tcW w:w="2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514</w:t>
            </w:r>
          </w:p>
        </w:tc>
        <w:tc>
          <w:tcPr>
            <w:tcW w:w="0" w:type="dxa"/>
            <w:vAlign w:val="bottom"/>
          </w:tcPr>
          <w:p>
            <w:pPr>
              <w:spacing w:after="0"/>
              <w:rPr>
                <w:sz w:val="1"/>
                <w:szCs w:val="1"/>
                <w:color w:val="auto"/>
              </w:rPr>
            </w:pPr>
          </w:p>
        </w:tc>
      </w:tr>
      <w:tr>
        <w:trPr>
          <w:trHeight w:val="21"/>
        </w:trPr>
        <w:tc>
          <w:tcPr>
            <w:tcW w:w="38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right="20" w:hanging="328"/>
        <w:spacing w:after="0" w:line="260" w:lineRule="auto"/>
        <w:tabs>
          <w:tab w:leader="none" w:pos="660" w:val="left"/>
        </w:tabs>
        <w:numPr>
          <w:ilvl w:val="0"/>
          <w:numId w:val="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Represents the lowest of Standard and Poor's ("S&amp;P"), Moody's, Fitch, DBRS, Kroll Bond Rating Agency ("KBRA") and Morningstar credit ratings, stated in terms of the S&amp;P equivalent rating as of each date.</w:t>
      </w:r>
    </w:p>
    <w:p>
      <w:pPr>
        <w:spacing w:after="0" w:line="141"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Our CRT securities reference the performance of loans underlying Agency RMBS issued by Fannie Mae or Freddie Mac, which were subject to their underwriting standards.</w:t>
      </w:r>
    </w:p>
    <w:p>
      <w:pPr>
        <w:spacing w:after="0" w:line="108"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color w:val="auto"/>
        </w:rPr>
        <w:t>The actual maturities of our investment securities are generally shorter than their stated contractual maturities. The actual maturities of our Agency and high credit quality non-Agency RMBS are primarily affected by principal prepayments and to a lesser degree the contractual lives of the underlying mortgages and periodic contractual principal repayments. The actual maturities of our credit-oriented investments are primarily impacted by their contractual lives and default and loss recovery rates. As of March 31, 2022 and December 31, 2021, the weighted average expected constant prepayment rate ("CPR") over the remaining life of our Agency and high credit quality non-Agency RMBS investment portfolio was 7.9% and 10.9%, respectively. Our estimates can differ materially for different securities and thus our individual holdings have a wide range of projected CPRs. The following table summarizes our investments as of March 31, 2022 and December 31, 2021 according to their estimated weighted average life classification (dollars in millions):</w:t>
      </w: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5" w:right="3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190"/>
        </w:trPr>
        <w:tc>
          <w:tcPr>
            <w:tcW w:w="26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980" w:type="dxa"/>
            <w:vAlign w:val="bottom"/>
            <w:gridSpan w:val="4"/>
          </w:tcPr>
          <w:p>
            <w:pPr>
              <w:ind w:left="46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0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980" w:type="dxa"/>
            <w:vAlign w:val="bottom"/>
            <w:gridSpan w:val="4"/>
          </w:tcPr>
          <w:p>
            <w:pPr>
              <w:ind w:left="34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6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00" w:type="dxa"/>
            <w:vAlign w:val="bottom"/>
          </w:tcPr>
          <w:p>
            <w:pPr>
              <w:spacing w:after="0"/>
              <w:rPr>
                <w:sz w:val="2"/>
                <w:szCs w:val="2"/>
                <w:color w:val="auto"/>
              </w:rPr>
            </w:pPr>
          </w:p>
        </w:tc>
        <w:tc>
          <w:tcPr>
            <w:tcW w:w="7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180" w:type="dxa"/>
            <w:vAlign w:val="bottom"/>
            <w:gridSpan w:val="2"/>
          </w:tcPr>
          <w:p>
            <w:pPr>
              <w:spacing w:after="0"/>
              <w:rPr>
                <w:sz w:val="2"/>
                <w:szCs w:val="2"/>
                <w:color w:val="auto"/>
              </w:rPr>
            </w:pPr>
          </w:p>
        </w:tc>
        <w:tc>
          <w:tcPr>
            <w:tcW w:w="10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8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40" w:type="dxa"/>
            <w:vAlign w:val="bottom"/>
            <w:gridSpan w:val="2"/>
          </w:tcPr>
          <w:p>
            <w:pPr>
              <w:spacing w:after="0"/>
              <w:rPr>
                <w:sz w:val="2"/>
                <w:szCs w:val="2"/>
                <w:color w:val="auto"/>
              </w:rPr>
            </w:pPr>
          </w:p>
        </w:tc>
        <w:tc>
          <w:tcPr>
            <w:tcW w:w="10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27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Estimated Weighted Average Life of</w:t>
            </w:r>
          </w:p>
        </w:tc>
        <w:tc>
          <w:tcPr>
            <w:tcW w:w="100" w:type="dxa"/>
            <w:vAlign w:val="bottom"/>
            <w:tcBorders>
              <w:top w:val="single" w:sz="8" w:color="auto"/>
            </w:tcBorders>
          </w:tcPr>
          <w:p>
            <w:pPr>
              <w:spacing w:after="0"/>
              <w:rPr>
                <w:sz w:val="11"/>
                <w:szCs w:val="11"/>
                <w:color w:val="auto"/>
              </w:rPr>
            </w:pPr>
          </w:p>
        </w:tc>
        <w:tc>
          <w:tcPr>
            <w:tcW w:w="78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040" w:type="dxa"/>
            <w:vAlign w:val="bottom"/>
            <w:tcBorders>
              <w:top w:val="single" w:sz="8" w:color="auto"/>
            </w:tcBorders>
            <w:gridSpan w:val="2"/>
          </w:tcPr>
          <w:p>
            <w:pPr>
              <w:jc w:val="center"/>
              <w:ind w:right="100"/>
              <w:spacing w:after="0" w:line="131" w:lineRule="exact"/>
              <w:rPr>
                <w:sz w:val="20"/>
                <w:szCs w:val="20"/>
                <w:color w:val="auto"/>
              </w:rPr>
            </w:pPr>
            <w:r>
              <w:rPr>
                <w:rFonts w:ascii="Times New Roman" w:cs="Times New Roman" w:eastAsia="Times New Roman" w:hAnsi="Times New Roman"/>
                <w:sz w:val="14"/>
                <w:szCs w:val="14"/>
                <w:b w:val="1"/>
                <w:bCs w:val="1"/>
                <w:color w:val="auto"/>
              </w:rPr>
              <w:t>Weighted</w:t>
            </w:r>
          </w:p>
        </w:tc>
        <w:tc>
          <w:tcPr>
            <w:tcW w:w="100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Weighted</w:t>
            </w:r>
          </w:p>
        </w:tc>
        <w:tc>
          <w:tcPr>
            <w:tcW w:w="180" w:type="dxa"/>
            <w:vAlign w:val="bottom"/>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8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040" w:type="dxa"/>
            <w:vAlign w:val="bottom"/>
            <w:tcBorders>
              <w:top w:val="single" w:sz="8" w:color="auto"/>
            </w:tcBorders>
            <w:gridSpan w:val="2"/>
          </w:tcPr>
          <w:p>
            <w:pPr>
              <w:jc w:val="center"/>
              <w:ind w:right="100"/>
              <w:spacing w:after="0" w:line="131" w:lineRule="exact"/>
              <w:rPr>
                <w:sz w:val="20"/>
                <w:szCs w:val="20"/>
                <w:color w:val="auto"/>
              </w:rPr>
            </w:pPr>
            <w:r>
              <w:rPr>
                <w:rFonts w:ascii="Times New Roman" w:cs="Times New Roman" w:eastAsia="Times New Roman" w:hAnsi="Times New Roman"/>
                <w:sz w:val="14"/>
                <w:szCs w:val="14"/>
                <w:b w:val="1"/>
                <w:bCs w:val="1"/>
                <w:color w:val="auto"/>
              </w:rPr>
              <w:t>Weighted</w:t>
            </w:r>
          </w:p>
        </w:tc>
        <w:tc>
          <w:tcPr>
            <w:tcW w:w="100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Weighted</w:t>
            </w:r>
          </w:p>
        </w:tc>
        <w:tc>
          <w:tcPr>
            <w:tcW w:w="0" w:type="dxa"/>
            <w:vAlign w:val="bottom"/>
          </w:tcPr>
          <w:p>
            <w:pPr>
              <w:spacing w:after="0"/>
              <w:rPr>
                <w:sz w:val="1"/>
                <w:szCs w:val="1"/>
                <w:color w:val="auto"/>
              </w:rPr>
            </w:pPr>
          </w:p>
        </w:tc>
      </w:tr>
      <w:tr>
        <w:trPr>
          <w:trHeight w:val="146"/>
        </w:trPr>
        <w:tc>
          <w:tcPr>
            <w:tcW w:w="274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2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40" w:type="dxa"/>
            <w:vAlign w:val="bottom"/>
            <w:gridSpan w:val="2"/>
          </w:tcPr>
          <w:p>
            <w:pPr>
              <w:jc w:val="center"/>
              <w:ind w:right="100"/>
              <w:spacing w:after="0" w:line="146"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180" w:type="dxa"/>
            <w:vAlign w:val="bottom"/>
            <w:gridSpan w:val="2"/>
          </w:tcPr>
          <w:p>
            <w:pPr>
              <w:jc w:val="center"/>
              <w:ind w:right="180"/>
              <w:spacing w:after="0" w:line="146"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00" w:type="dxa"/>
            <w:vAlign w:val="bottom"/>
          </w:tcPr>
          <w:p>
            <w:pPr>
              <w:spacing w:after="0"/>
              <w:rPr>
                <w:sz w:val="12"/>
                <w:szCs w:val="12"/>
                <w:color w:val="auto"/>
              </w:rPr>
            </w:pPr>
          </w:p>
        </w:tc>
        <w:tc>
          <w:tcPr>
            <w:tcW w:w="90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40" w:type="dxa"/>
            <w:vAlign w:val="bottom"/>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1040" w:type="dxa"/>
            <w:vAlign w:val="bottom"/>
            <w:gridSpan w:val="2"/>
          </w:tcPr>
          <w:p>
            <w:pPr>
              <w:jc w:val="center"/>
              <w:ind w:right="100"/>
              <w:spacing w:after="0" w:line="146"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000" w:type="dxa"/>
            <w:vAlign w:val="bottom"/>
          </w:tcPr>
          <w:p>
            <w:pPr>
              <w:jc w:val="center"/>
              <w:spacing w:after="0" w:line="146" w:lineRule="exact"/>
              <w:rPr>
                <w:sz w:val="20"/>
                <w:szCs w:val="20"/>
                <w:color w:val="auto"/>
              </w:rPr>
            </w:pPr>
            <w:r>
              <w:rPr>
                <w:rFonts w:ascii="Times New Roman" w:cs="Times New Roman" w:eastAsia="Times New Roman" w:hAnsi="Times New Roman"/>
                <w:sz w:val="14"/>
                <w:szCs w:val="14"/>
                <w:b w:val="1"/>
                <w:bCs w:val="1"/>
                <w:color w:val="auto"/>
              </w:rPr>
              <w:t>Average</w:t>
            </w:r>
          </w:p>
        </w:tc>
        <w:tc>
          <w:tcPr>
            <w:tcW w:w="0" w:type="dxa"/>
            <w:vAlign w:val="bottom"/>
          </w:tcPr>
          <w:p>
            <w:pPr>
              <w:spacing w:after="0"/>
              <w:rPr>
                <w:sz w:val="1"/>
                <w:szCs w:val="1"/>
                <w:color w:val="auto"/>
              </w:rPr>
            </w:pPr>
          </w:p>
        </w:tc>
      </w:tr>
      <w:tr>
        <w:trPr>
          <w:trHeight w:val="198"/>
        </w:trPr>
        <w:tc>
          <w:tcPr>
            <w:tcW w:w="27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Investment Securities</w:t>
            </w:r>
          </w:p>
        </w:tc>
        <w:tc>
          <w:tcPr>
            <w:tcW w:w="100" w:type="dxa"/>
            <w:vAlign w:val="bottom"/>
          </w:tcPr>
          <w:p>
            <w:pPr>
              <w:spacing w:after="0"/>
              <w:rPr>
                <w:sz w:val="17"/>
                <w:szCs w:val="17"/>
                <w:color w:val="auto"/>
              </w:rPr>
            </w:pPr>
          </w:p>
        </w:tc>
        <w:tc>
          <w:tcPr>
            <w:tcW w:w="90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04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Coupon</w:t>
            </w:r>
          </w:p>
        </w:tc>
        <w:tc>
          <w:tcPr>
            <w:tcW w:w="118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Yield</w:t>
            </w:r>
          </w:p>
        </w:tc>
        <w:tc>
          <w:tcPr>
            <w:tcW w:w="100" w:type="dxa"/>
            <w:vAlign w:val="bottom"/>
          </w:tcPr>
          <w:p>
            <w:pPr>
              <w:spacing w:after="0"/>
              <w:rPr>
                <w:sz w:val="17"/>
                <w:szCs w:val="17"/>
                <w:color w:val="auto"/>
              </w:rPr>
            </w:pPr>
          </w:p>
        </w:tc>
        <w:tc>
          <w:tcPr>
            <w:tcW w:w="90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940" w:type="dxa"/>
            <w:vAlign w:val="bottom"/>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04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Coupon</w:t>
            </w:r>
          </w:p>
        </w:tc>
        <w:tc>
          <w:tcPr>
            <w:tcW w:w="10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Yield</w:t>
            </w:r>
          </w:p>
        </w:tc>
        <w:tc>
          <w:tcPr>
            <w:tcW w:w="0" w:type="dxa"/>
            <w:vAlign w:val="bottom"/>
          </w:tcPr>
          <w:p>
            <w:pPr>
              <w:spacing w:after="0"/>
              <w:rPr>
                <w:sz w:val="1"/>
                <w:szCs w:val="1"/>
                <w:color w:val="auto"/>
              </w:rPr>
            </w:pPr>
          </w:p>
        </w:tc>
      </w:tr>
      <w:tr>
        <w:trPr>
          <w:trHeight w:val="201"/>
        </w:trPr>
        <w:tc>
          <w:tcPr>
            <w:tcW w:w="26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 3 years</w:t>
            </w:r>
          </w:p>
        </w:tc>
        <w:tc>
          <w:tcPr>
            <w:tcW w:w="1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850</w:t>
            </w: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852</w:t>
            </w:r>
          </w:p>
        </w:tc>
        <w:tc>
          <w:tcPr>
            <w:tcW w:w="100" w:type="dxa"/>
            <w:vAlign w:val="bottom"/>
            <w:tcBorders>
              <w:top w:val="single" w:sz="8" w:color="CCEEFF"/>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3.87%</w:t>
            </w:r>
          </w:p>
        </w:tc>
        <w:tc>
          <w:tcPr>
            <w:tcW w:w="100" w:type="dxa"/>
            <w:vAlign w:val="bottom"/>
            <w:tcBorders>
              <w:top w:val="single" w:sz="8" w:color="CCEEFF"/>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4.48%</w:t>
            </w:r>
          </w:p>
        </w:tc>
        <w:tc>
          <w:tcPr>
            <w:tcW w:w="1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1,677</w:t>
            </w: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1,642</w:t>
            </w:r>
          </w:p>
        </w:tc>
        <w:tc>
          <w:tcPr>
            <w:tcW w:w="100" w:type="dxa"/>
            <w:vAlign w:val="bottom"/>
            <w:tcBorders>
              <w:top w:val="single" w:sz="8" w:color="CCEEFF"/>
            </w:tcBorders>
            <w:shd w:val="clear" w:color="auto" w:fill="CCEEFF"/>
          </w:tcPr>
          <w:p>
            <w:pPr>
              <w:spacing w:after="0"/>
              <w:rPr>
                <w:sz w:val="17"/>
                <w:szCs w:val="17"/>
                <w:color w:val="auto"/>
              </w:rPr>
            </w:pPr>
          </w:p>
        </w:tc>
        <w:tc>
          <w:tcPr>
            <w:tcW w:w="94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3.64%</w:t>
            </w:r>
          </w:p>
        </w:tc>
        <w:tc>
          <w:tcPr>
            <w:tcW w:w="100" w:type="dxa"/>
            <w:vAlign w:val="bottom"/>
            <w:tcBorders>
              <w:top w:val="single" w:sz="8" w:color="CCEEFF"/>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3.69%</w:t>
            </w:r>
          </w:p>
        </w:tc>
        <w:tc>
          <w:tcPr>
            <w:tcW w:w="0" w:type="dxa"/>
            <w:vAlign w:val="bottom"/>
          </w:tcPr>
          <w:p>
            <w:pPr>
              <w:spacing w:after="0"/>
              <w:rPr>
                <w:sz w:val="1"/>
                <w:szCs w:val="1"/>
                <w:color w:val="auto"/>
              </w:rPr>
            </w:pPr>
          </w:p>
        </w:tc>
      </w:tr>
      <w:tr>
        <w:trPr>
          <w:trHeight w:val="195"/>
        </w:trPr>
        <w:tc>
          <w:tcPr>
            <w:tcW w:w="274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&gt; 3 years and ≤ 5 years</w:t>
            </w:r>
          </w:p>
        </w:tc>
        <w:tc>
          <w:tcPr>
            <w:tcW w:w="10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3,201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3,219</w:t>
            </w:r>
          </w:p>
        </w:tc>
        <w:tc>
          <w:tcPr>
            <w:tcW w:w="100" w:type="dxa"/>
            <w:vAlign w:val="bottom"/>
          </w:tcPr>
          <w:p>
            <w:pPr>
              <w:spacing w:after="0"/>
              <w:rPr>
                <w:sz w:val="16"/>
                <w:szCs w:val="16"/>
                <w:color w:val="auto"/>
              </w:rPr>
            </w:pPr>
          </w:p>
        </w:tc>
        <w:tc>
          <w:tcPr>
            <w:tcW w:w="9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3.62%</w:t>
            </w:r>
          </w:p>
        </w:tc>
        <w:tc>
          <w:tcPr>
            <w:tcW w:w="10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3.08%</w:t>
            </w:r>
          </w:p>
        </w:tc>
        <w:tc>
          <w:tcPr>
            <w:tcW w:w="1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11,214</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10,868</w:t>
            </w:r>
          </w:p>
        </w:tc>
        <w:tc>
          <w:tcPr>
            <w:tcW w:w="100" w:type="dxa"/>
            <w:vAlign w:val="bottom"/>
          </w:tcPr>
          <w:p>
            <w:pPr>
              <w:spacing w:after="0"/>
              <w:rPr>
                <w:sz w:val="16"/>
                <w:szCs w:val="16"/>
                <w:color w:val="auto"/>
              </w:rPr>
            </w:pPr>
          </w:p>
        </w:tc>
        <w:tc>
          <w:tcPr>
            <w:tcW w:w="94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3.97%</w:t>
            </w:r>
          </w:p>
        </w:tc>
        <w:tc>
          <w:tcPr>
            <w:tcW w:w="100" w:type="dxa"/>
            <w:vAlign w:val="bottom"/>
          </w:tcPr>
          <w:p>
            <w:pPr>
              <w:spacing w:after="0"/>
              <w:rPr>
                <w:sz w:val="16"/>
                <w:szCs w:val="16"/>
                <w:color w:val="auto"/>
              </w:rPr>
            </w:pPr>
          </w:p>
        </w:tc>
        <w:tc>
          <w:tcPr>
            <w:tcW w:w="10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2.74%</w:t>
            </w:r>
          </w:p>
        </w:tc>
        <w:tc>
          <w:tcPr>
            <w:tcW w:w="0" w:type="dxa"/>
            <w:vAlign w:val="bottom"/>
          </w:tcPr>
          <w:p>
            <w:pPr>
              <w:spacing w:after="0"/>
              <w:rPr>
                <w:sz w:val="1"/>
                <w:szCs w:val="1"/>
                <w:color w:val="auto"/>
              </w:rPr>
            </w:pPr>
          </w:p>
        </w:tc>
      </w:tr>
      <w:tr>
        <w:trPr>
          <w:trHeight w:val="210"/>
        </w:trPr>
        <w:tc>
          <w:tcPr>
            <w:tcW w:w="27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&gt; 5 years and ≤10 years</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32,784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34,059</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3.38%</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2.63%</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36,936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36,490</w:t>
            </w:r>
          </w:p>
        </w:tc>
        <w:tc>
          <w:tcPr>
            <w:tcW w:w="100" w:type="dxa"/>
            <w:vAlign w:val="bottom"/>
            <w:shd w:val="clear" w:color="auto" w:fill="CCEEFF"/>
          </w:tcPr>
          <w:p>
            <w:pPr>
              <w:spacing w:after="0"/>
              <w:rPr>
                <w:sz w:val="18"/>
                <w:szCs w:val="18"/>
                <w:color w:val="auto"/>
              </w:rPr>
            </w:pPr>
          </w:p>
        </w:tc>
        <w:tc>
          <w:tcPr>
            <w:tcW w:w="94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2.87%</w:t>
            </w:r>
          </w:p>
        </w:tc>
        <w:tc>
          <w:tcPr>
            <w:tcW w:w="100" w:type="dxa"/>
            <w:vAlign w:val="bottom"/>
            <w:shd w:val="clear" w:color="auto" w:fill="CCEEFF"/>
          </w:tcPr>
          <w:p>
            <w:pPr>
              <w:spacing w:after="0"/>
              <w:rPr>
                <w:sz w:val="18"/>
                <w:szCs w:val="18"/>
                <w:color w:val="auto"/>
              </w:rPr>
            </w:pPr>
          </w:p>
        </w:tc>
        <w:tc>
          <w:tcPr>
            <w:tcW w:w="10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2.32%</w:t>
            </w:r>
          </w:p>
        </w:tc>
        <w:tc>
          <w:tcPr>
            <w:tcW w:w="0" w:type="dxa"/>
            <w:vAlign w:val="bottom"/>
          </w:tcPr>
          <w:p>
            <w:pPr>
              <w:spacing w:after="0"/>
              <w:rPr>
                <w:sz w:val="1"/>
                <w:szCs w:val="1"/>
                <w:color w:val="auto"/>
              </w:rPr>
            </w:pPr>
          </w:p>
        </w:tc>
      </w:tr>
      <w:tr>
        <w:trPr>
          <w:trHeight w:val="196"/>
        </w:trPr>
        <w:tc>
          <w:tcPr>
            <w:tcW w:w="274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4"/>
                <w:szCs w:val="14"/>
                <w:color w:val="auto"/>
              </w:rPr>
              <w:t>&gt; 10 years</w:t>
            </w:r>
          </w:p>
        </w:tc>
        <w:tc>
          <w:tcPr>
            <w:tcW w:w="1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12,252</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13,186</w:t>
            </w:r>
          </w:p>
        </w:tc>
        <w:tc>
          <w:tcPr>
            <w:tcW w:w="100" w:type="dxa"/>
            <w:vAlign w:val="bottom"/>
            <w:tcBorders>
              <w:bottom w:val="single" w:sz="8" w:color="CCEEFF"/>
            </w:tcBorders>
          </w:tcPr>
          <w:p>
            <w:pPr>
              <w:spacing w:after="0"/>
              <w:rPr>
                <w:sz w:val="17"/>
                <w:szCs w:val="17"/>
                <w:color w:val="auto"/>
              </w:rPr>
            </w:pP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2.34%</w:t>
            </w:r>
          </w:p>
        </w:tc>
        <w:tc>
          <w:tcPr>
            <w:tcW w:w="100" w:type="dxa"/>
            <w:vAlign w:val="bottom"/>
            <w:tcBorders>
              <w:bottom w:val="single" w:sz="8" w:color="CCEEFF"/>
            </w:tcBorders>
          </w:tcPr>
          <w:p>
            <w:pPr>
              <w:spacing w:after="0"/>
              <w:rPr>
                <w:sz w:val="17"/>
                <w:szCs w:val="17"/>
                <w:color w:val="auto"/>
              </w:rPr>
            </w:pPr>
          </w:p>
        </w:tc>
        <w:tc>
          <w:tcPr>
            <w:tcW w:w="10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2.13%</w:t>
            </w:r>
          </w:p>
        </w:tc>
        <w:tc>
          <w:tcPr>
            <w:tcW w:w="1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4,594</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4,628</w:t>
            </w:r>
          </w:p>
        </w:tc>
        <w:tc>
          <w:tcPr>
            <w:tcW w:w="100" w:type="dxa"/>
            <w:vAlign w:val="bottom"/>
            <w:tcBorders>
              <w:bottom w:val="single" w:sz="8" w:color="CCEEFF"/>
            </w:tcBorders>
          </w:tcPr>
          <w:p>
            <w:pPr>
              <w:spacing w:after="0"/>
              <w:rPr>
                <w:sz w:val="17"/>
                <w:szCs w:val="17"/>
                <w:color w:val="auto"/>
              </w:rPr>
            </w:pPr>
          </w:p>
        </w:tc>
        <w:tc>
          <w:tcPr>
            <w:tcW w:w="9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2.48%</w:t>
            </w:r>
          </w:p>
        </w:tc>
        <w:tc>
          <w:tcPr>
            <w:tcW w:w="100" w:type="dxa"/>
            <w:vAlign w:val="bottom"/>
            <w:tcBorders>
              <w:bottom w:val="single" w:sz="8" w:color="CCEEFF"/>
            </w:tcBorders>
          </w:tcPr>
          <w:p>
            <w:pPr>
              <w:spacing w:after="0"/>
              <w:rPr>
                <w:sz w:val="17"/>
                <w:szCs w:val="17"/>
                <w:color w:val="auto"/>
              </w:rPr>
            </w:pPr>
          </w:p>
        </w:tc>
        <w:tc>
          <w:tcPr>
            <w:tcW w:w="10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2.09%</w:t>
            </w:r>
          </w:p>
        </w:tc>
        <w:tc>
          <w:tcPr>
            <w:tcW w:w="0" w:type="dxa"/>
            <w:vAlign w:val="bottom"/>
          </w:tcPr>
          <w:p>
            <w:pPr>
              <w:spacing w:after="0"/>
              <w:rPr>
                <w:sz w:val="1"/>
                <w:szCs w:val="1"/>
                <w:color w:val="auto"/>
              </w:rPr>
            </w:pPr>
          </w:p>
        </w:tc>
      </w:tr>
      <w:tr>
        <w:trPr>
          <w:trHeight w:val="228"/>
        </w:trPr>
        <w:tc>
          <w:tcPr>
            <w:tcW w:w="274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w:t>
            </w: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49,087</w:t>
            </w: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51,316</w:t>
            </w:r>
          </w:p>
        </w:tc>
        <w:tc>
          <w:tcPr>
            <w:tcW w:w="10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3.13%</w:t>
            </w:r>
          </w:p>
        </w:tc>
        <w:tc>
          <w:tcPr>
            <w:tcW w:w="10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2.56%</w:t>
            </w:r>
          </w:p>
        </w:tc>
        <w:tc>
          <w:tcPr>
            <w:tcW w:w="1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54,421</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53,628</w:t>
            </w:r>
          </w:p>
        </w:tc>
        <w:tc>
          <w:tcPr>
            <w:tcW w:w="10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3.08%</w:t>
            </w:r>
          </w:p>
        </w:tc>
        <w:tc>
          <w:tcPr>
            <w:tcW w:w="100" w:type="dxa"/>
            <w:vAlign w:val="bottom"/>
            <w:tcBorders>
              <w:bottom w:val="single" w:sz="8" w:color="CCEEFF"/>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2.43%</w:t>
            </w:r>
          </w:p>
        </w:tc>
        <w:tc>
          <w:tcPr>
            <w:tcW w:w="0" w:type="dxa"/>
            <w:vAlign w:val="bottom"/>
          </w:tcPr>
          <w:p>
            <w:pPr>
              <w:spacing w:after="0"/>
              <w:rPr>
                <w:sz w:val="1"/>
                <w:szCs w:val="1"/>
                <w:color w:val="auto"/>
              </w:rPr>
            </w:pPr>
          </w:p>
        </w:tc>
      </w:tr>
      <w:tr>
        <w:trPr>
          <w:trHeight w:val="20"/>
        </w:trPr>
        <w:tc>
          <w:tcPr>
            <w:tcW w:w="26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38" w:lineRule="exact"/>
        <w:rPr>
          <w:sz w:val="20"/>
          <w:szCs w:val="20"/>
          <w:color w:val="auto"/>
        </w:rPr>
      </w:pPr>
    </w:p>
    <w:p>
      <w:pPr>
        <w:ind w:right="680" w:firstLine="486"/>
        <w:spacing w:after="0" w:line="270" w:lineRule="auto"/>
        <w:rPr>
          <w:sz w:val="20"/>
          <w:szCs w:val="20"/>
          <w:color w:val="auto"/>
        </w:rPr>
      </w:pPr>
      <w:r>
        <w:rPr>
          <w:rFonts w:ascii="Times New Roman" w:cs="Times New Roman" w:eastAsia="Times New Roman" w:hAnsi="Times New Roman"/>
          <w:sz w:val="18"/>
          <w:szCs w:val="18"/>
          <w:color w:val="auto"/>
        </w:rPr>
        <w:t>The following table presents the gross unrealized loss and fair values of securities classified as available-for-sale by length of time that such securities have been in a continuous unrealized loss position as of March 31, 2022 and December 31, 2021 (in millions):</w:t>
      </w:r>
    </w:p>
    <w:tbl>
      <w:tblPr>
        <w:tblLayout w:type="fixed"/>
        <w:tblInd w:w="0" w:type="dxa"/>
        <w:tblCellMar>
          <w:top w:w="0" w:type="dxa"/>
          <w:left w:w="0" w:type="dxa"/>
          <w:bottom w:w="0" w:type="dxa"/>
          <w:right w:w="0" w:type="dxa"/>
        </w:tblCellMar>
      </w:tblPr>
      <w:tr>
        <w:trPr>
          <w:trHeight w:val="190"/>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96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Unrealized Loss Position For</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3900" w:type="dxa"/>
            <w:vAlign w:val="bottom"/>
          </w:tcPr>
          <w:p>
            <w:pPr>
              <w:spacing w:after="0"/>
              <w:rPr>
                <w:sz w:val="2"/>
                <w:szCs w:val="2"/>
                <w:color w:val="auto"/>
              </w:rPr>
            </w:pPr>
          </w:p>
        </w:tc>
        <w:tc>
          <w:tcPr>
            <w:tcW w:w="12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180" w:type="dxa"/>
            <w:vAlign w:val="bottom"/>
            <w:tcBorders>
              <w:bottom w:val="single" w:sz="8" w:color="auto"/>
            </w:tcBorders>
            <w:gridSpan w:val="5"/>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960" w:type="dxa"/>
            <w:vAlign w:val="bottom"/>
            <w:tcBorders>
              <w:bottom w:val="single" w:sz="8" w:color="auto"/>
            </w:tcBorders>
            <w:gridSpan w:val="3"/>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gridSpan w:val="3"/>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3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180" w:type="dxa"/>
            <w:vAlign w:val="bottom"/>
            <w:gridSpan w:val="5"/>
          </w:tcPr>
          <w:p>
            <w:pPr>
              <w:ind w:left="280"/>
              <w:spacing w:after="0"/>
              <w:rPr>
                <w:sz w:val="20"/>
                <w:szCs w:val="20"/>
                <w:color w:val="auto"/>
              </w:rPr>
            </w:pPr>
            <w:r>
              <w:rPr>
                <w:rFonts w:ascii="Times New Roman" w:cs="Times New Roman" w:eastAsia="Times New Roman" w:hAnsi="Times New Roman"/>
                <w:sz w:val="14"/>
                <w:szCs w:val="14"/>
                <w:b w:val="1"/>
                <w:bCs w:val="1"/>
                <w:color w:val="auto"/>
              </w:rPr>
              <w:t>Less than 12 Months</w:t>
            </w:r>
          </w:p>
        </w:tc>
        <w:tc>
          <w:tcPr>
            <w:tcW w:w="160" w:type="dxa"/>
            <w:vAlign w:val="bottom"/>
          </w:tcPr>
          <w:p>
            <w:pPr>
              <w:spacing w:after="0"/>
              <w:rPr>
                <w:sz w:val="16"/>
                <w:szCs w:val="16"/>
                <w:color w:val="auto"/>
              </w:rPr>
            </w:pPr>
          </w:p>
        </w:tc>
        <w:tc>
          <w:tcPr>
            <w:tcW w:w="1960" w:type="dxa"/>
            <w:vAlign w:val="bottom"/>
            <w:gridSpan w:val="3"/>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12 Months or More</w:t>
            </w:r>
          </w:p>
        </w:tc>
        <w:tc>
          <w:tcPr>
            <w:tcW w:w="2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160" w:type="dxa"/>
            <w:vAlign w:val="bottom"/>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Total</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390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Securities Classified as Available-for-Sale</w:t>
            </w:r>
          </w:p>
        </w:tc>
        <w:tc>
          <w:tcPr>
            <w:tcW w:w="120" w:type="dxa"/>
            <w:vAlign w:val="bottom"/>
            <w:vMerge w:val="restart"/>
          </w:tcPr>
          <w:p>
            <w:pPr>
              <w:spacing w:after="0"/>
              <w:rPr>
                <w:sz w:val="11"/>
                <w:szCs w:val="11"/>
                <w:color w:val="auto"/>
              </w:rPr>
            </w:pPr>
          </w:p>
        </w:tc>
        <w:tc>
          <w:tcPr>
            <w:tcW w:w="24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2"/>
          </w:tcPr>
          <w:p>
            <w:pPr>
              <w:ind w:left="180"/>
              <w:spacing w:after="0" w:line="135" w:lineRule="exact"/>
              <w:rPr>
                <w:sz w:val="20"/>
                <w:szCs w:val="20"/>
                <w:color w:val="auto"/>
              </w:rPr>
            </w:pPr>
            <w:r>
              <w:rPr>
                <w:rFonts w:ascii="Times New Roman" w:cs="Times New Roman" w:eastAsia="Times New Roman" w:hAnsi="Times New Roman"/>
                <w:sz w:val="14"/>
                <w:szCs w:val="14"/>
                <w:b w:val="1"/>
                <w:bCs w:val="1"/>
                <w:color w:val="auto"/>
              </w:rPr>
              <w:t>Fair</w:t>
            </w:r>
          </w:p>
        </w:tc>
        <w:tc>
          <w:tcPr>
            <w:tcW w:w="14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tcPr>
          <w:p>
            <w:pPr>
              <w:jc w:val="center"/>
              <w:ind w:right="68"/>
              <w:spacing w:after="0" w:line="135"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00" w:type="dxa"/>
            <w:vAlign w:val="bottom"/>
            <w:tcBorders>
              <w:top w:val="single" w:sz="8" w:color="auto"/>
            </w:tcBorders>
            <w:vMerge w:val="restart"/>
          </w:tcPr>
          <w:p>
            <w:pPr>
              <w:spacing w:after="0"/>
              <w:rPr>
                <w:sz w:val="11"/>
                <w:szCs w:val="11"/>
                <w:color w:val="auto"/>
              </w:rPr>
            </w:pPr>
          </w:p>
        </w:tc>
        <w:tc>
          <w:tcPr>
            <w:tcW w:w="920" w:type="dxa"/>
            <w:vAlign w:val="bottom"/>
            <w:tcBorders>
              <w:top w:val="single" w:sz="8" w:color="auto"/>
            </w:tcBorders>
          </w:tcPr>
          <w:p>
            <w:pPr>
              <w:jc w:val="right"/>
              <w:spacing w:after="0" w:line="135"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200" w:type="dxa"/>
            <w:vAlign w:val="bottom"/>
            <w:tcBorders>
              <w:top w:val="single" w:sz="8" w:color="auto"/>
            </w:tcBorders>
          </w:tcPr>
          <w:p>
            <w:pPr>
              <w:spacing w:after="0"/>
              <w:rPr>
                <w:sz w:val="11"/>
                <w:szCs w:val="11"/>
                <w:color w:val="auto"/>
              </w:rPr>
            </w:pPr>
          </w:p>
        </w:tc>
        <w:tc>
          <w:tcPr>
            <w:tcW w:w="120" w:type="dxa"/>
            <w:vAlign w:val="bottom"/>
          </w:tcPr>
          <w:p>
            <w:pPr>
              <w:spacing w:after="0"/>
              <w:rPr>
                <w:sz w:val="11"/>
                <w:szCs w:val="11"/>
                <w:color w:val="auto"/>
              </w:rPr>
            </w:pPr>
          </w:p>
        </w:tc>
        <w:tc>
          <w:tcPr>
            <w:tcW w:w="220" w:type="dxa"/>
            <w:vAlign w:val="bottom"/>
            <w:tcBorders>
              <w:top w:val="single" w:sz="8" w:color="auto"/>
            </w:tcBorders>
          </w:tcPr>
          <w:p>
            <w:pPr>
              <w:spacing w:after="0"/>
              <w:rPr>
                <w:sz w:val="11"/>
                <w:szCs w:val="11"/>
                <w:color w:val="auto"/>
              </w:rPr>
            </w:pPr>
          </w:p>
        </w:tc>
        <w:tc>
          <w:tcPr>
            <w:tcW w:w="980" w:type="dxa"/>
            <w:vAlign w:val="bottom"/>
            <w:tcBorders>
              <w:top w:val="single" w:sz="8" w:color="auto"/>
            </w:tcBorders>
            <w:gridSpan w:val="2"/>
          </w:tcPr>
          <w:p>
            <w:pPr>
              <w:ind w:left="200"/>
              <w:spacing w:after="0" w:line="135" w:lineRule="exact"/>
              <w:rPr>
                <w:sz w:val="20"/>
                <w:szCs w:val="20"/>
                <w:color w:val="auto"/>
              </w:rPr>
            </w:pPr>
            <w:r>
              <w:rPr>
                <w:rFonts w:ascii="Times New Roman" w:cs="Times New Roman" w:eastAsia="Times New Roman" w:hAnsi="Times New Roman"/>
                <w:sz w:val="14"/>
                <w:szCs w:val="14"/>
                <w:b w:val="1"/>
                <w:bCs w:val="1"/>
                <w:color w:val="auto"/>
              </w:rPr>
              <w:t>Fair</w:t>
            </w:r>
          </w:p>
        </w:tc>
        <w:tc>
          <w:tcPr>
            <w:tcW w:w="18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jc w:val="center"/>
              <w:ind w:right="108"/>
              <w:spacing w:after="0" w:line="135"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0" w:type="dxa"/>
            <w:vAlign w:val="bottom"/>
          </w:tcPr>
          <w:p>
            <w:pPr>
              <w:spacing w:after="0"/>
              <w:rPr>
                <w:sz w:val="1"/>
                <w:szCs w:val="1"/>
                <w:color w:val="auto"/>
              </w:rPr>
            </w:pPr>
          </w:p>
        </w:tc>
      </w:tr>
      <w:tr>
        <w:trPr>
          <w:trHeight w:val="196"/>
        </w:trPr>
        <w:tc>
          <w:tcPr>
            <w:tcW w:w="3900" w:type="dxa"/>
            <w:vAlign w:val="bottom"/>
            <w:tcBorders>
              <w:bottom w:val="single" w:sz="8" w:color="auto"/>
            </w:tcBorders>
            <w:vMerge w:val="continue"/>
          </w:tcPr>
          <w:p>
            <w:pPr>
              <w:spacing w:after="0"/>
              <w:rPr>
                <w:sz w:val="17"/>
                <w:szCs w:val="17"/>
                <w:color w:val="auto"/>
              </w:rPr>
            </w:pPr>
          </w:p>
        </w:tc>
        <w:tc>
          <w:tcPr>
            <w:tcW w:w="120" w:type="dxa"/>
            <w:vAlign w:val="bottom"/>
            <w:tcBorders>
              <w:bottom w:val="single" w:sz="8" w:color="CCEEFF"/>
            </w:tcBorders>
            <w:vMerge w:val="continue"/>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jc w:val="right"/>
              <w:ind w:right="308"/>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2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center"/>
              <w:ind w:right="88"/>
              <w:spacing w:after="0"/>
              <w:rPr>
                <w:sz w:val="20"/>
                <w:szCs w:val="20"/>
                <w:color w:val="auto"/>
              </w:rPr>
            </w:pPr>
            <w:r>
              <w:rPr>
                <w:rFonts w:ascii="Times New Roman" w:cs="Times New Roman" w:eastAsia="Times New Roman" w:hAnsi="Times New Roman"/>
                <w:sz w:val="14"/>
                <w:szCs w:val="14"/>
                <w:b w:val="1"/>
                <w:bCs w:val="1"/>
                <w:color w:val="auto"/>
              </w:rPr>
              <w:t>Loss</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vMerge w:val="continue"/>
          </w:tcPr>
          <w:p>
            <w:pPr>
              <w:spacing w:after="0"/>
              <w:rPr>
                <w:sz w:val="17"/>
                <w:szCs w:val="17"/>
                <w:color w:val="auto"/>
              </w:rPr>
            </w:pPr>
          </w:p>
        </w:tc>
        <w:tc>
          <w:tcPr>
            <w:tcW w:w="100" w:type="dxa"/>
            <w:vAlign w:val="bottom"/>
            <w:tcBorders>
              <w:bottom w:val="single" w:sz="8" w:color="CCEEFF"/>
            </w:tcBorders>
            <w:vMerge w:val="continue"/>
          </w:tcPr>
          <w:p>
            <w:pPr>
              <w:spacing w:after="0"/>
              <w:rPr>
                <w:sz w:val="17"/>
                <w:szCs w:val="17"/>
                <w:color w:val="auto"/>
              </w:rPr>
            </w:pPr>
          </w:p>
        </w:tc>
        <w:tc>
          <w:tcPr>
            <w:tcW w:w="920" w:type="dxa"/>
            <w:vAlign w:val="bottom"/>
            <w:tcBorders>
              <w:bottom w:val="single" w:sz="8" w:color="auto"/>
            </w:tcBorders>
          </w:tcPr>
          <w:p>
            <w:pPr>
              <w:jc w:val="right"/>
              <w:ind w:right="148"/>
              <w:spacing w:after="0"/>
              <w:rPr>
                <w:sz w:val="20"/>
                <w:szCs w:val="20"/>
                <w:color w:val="auto"/>
              </w:rPr>
            </w:pPr>
            <w:r>
              <w:rPr>
                <w:rFonts w:ascii="Times New Roman" w:cs="Times New Roman" w:eastAsia="Times New Roman" w:hAnsi="Times New Roman"/>
                <w:sz w:val="14"/>
                <w:szCs w:val="14"/>
                <w:b w:val="1"/>
                <w:bCs w:val="1"/>
                <w:color w:val="auto"/>
              </w:rPr>
              <w:t>Loss</w:t>
            </w:r>
          </w:p>
        </w:tc>
        <w:tc>
          <w:tcPr>
            <w:tcW w:w="20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880" w:type="dxa"/>
            <w:vAlign w:val="bottom"/>
            <w:tcBorders>
              <w:bottom w:val="single" w:sz="8" w:color="auto"/>
            </w:tcBorders>
          </w:tcPr>
          <w:p>
            <w:pPr>
              <w:jc w:val="right"/>
              <w:ind w:right="308"/>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0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center"/>
              <w:ind w:right="108"/>
              <w:spacing w:after="0"/>
              <w:rPr>
                <w:sz w:val="20"/>
                <w:szCs w:val="20"/>
                <w:color w:val="auto"/>
              </w:rPr>
            </w:pPr>
            <w:r>
              <w:rPr>
                <w:rFonts w:ascii="Times New Roman" w:cs="Times New Roman" w:eastAsia="Times New Roman" w:hAnsi="Times New Roman"/>
                <w:sz w:val="14"/>
                <w:szCs w:val="14"/>
                <w:b w:val="1"/>
                <w:bCs w:val="1"/>
                <w:color w:val="auto"/>
              </w:rPr>
              <w:t>Loss</w:t>
            </w:r>
          </w:p>
        </w:tc>
        <w:tc>
          <w:tcPr>
            <w:tcW w:w="0" w:type="dxa"/>
            <w:vAlign w:val="bottom"/>
          </w:tcPr>
          <w:p>
            <w:pPr>
              <w:spacing w:after="0"/>
              <w:rPr>
                <w:sz w:val="1"/>
                <w:szCs w:val="1"/>
                <w:color w:val="auto"/>
              </w:rPr>
            </w:pPr>
          </w:p>
        </w:tc>
      </w:tr>
      <w:tr>
        <w:trPr>
          <w:trHeight w:val="344"/>
        </w:trPr>
        <w:tc>
          <w:tcPr>
            <w:tcW w:w="40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March 31, 2022</w:t>
            </w:r>
          </w:p>
        </w:tc>
        <w:tc>
          <w:tcPr>
            <w:tcW w:w="240" w:type="dxa"/>
            <w:vAlign w:val="bottom"/>
            <w:tcBorders>
              <w:bottom w:val="single" w:sz="8" w:color="CCEEFF"/>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6,820</w:t>
            </w:r>
          </w:p>
        </w:tc>
        <w:tc>
          <w:tcPr>
            <w:tcW w:w="120" w:type="dxa"/>
            <w:vAlign w:val="bottom"/>
            <w:tcBorders>
              <w:bottom w:val="single" w:sz="8" w:color="CCEEFF"/>
            </w:tcBorders>
            <w:shd w:val="clear" w:color="auto" w:fill="CCEEFF"/>
          </w:tcPr>
          <w:p>
            <w:pPr>
              <w:spacing w:after="0"/>
              <w:rPr>
                <w:sz w:val="24"/>
                <w:szCs w:val="24"/>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(200)</w:t>
            </w:r>
          </w:p>
        </w:tc>
        <w:tc>
          <w:tcPr>
            <w:tcW w:w="100" w:type="dxa"/>
            <w:vAlign w:val="bottom"/>
            <w:tcBorders>
              <w:bottom w:val="single" w:sz="8" w:color="CCEEFF"/>
            </w:tcBorders>
            <w:shd w:val="clear" w:color="auto" w:fill="CCEEFF"/>
          </w:tcPr>
          <w:p>
            <w:pPr>
              <w:spacing w:after="0"/>
              <w:rPr>
                <w:sz w:val="24"/>
                <w:szCs w:val="24"/>
                <w:color w:val="auto"/>
              </w:rPr>
            </w:pPr>
          </w:p>
        </w:tc>
        <w:tc>
          <w:tcPr>
            <w:tcW w:w="1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CCEEFF"/>
            </w:tcBorders>
            <w:gridSpan w:val="2"/>
            <w:shd w:val="clear" w:color="auto" w:fill="CCEEFF"/>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bottom w:val="single" w:sz="8" w:color="CCEEFF"/>
            </w:tcBorders>
            <w:shd w:val="clear" w:color="auto" w:fill="CCEEFF"/>
          </w:tcPr>
          <w:p>
            <w:pPr>
              <w:jc w:val="right"/>
              <w:ind w:right="7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tcBorders>
              <w:bottom w:val="single" w:sz="8" w:color="CCEEFF"/>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CCEEFF"/>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6,820</w:t>
            </w:r>
          </w:p>
        </w:tc>
        <w:tc>
          <w:tcPr>
            <w:tcW w:w="100" w:type="dxa"/>
            <w:vAlign w:val="bottom"/>
            <w:tcBorders>
              <w:bottom w:val="single" w:sz="8" w:color="CCEEFF"/>
            </w:tcBorders>
            <w:shd w:val="clear" w:color="auto" w:fill="CCEEFF"/>
          </w:tcPr>
          <w:p>
            <w:pPr>
              <w:spacing w:after="0"/>
              <w:rPr>
                <w:sz w:val="24"/>
                <w:szCs w:val="24"/>
                <w:color w:val="auto"/>
              </w:rPr>
            </w:pPr>
          </w:p>
        </w:tc>
        <w:tc>
          <w:tcPr>
            <w:tcW w:w="180" w:type="dxa"/>
            <w:vAlign w:val="bottom"/>
            <w:tcBorders>
              <w:bottom w:val="single" w:sz="8" w:color="CCEEFF"/>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w w:val="85"/>
              </w:rPr>
              <w:t>$</w:t>
            </w:r>
          </w:p>
        </w:tc>
        <w:tc>
          <w:tcPr>
            <w:tcW w:w="9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(200)</w:t>
            </w:r>
          </w:p>
        </w:tc>
        <w:tc>
          <w:tcPr>
            <w:tcW w:w="0" w:type="dxa"/>
            <w:vAlign w:val="bottom"/>
          </w:tcPr>
          <w:p>
            <w:pPr>
              <w:spacing w:after="0"/>
              <w:rPr>
                <w:sz w:val="1"/>
                <w:szCs w:val="1"/>
                <w:color w:val="auto"/>
              </w:rPr>
            </w:pPr>
          </w:p>
        </w:tc>
      </w:tr>
      <w:tr>
        <w:trPr>
          <w:trHeight w:val="341"/>
        </w:trPr>
        <w:tc>
          <w:tcPr>
            <w:tcW w:w="4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December 31, 2021</w:t>
            </w:r>
          </w:p>
        </w:tc>
        <w:tc>
          <w:tcPr>
            <w:tcW w:w="24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060" w:type="dxa"/>
            <w:vAlign w:val="bottom"/>
            <w:gridSpan w:val="2"/>
          </w:tcPr>
          <w:p>
            <w:pPr>
              <w:ind w:left="7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gridSpan w:val="2"/>
          </w:tcPr>
          <w:p>
            <w:pPr>
              <w:ind w:left="740"/>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Pr>
          <w:p>
            <w:pPr>
              <w:jc w:val="right"/>
              <w:ind w:right="748"/>
              <w:spacing w:after="0"/>
              <w:rPr>
                <w:sz w:val="20"/>
                <w:szCs w:val="20"/>
                <w:color w:val="auto"/>
              </w:rPr>
            </w:pPr>
            <w:r>
              <w:rPr>
                <w:rFonts w:ascii="Times New Roman" w:cs="Times New Roman" w:eastAsia="Times New Roman" w:hAnsi="Times New Roman"/>
                <w:sz w:val="14"/>
                <w:szCs w:val="14"/>
                <w:color w:val="auto"/>
              </w:rPr>
              <w:t>$</w:t>
            </w:r>
          </w:p>
        </w:tc>
        <w:tc>
          <w:tcPr>
            <w:tcW w:w="32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w w:val="85"/>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bl>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Gains and Losses on Sale of Investment Securities</w:t>
      </w:r>
    </w:p>
    <w:p>
      <w:pPr>
        <w:spacing w:after="0" w:line="175" w:lineRule="exact"/>
        <w:rPr>
          <w:sz w:val="20"/>
          <w:szCs w:val="20"/>
          <w:color w:val="auto"/>
        </w:rPr>
      </w:pPr>
    </w:p>
    <w:p>
      <w:pPr>
        <w:ind w:firstLine="486"/>
        <w:spacing w:after="0" w:line="282" w:lineRule="auto"/>
        <w:rPr>
          <w:sz w:val="20"/>
          <w:szCs w:val="20"/>
          <w:color w:val="auto"/>
        </w:rPr>
      </w:pPr>
      <w:r>
        <w:rPr>
          <w:rFonts w:ascii="Times New Roman" w:cs="Times New Roman" w:eastAsia="Times New Roman" w:hAnsi="Times New Roman"/>
          <w:sz w:val="18"/>
          <w:szCs w:val="18"/>
          <w:color w:val="auto"/>
        </w:rPr>
        <w:t>The following table is a summary of our net gain (loss) from the sale of investment securities for the three months ended March 31, 2022 and 2021 by investment classification of accounting (in millions):</w:t>
      </w:r>
    </w:p>
    <w:p>
      <w:pPr>
        <w:spacing w:after="0" w:line="277"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2040" w:type="dxa"/>
            <w:vAlign w:val="bottom"/>
            <w:gridSpan w:val="7"/>
          </w:tcPr>
          <w:p>
            <w:pPr>
              <w:ind w:left="20"/>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12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54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jc w:val="center"/>
              <w:ind w:right="71"/>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40" w:type="dxa"/>
            <w:vAlign w:val="bottom"/>
          </w:tcPr>
          <w:p>
            <w:pPr>
              <w:jc w:val="center"/>
              <w:ind w:right="51"/>
              <w:spacing w:after="0"/>
              <w:rPr>
                <w:sz w:val="20"/>
                <w:szCs w:val="20"/>
                <w:color w:val="auto"/>
              </w:rPr>
            </w:pPr>
            <w:r>
              <w:rPr>
                <w:rFonts w:ascii="Times New Roman" w:cs="Times New Roman" w:eastAsia="Times New Roman" w:hAnsi="Times New Roman"/>
                <w:sz w:val="14"/>
                <w:szCs w:val="14"/>
                <w:b w:val="1"/>
                <w:bCs w:val="1"/>
                <w:color w:val="auto"/>
              </w:rPr>
              <w:t>2021</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
        </w:trPr>
        <w:tc>
          <w:tcPr>
            <w:tcW w:w="5400" w:type="dxa"/>
            <w:vAlign w:val="bottom"/>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980" w:type="dxa"/>
            <w:vAlign w:val="bottom"/>
            <w:tcBorders>
              <w:bottom w:val="single" w:sz="8" w:color="auto"/>
            </w:tcBorders>
            <w:gridSpan w:val="3"/>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22"/>
        </w:trPr>
        <w:tc>
          <w:tcPr>
            <w:tcW w:w="54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3"/>
          </w:tcPr>
          <w:p>
            <w:pPr>
              <w:jc w:val="center"/>
              <w:ind w:right="80"/>
              <w:spacing w:after="0" w:line="122" w:lineRule="exact"/>
              <w:rPr>
                <w:sz w:val="20"/>
                <w:szCs w:val="20"/>
                <w:color w:val="auto"/>
              </w:rPr>
            </w:pPr>
            <w:r>
              <w:rPr>
                <w:rFonts w:ascii="Times New Roman" w:cs="Times New Roman" w:eastAsia="Times New Roman" w:hAnsi="Times New Roman"/>
                <w:sz w:val="13"/>
                <w:szCs w:val="13"/>
                <w:b w:val="1"/>
                <w:bCs w:val="1"/>
                <w:color w:val="auto"/>
                <w:w w:val="94"/>
              </w:rPr>
              <w:t>Available-for-</w:t>
            </w:r>
          </w:p>
        </w:tc>
        <w:tc>
          <w:tcPr>
            <w:tcW w:w="120" w:type="dxa"/>
            <w:vAlign w:val="bottom"/>
          </w:tcPr>
          <w:p>
            <w:pPr>
              <w:spacing w:after="0"/>
              <w:rPr>
                <w:sz w:val="10"/>
                <w:szCs w:val="10"/>
                <w:color w:val="auto"/>
              </w:rPr>
            </w:pPr>
          </w:p>
        </w:tc>
        <w:tc>
          <w:tcPr>
            <w:tcW w:w="760" w:type="dxa"/>
            <w:vAlign w:val="bottom"/>
          </w:tcPr>
          <w:p>
            <w:pPr>
              <w:jc w:val="center"/>
              <w:ind w:right="51"/>
              <w:spacing w:after="0" w:line="122" w:lineRule="exact"/>
              <w:rPr>
                <w:sz w:val="20"/>
                <w:szCs w:val="20"/>
                <w:color w:val="auto"/>
              </w:rPr>
            </w:pPr>
            <w:r>
              <w:rPr>
                <w:rFonts w:ascii="Times New Roman" w:cs="Times New Roman" w:eastAsia="Times New Roman" w:hAnsi="Times New Roman"/>
                <w:sz w:val="13"/>
                <w:szCs w:val="13"/>
                <w:b w:val="1"/>
                <w:bCs w:val="1"/>
                <w:color w:val="auto"/>
                <w:w w:val="93"/>
              </w:rPr>
              <w:t>Fair Value</w:t>
            </w:r>
          </w:p>
        </w:tc>
        <w:tc>
          <w:tcPr>
            <w:tcW w:w="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980" w:type="dxa"/>
            <w:vAlign w:val="bottom"/>
            <w:gridSpan w:val="3"/>
          </w:tcPr>
          <w:p>
            <w:pPr>
              <w:jc w:val="center"/>
              <w:ind w:right="120"/>
              <w:spacing w:after="0" w:line="122" w:lineRule="exact"/>
              <w:rPr>
                <w:sz w:val="20"/>
                <w:szCs w:val="20"/>
                <w:color w:val="auto"/>
              </w:rPr>
            </w:pPr>
            <w:r>
              <w:rPr>
                <w:rFonts w:ascii="Times New Roman" w:cs="Times New Roman" w:eastAsia="Times New Roman" w:hAnsi="Times New Roman"/>
                <w:sz w:val="13"/>
                <w:szCs w:val="13"/>
                <w:b w:val="1"/>
                <w:bCs w:val="1"/>
                <w:color w:val="auto"/>
                <w:w w:val="94"/>
              </w:rPr>
              <w:t>Available-for-</w:t>
            </w:r>
          </w:p>
        </w:tc>
        <w:tc>
          <w:tcPr>
            <w:tcW w:w="120" w:type="dxa"/>
            <w:vAlign w:val="bottom"/>
          </w:tcPr>
          <w:p>
            <w:pPr>
              <w:spacing w:after="0"/>
              <w:rPr>
                <w:sz w:val="10"/>
                <w:szCs w:val="10"/>
                <w:color w:val="auto"/>
              </w:rPr>
            </w:pPr>
          </w:p>
        </w:tc>
        <w:tc>
          <w:tcPr>
            <w:tcW w:w="840" w:type="dxa"/>
            <w:vAlign w:val="bottom"/>
            <w:gridSpan w:val="2"/>
          </w:tcPr>
          <w:p>
            <w:pPr>
              <w:jc w:val="center"/>
              <w:ind w:right="220"/>
              <w:spacing w:after="0" w:line="122" w:lineRule="exact"/>
              <w:rPr>
                <w:sz w:val="20"/>
                <w:szCs w:val="20"/>
                <w:color w:val="auto"/>
              </w:rPr>
            </w:pPr>
            <w:r>
              <w:rPr>
                <w:rFonts w:ascii="Times New Roman" w:cs="Times New Roman" w:eastAsia="Times New Roman" w:hAnsi="Times New Roman"/>
                <w:sz w:val="13"/>
                <w:szCs w:val="13"/>
                <w:b w:val="1"/>
                <w:bCs w:val="1"/>
                <w:color w:val="auto"/>
                <w:w w:val="97"/>
              </w:rPr>
              <w:t>Fair Value</w:t>
            </w:r>
          </w:p>
        </w:tc>
        <w:tc>
          <w:tcPr>
            <w:tcW w:w="200" w:type="dxa"/>
            <w:vAlign w:val="bottom"/>
          </w:tcPr>
          <w:p>
            <w:pPr>
              <w:spacing w:after="0"/>
              <w:rPr>
                <w:sz w:val="10"/>
                <w:szCs w:val="10"/>
                <w:color w:val="auto"/>
              </w:rPr>
            </w:pPr>
          </w:p>
        </w:tc>
        <w:tc>
          <w:tcPr>
            <w:tcW w:w="6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8"/>
        </w:trPr>
        <w:tc>
          <w:tcPr>
            <w:tcW w:w="5500" w:type="dxa"/>
            <w:vAlign w:val="bottom"/>
            <w:gridSpan w:val="2"/>
            <w:vMerge w:val="restart"/>
          </w:tcPr>
          <w:p>
            <w:pPr>
              <w:ind w:left="20"/>
              <w:spacing w:after="0"/>
              <w:rPr>
                <w:sz w:val="20"/>
                <w:szCs w:val="20"/>
                <w:color w:val="auto"/>
              </w:rPr>
            </w:pPr>
            <w:r>
              <w:rPr>
                <w:rFonts w:ascii="Times New Roman" w:cs="Times New Roman" w:eastAsia="Times New Roman" w:hAnsi="Times New Roman"/>
                <w:sz w:val="13"/>
                <w:szCs w:val="13"/>
                <w:b w:val="1"/>
                <w:bCs w:val="1"/>
                <w:color w:val="auto"/>
              </w:rPr>
              <w:t>Investment Securities</w:t>
            </w:r>
          </w:p>
        </w:tc>
        <w:tc>
          <w:tcPr>
            <w:tcW w:w="120" w:type="dxa"/>
            <w:vAlign w:val="bottom"/>
          </w:tcPr>
          <w:p>
            <w:pPr>
              <w:spacing w:after="0"/>
              <w:rPr>
                <w:sz w:val="11"/>
                <w:szCs w:val="11"/>
                <w:color w:val="auto"/>
              </w:rPr>
            </w:pPr>
          </w:p>
        </w:tc>
        <w:tc>
          <w:tcPr>
            <w:tcW w:w="860" w:type="dxa"/>
            <w:vAlign w:val="bottom"/>
            <w:gridSpan w:val="2"/>
          </w:tcPr>
          <w:p>
            <w:pPr>
              <w:jc w:val="center"/>
              <w:ind w:right="220"/>
              <w:spacing w:after="0" w:line="128" w:lineRule="exact"/>
              <w:rPr>
                <w:sz w:val="20"/>
                <w:szCs w:val="20"/>
                <w:color w:val="auto"/>
              </w:rPr>
            </w:pPr>
            <w:r>
              <w:rPr>
                <w:rFonts w:ascii="Times New Roman" w:cs="Times New Roman" w:eastAsia="Times New Roman" w:hAnsi="Times New Roman"/>
                <w:sz w:val="13"/>
                <w:szCs w:val="13"/>
                <w:b w:val="1"/>
                <w:bCs w:val="1"/>
                <w:color w:val="auto"/>
              </w:rPr>
              <w:t>Sale</w:t>
            </w:r>
          </w:p>
        </w:tc>
        <w:tc>
          <w:tcPr>
            <w:tcW w:w="120" w:type="dxa"/>
            <w:vAlign w:val="bottom"/>
          </w:tcPr>
          <w:p>
            <w:pPr>
              <w:spacing w:after="0"/>
              <w:rPr>
                <w:sz w:val="11"/>
                <w:szCs w:val="11"/>
                <w:color w:val="auto"/>
              </w:rPr>
            </w:pPr>
          </w:p>
        </w:tc>
        <w:tc>
          <w:tcPr>
            <w:tcW w:w="760" w:type="dxa"/>
            <w:vAlign w:val="bottom"/>
          </w:tcPr>
          <w:p>
            <w:pPr>
              <w:jc w:val="center"/>
              <w:ind w:right="71"/>
              <w:spacing w:after="0" w:line="128" w:lineRule="exact"/>
              <w:rPr>
                <w:sz w:val="20"/>
                <w:szCs w:val="20"/>
                <w:color w:val="auto"/>
              </w:rPr>
            </w:pPr>
            <w:r>
              <w:rPr>
                <w:rFonts w:ascii="Times New Roman" w:cs="Times New Roman" w:eastAsia="Times New Roman" w:hAnsi="Times New Roman"/>
                <w:sz w:val="13"/>
                <w:szCs w:val="13"/>
                <w:b w:val="1"/>
                <w:bCs w:val="1"/>
                <w:color w:val="auto"/>
                <w:w w:val="97"/>
              </w:rPr>
              <w:t>Option</w:t>
            </w: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80" w:type="dxa"/>
            <w:vAlign w:val="bottom"/>
            <w:gridSpan w:val="2"/>
            <w:vMerge w:val="restart"/>
          </w:tcPr>
          <w:p>
            <w:pPr>
              <w:ind w:left="100"/>
              <w:spacing w:after="0"/>
              <w:rPr>
                <w:sz w:val="20"/>
                <w:szCs w:val="20"/>
                <w:color w:val="auto"/>
              </w:rPr>
            </w:pPr>
            <w:r>
              <w:rPr>
                <w:rFonts w:ascii="Times New Roman" w:cs="Times New Roman" w:eastAsia="Times New Roman" w:hAnsi="Times New Roman"/>
                <w:sz w:val="13"/>
                <w:szCs w:val="13"/>
                <w:b w:val="1"/>
                <w:bCs w:val="1"/>
                <w:color w:val="auto"/>
              </w:rPr>
              <w:t>Total</w:t>
            </w:r>
          </w:p>
        </w:tc>
        <w:tc>
          <w:tcPr>
            <w:tcW w:w="120" w:type="dxa"/>
            <w:vAlign w:val="bottom"/>
          </w:tcPr>
          <w:p>
            <w:pPr>
              <w:spacing w:after="0"/>
              <w:rPr>
                <w:sz w:val="11"/>
                <w:szCs w:val="11"/>
                <w:color w:val="auto"/>
              </w:rPr>
            </w:pPr>
          </w:p>
        </w:tc>
        <w:tc>
          <w:tcPr>
            <w:tcW w:w="860" w:type="dxa"/>
            <w:vAlign w:val="bottom"/>
            <w:gridSpan w:val="2"/>
          </w:tcPr>
          <w:p>
            <w:pPr>
              <w:jc w:val="center"/>
              <w:ind w:right="240"/>
              <w:spacing w:after="0" w:line="128" w:lineRule="exact"/>
              <w:rPr>
                <w:sz w:val="20"/>
                <w:szCs w:val="20"/>
                <w:color w:val="auto"/>
              </w:rPr>
            </w:pPr>
            <w:r>
              <w:rPr>
                <w:rFonts w:ascii="Times New Roman" w:cs="Times New Roman" w:eastAsia="Times New Roman" w:hAnsi="Times New Roman"/>
                <w:sz w:val="13"/>
                <w:szCs w:val="13"/>
                <w:b w:val="1"/>
                <w:bCs w:val="1"/>
                <w:color w:val="auto"/>
                <w:w w:val="94"/>
              </w:rPr>
              <w:t>Sale</w:t>
            </w:r>
          </w:p>
        </w:tc>
        <w:tc>
          <w:tcPr>
            <w:tcW w:w="120" w:type="dxa"/>
            <w:vAlign w:val="bottom"/>
          </w:tcPr>
          <w:p>
            <w:pPr>
              <w:spacing w:after="0"/>
              <w:rPr>
                <w:sz w:val="11"/>
                <w:szCs w:val="11"/>
                <w:color w:val="auto"/>
              </w:rPr>
            </w:pPr>
          </w:p>
        </w:tc>
        <w:tc>
          <w:tcPr>
            <w:tcW w:w="840" w:type="dxa"/>
            <w:vAlign w:val="bottom"/>
            <w:gridSpan w:val="2"/>
          </w:tcPr>
          <w:p>
            <w:pPr>
              <w:jc w:val="center"/>
              <w:ind w:right="220"/>
              <w:spacing w:after="0" w:line="128" w:lineRule="exact"/>
              <w:rPr>
                <w:sz w:val="20"/>
                <w:szCs w:val="20"/>
                <w:color w:val="auto"/>
              </w:rPr>
            </w:pPr>
            <w:r>
              <w:rPr>
                <w:rFonts w:ascii="Times New Roman" w:cs="Times New Roman" w:eastAsia="Times New Roman" w:hAnsi="Times New Roman"/>
                <w:sz w:val="13"/>
                <w:szCs w:val="13"/>
                <w:b w:val="1"/>
                <w:bCs w:val="1"/>
                <w:color w:val="auto"/>
                <w:w w:val="97"/>
              </w:rPr>
              <w:t>Option</w:t>
            </w:r>
          </w:p>
        </w:tc>
        <w:tc>
          <w:tcPr>
            <w:tcW w:w="200" w:type="dxa"/>
            <w:vAlign w:val="bottom"/>
          </w:tcPr>
          <w:p>
            <w:pPr>
              <w:spacing w:after="0"/>
              <w:rPr>
                <w:sz w:val="11"/>
                <w:szCs w:val="11"/>
                <w:color w:val="auto"/>
              </w:rPr>
            </w:pPr>
          </w:p>
        </w:tc>
        <w:tc>
          <w:tcPr>
            <w:tcW w:w="680" w:type="dxa"/>
            <w:vAlign w:val="bottom"/>
            <w:vMerge w:val="restart"/>
          </w:tcPr>
          <w:p>
            <w:pPr>
              <w:jc w:val="right"/>
              <w:ind w:right="229"/>
              <w:spacing w:after="0"/>
              <w:rPr>
                <w:sz w:val="20"/>
                <w:szCs w:val="20"/>
                <w:color w:val="auto"/>
              </w:rPr>
            </w:pPr>
            <w:r>
              <w:rPr>
                <w:rFonts w:ascii="Times New Roman" w:cs="Times New Roman" w:eastAsia="Times New Roman" w:hAnsi="Times New Roman"/>
                <w:sz w:val="13"/>
                <w:szCs w:val="13"/>
                <w:b w:val="1"/>
                <w:bCs w:val="1"/>
                <w:color w:val="auto"/>
              </w:rPr>
              <w:t>Total</w:t>
            </w:r>
          </w:p>
        </w:tc>
        <w:tc>
          <w:tcPr>
            <w:tcW w:w="0" w:type="dxa"/>
            <w:vAlign w:val="bottom"/>
          </w:tcPr>
          <w:p>
            <w:pPr>
              <w:spacing w:after="0"/>
              <w:rPr>
                <w:sz w:val="1"/>
                <w:szCs w:val="1"/>
                <w:color w:val="auto"/>
              </w:rPr>
            </w:pPr>
          </w:p>
        </w:tc>
      </w:tr>
      <w:tr>
        <w:trPr>
          <w:trHeight w:val="176"/>
        </w:trPr>
        <w:tc>
          <w:tcPr>
            <w:tcW w:w="55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center"/>
              <w:ind w:right="220"/>
              <w:spacing w:after="0" w:line="175" w:lineRule="exact"/>
              <w:rPr>
                <w:sz w:val="20"/>
                <w:szCs w:val="20"/>
                <w:color w:val="auto"/>
              </w:rPr>
            </w:pPr>
            <w:r>
              <w:rPr>
                <w:rFonts w:ascii="Times New Roman" w:cs="Times New Roman" w:eastAsia="Times New Roman" w:hAnsi="Times New Roman"/>
                <w:sz w:val="13"/>
                <w:szCs w:val="13"/>
                <w:b w:val="1"/>
                <w:bCs w:val="1"/>
                <w:color w:val="auto"/>
                <w:w w:val="95"/>
              </w:rPr>
              <w:t xml:space="preserve">Securities </w:t>
            </w:r>
            <w:r>
              <w:rPr>
                <w:rFonts w:ascii="Times New Roman" w:cs="Times New Roman" w:eastAsia="Times New Roman" w:hAnsi="Times New Roman"/>
                <w:sz w:val="16"/>
                <w:szCs w:val="16"/>
                <w:b w:val="1"/>
                <w:bCs w:val="1"/>
                <w:color w:val="auto"/>
                <w:w w:val="95"/>
                <w:vertAlign w:val="superscript"/>
              </w:rPr>
              <w:t>2</w:t>
            </w:r>
          </w:p>
        </w:tc>
        <w:tc>
          <w:tcPr>
            <w:tcW w:w="120" w:type="dxa"/>
            <w:vAlign w:val="bottom"/>
          </w:tcPr>
          <w:p>
            <w:pPr>
              <w:spacing w:after="0"/>
              <w:rPr>
                <w:sz w:val="15"/>
                <w:szCs w:val="15"/>
                <w:color w:val="auto"/>
              </w:rPr>
            </w:pPr>
          </w:p>
        </w:tc>
        <w:tc>
          <w:tcPr>
            <w:tcW w:w="760" w:type="dxa"/>
            <w:vAlign w:val="bottom"/>
          </w:tcPr>
          <w:p>
            <w:pPr>
              <w:jc w:val="center"/>
              <w:ind w:right="51"/>
              <w:spacing w:after="0"/>
              <w:rPr>
                <w:sz w:val="20"/>
                <w:szCs w:val="20"/>
                <w:color w:val="auto"/>
              </w:rPr>
            </w:pPr>
            <w:r>
              <w:rPr>
                <w:rFonts w:ascii="Times New Roman" w:cs="Times New Roman" w:eastAsia="Times New Roman" w:hAnsi="Times New Roman"/>
                <w:sz w:val="13"/>
                <w:szCs w:val="13"/>
                <w:b w:val="1"/>
                <w:bCs w:val="1"/>
                <w:color w:val="auto"/>
                <w:w w:val="95"/>
              </w:rPr>
              <w:t>Securities</w:t>
            </w:r>
          </w:p>
        </w:tc>
        <w:tc>
          <w:tcPr>
            <w:tcW w:w="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8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gridSpan w:val="2"/>
          </w:tcPr>
          <w:p>
            <w:pPr>
              <w:jc w:val="center"/>
              <w:ind w:right="220"/>
              <w:spacing w:after="0" w:line="175" w:lineRule="exact"/>
              <w:rPr>
                <w:sz w:val="20"/>
                <w:szCs w:val="20"/>
                <w:color w:val="auto"/>
              </w:rPr>
            </w:pPr>
            <w:r>
              <w:rPr>
                <w:rFonts w:ascii="Times New Roman" w:cs="Times New Roman" w:eastAsia="Times New Roman" w:hAnsi="Times New Roman"/>
                <w:sz w:val="13"/>
                <w:szCs w:val="13"/>
                <w:b w:val="1"/>
                <w:bCs w:val="1"/>
                <w:color w:val="auto"/>
                <w:w w:val="95"/>
              </w:rPr>
              <w:t xml:space="preserve">Securities </w:t>
            </w:r>
            <w:r>
              <w:rPr>
                <w:rFonts w:ascii="Times New Roman" w:cs="Times New Roman" w:eastAsia="Times New Roman" w:hAnsi="Times New Roman"/>
                <w:sz w:val="16"/>
                <w:szCs w:val="16"/>
                <w:b w:val="1"/>
                <w:bCs w:val="1"/>
                <w:color w:val="auto"/>
                <w:w w:val="95"/>
                <w:vertAlign w:val="superscript"/>
              </w:rPr>
              <w:t>2</w:t>
            </w:r>
          </w:p>
        </w:tc>
        <w:tc>
          <w:tcPr>
            <w:tcW w:w="120" w:type="dxa"/>
            <w:vAlign w:val="bottom"/>
          </w:tcPr>
          <w:p>
            <w:pPr>
              <w:spacing w:after="0"/>
              <w:rPr>
                <w:sz w:val="15"/>
                <w:szCs w:val="15"/>
                <w:color w:val="auto"/>
              </w:rPr>
            </w:pPr>
          </w:p>
        </w:tc>
        <w:tc>
          <w:tcPr>
            <w:tcW w:w="840" w:type="dxa"/>
            <w:vAlign w:val="bottom"/>
            <w:gridSpan w:val="2"/>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w w:val="99"/>
              </w:rPr>
              <w:t>Securities</w:t>
            </w:r>
          </w:p>
        </w:tc>
        <w:tc>
          <w:tcPr>
            <w:tcW w:w="200" w:type="dxa"/>
            <w:vAlign w:val="bottom"/>
          </w:tcPr>
          <w:p>
            <w:pPr>
              <w:spacing w:after="0"/>
              <w:rPr>
                <w:sz w:val="15"/>
                <w:szCs w:val="15"/>
                <w:color w:val="auto"/>
              </w:rPr>
            </w:pPr>
          </w:p>
        </w:tc>
        <w:tc>
          <w:tcPr>
            <w:tcW w:w="68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9"/>
        </w:trPr>
        <w:tc>
          <w:tcPr>
            <w:tcW w:w="540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Investment securities sold, at cost</w:t>
            </w:r>
          </w:p>
        </w:tc>
        <w:tc>
          <w:tcPr>
            <w:tcW w:w="100" w:type="dxa"/>
            <w:vAlign w:val="bottom"/>
          </w:tcPr>
          <w:p>
            <w:pPr>
              <w:spacing w:after="0"/>
              <w:rPr>
                <w:sz w:val="16"/>
                <w:szCs w:val="16"/>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(315)</w:t>
            </w:r>
          </w:p>
        </w:tc>
        <w:tc>
          <w:tcPr>
            <w:tcW w:w="100" w:type="dxa"/>
            <w:vAlign w:val="bottom"/>
          </w:tcPr>
          <w:p>
            <w:pPr>
              <w:spacing w:after="0"/>
              <w:rPr>
                <w:sz w:val="16"/>
                <w:szCs w:val="16"/>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(7,312)</w:t>
            </w:r>
          </w:p>
        </w:tc>
        <w:tc>
          <w:tcPr>
            <w:tcW w:w="80" w:type="dxa"/>
            <w:vAlign w:val="bottom"/>
          </w:tcPr>
          <w:p>
            <w:pPr>
              <w:spacing w:after="0"/>
              <w:rPr>
                <w:sz w:val="16"/>
                <w:szCs w:val="16"/>
                <w:color w:val="auto"/>
              </w:rPr>
            </w:pPr>
          </w:p>
        </w:tc>
        <w:tc>
          <w:tcPr>
            <w:tcW w:w="200" w:type="dxa"/>
            <w:vAlign w:val="bottom"/>
            <w:tcBorders>
              <w:top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(7,627)</w:t>
            </w:r>
          </w:p>
        </w:tc>
        <w:tc>
          <w:tcPr>
            <w:tcW w:w="100" w:type="dxa"/>
            <w:vAlign w:val="bottom"/>
          </w:tcPr>
          <w:p>
            <w:pPr>
              <w:spacing w:after="0"/>
              <w:rPr>
                <w:sz w:val="16"/>
                <w:szCs w:val="16"/>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(493)</w:t>
            </w:r>
          </w:p>
        </w:tc>
        <w:tc>
          <w:tcPr>
            <w:tcW w:w="100" w:type="dxa"/>
            <w:vAlign w:val="bottom"/>
          </w:tcPr>
          <w:p>
            <w:pPr>
              <w:spacing w:after="0"/>
              <w:rPr>
                <w:sz w:val="16"/>
                <w:szCs w:val="16"/>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(5,864)</w:t>
            </w:r>
          </w:p>
        </w:tc>
        <w:tc>
          <w:tcPr>
            <w:tcW w:w="100" w:type="dxa"/>
            <w:vAlign w:val="bottom"/>
          </w:tcPr>
          <w:p>
            <w:pPr>
              <w:spacing w:after="0"/>
              <w:rPr>
                <w:sz w:val="16"/>
                <w:szCs w:val="16"/>
                <w:color w:val="auto"/>
              </w:rPr>
            </w:pPr>
          </w:p>
        </w:tc>
        <w:tc>
          <w:tcPr>
            <w:tcW w:w="200" w:type="dxa"/>
            <w:vAlign w:val="bottom"/>
            <w:tcBorders>
              <w:top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(6,357)</w:t>
            </w:r>
          </w:p>
        </w:tc>
        <w:tc>
          <w:tcPr>
            <w:tcW w:w="0" w:type="dxa"/>
            <w:vAlign w:val="bottom"/>
          </w:tcPr>
          <w:p>
            <w:pPr>
              <w:spacing w:after="0"/>
              <w:rPr>
                <w:sz w:val="1"/>
                <w:szCs w:val="1"/>
                <w:color w:val="auto"/>
              </w:rPr>
            </w:pPr>
          </w:p>
        </w:tc>
      </w:tr>
      <w:tr>
        <w:trPr>
          <w:trHeight w:val="210"/>
        </w:trPr>
        <w:tc>
          <w:tcPr>
            <w:tcW w:w="55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 xml:space="preserve">Proceeds from investment securities sold </w:t>
            </w:r>
            <w:r>
              <w:rPr>
                <w:rFonts w:ascii="Times New Roman" w:cs="Times New Roman" w:eastAsia="Times New Roman" w:hAnsi="Times New Roman"/>
                <w:sz w:val="9"/>
                <w:szCs w:val="9"/>
                <w:color w:val="auto"/>
              </w:rPr>
              <w:t>1</w:t>
            </w:r>
          </w:p>
        </w:tc>
        <w:tc>
          <w:tcPr>
            <w:tcW w:w="1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315</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ind w:right="11"/>
              <w:spacing w:after="0"/>
              <w:rPr>
                <w:sz w:val="20"/>
                <w:szCs w:val="20"/>
                <w:color w:val="auto"/>
              </w:rPr>
            </w:pPr>
            <w:r>
              <w:rPr>
                <w:rFonts w:ascii="Times New Roman" w:cs="Times New Roman" w:eastAsia="Times New Roman" w:hAnsi="Times New Roman"/>
                <w:sz w:val="14"/>
                <w:szCs w:val="14"/>
                <w:color w:val="auto"/>
              </w:rPr>
              <w:t>6,970</w:t>
            </w:r>
          </w:p>
        </w:tc>
        <w:tc>
          <w:tcPr>
            <w:tcW w:w="8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7,285</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511</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5,833</w:t>
            </w:r>
          </w:p>
        </w:tc>
        <w:tc>
          <w:tcPr>
            <w:tcW w:w="10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6,344</w:t>
            </w:r>
          </w:p>
        </w:tc>
        <w:tc>
          <w:tcPr>
            <w:tcW w:w="0" w:type="dxa"/>
            <w:vAlign w:val="bottom"/>
          </w:tcPr>
          <w:p>
            <w:pPr>
              <w:spacing w:after="0"/>
              <w:rPr>
                <w:sz w:val="1"/>
                <w:szCs w:val="1"/>
                <w:color w:val="auto"/>
              </w:rPr>
            </w:pPr>
          </w:p>
        </w:tc>
      </w:tr>
      <w:tr>
        <w:trPr>
          <w:trHeight w:val="196"/>
        </w:trPr>
        <w:tc>
          <w:tcPr>
            <w:tcW w:w="55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Net gain (loss) on sale of investment securities</w:t>
            </w: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(342)</w:t>
            </w:r>
          </w:p>
        </w:tc>
        <w:tc>
          <w:tcPr>
            <w:tcW w:w="80" w:type="dxa"/>
            <w:vAlign w:val="bottom"/>
          </w:tcPr>
          <w:p>
            <w:pPr>
              <w:spacing w:after="0"/>
              <w:rPr>
                <w:sz w:val="17"/>
                <w:szCs w:val="17"/>
                <w:color w:val="auto"/>
              </w:rPr>
            </w:pPr>
          </w:p>
        </w:tc>
        <w:tc>
          <w:tcPr>
            <w:tcW w:w="2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(342)</w:t>
            </w: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00" w:type="dxa"/>
            <w:vAlign w:val="bottom"/>
          </w:tcPr>
          <w:p>
            <w:pPr>
              <w:spacing w:after="0"/>
              <w:rPr>
                <w:sz w:val="17"/>
                <w:szCs w:val="17"/>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w:t>
            </w:r>
          </w:p>
        </w:tc>
        <w:tc>
          <w:tcPr>
            <w:tcW w:w="100" w:type="dxa"/>
            <w:vAlign w:val="bottom"/>
          </w:tcPr>
          <w:p>
            <w:pPr>
              <w:spacing w:after="0"/>
              <w:rPr>
                <w:sz w:val="17"/>
                <w:szCs w:val="17"/>
                <w:color w:val="auto"/>
              </w:rPr>
            </w:pPr>
          </w:p>
        </w:tc>
        <w:tc>
          <w:tcPr>
            <w:tcW w:w="2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w:t>
            </w:r>
          </w:p>
        </w:tc>
        <w:tc>
          <w:tcPr>
            <w:tcW w:w="0" w:type="dxa"/>
            <w:vAlign w:val="bottom"/>
          </w:tcPr>
          <w:p>
            <w:pPr>
              <w:spacing w:after="0"/>
              <w:rPr>
                <w:sz w:val="1"/>
                <w:szCs w:val="1"/>
                <w:color w:val="auto"/>
              </w:rPr>
            </w:pPr>
          </w:p>
        </w:tc>
      </w:tr>
      <w:tr>
        <w:trPr>
          <w:trHeight w:val="20"/>
        </w:trPr>
        <w:tc>
          <w:tcPr>
            <w:tcW w:w="540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54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5"/>
        </w:trPr>
        <w:tc>
          <w:tcPr>
            <w:tcW w:w="55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Gross gain on sale of investment securities</w:t>
            </w: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Pr>
          <w:p>
            <w:pPr>
              <w:jc w:val="right"/>
              <w:ind w:right="11"/>
              <w:spacing w:after="0"/>
              <w:rPr>
                <w:sz w:val="20"/>
                <w:szCs w:val="20"/>
                <w:color w:val="auto"/>
              </w:rPr>
            </w:pPr>
            <w:r>
              <w:rPr>
                <w:rFonts w:ascii="Times New Roman" w:cs="Times New Roman" w:eastAsia="Times New Roman" w:hAnsi="Times New Roman"/>
                <w:sz w:val="14"/>
                <w:szCs w:val="14"/>
                <w:color w:val="auto"/>
              </w:rPr>
              <w:t>4</w:t>
            </w:r>
          </w:p>
        </w:tc>
        <w:tc>
          <w:tcPr>
            <w:tcW w:w="280" w:type="dxa"/>
            <w:vAlign w:val="bottom"/>
            <w:gridSpan w:val="2"/>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00" w:type="dxa"/>
            <w:vAlign w:val="bottom"/>
          </w:tcPr>
          <w:p>
            <w:pPr>
              <w:spacing w:after="0"/>
              <w:rPr>
                <w:sz w:val="16"/>
                <w:szCs w:val="16"/>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67</w:t>
            </w:r>
          </w:p>
        </w:tc>
        <w:tc>
          <w:tcPr>
            <w:tcW w:w="0" w:type="dxa"/>
            <w:vAlign w:val="bottom"/>
          </w:tcPr>
          <w:p>
            <w:pPr>
              <w:spacing w:after="0"/>
              <w:rPr>
                <w:sz w:val="1"/>
                <w:szCs w:val="1"/>
                <w:color w:val="auto"/>
              </w:rPr>
            </w:pPr>
          </w:p>
        </w:tc>
      </w:tr>
      <w:tr>
        <w:trPr>
          <w:trHeight w:val="210"/>
        </w:trPr>
        <w:tc>
          <w:tcPr>
            <w:tcW w:w="55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Gross loss on sale of investment securities</w:t>
            </w: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(346)</w:t>
            </w:r>
          </w:p>
        </w:tc>
        <w:tc>
          <w:tcPr>
            <w:tcW w:w="8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6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(80)</w:t>
            </w:r>
          </w:p>
        </w:tc>
        <w:tc>
          <w:tcPr>
            <w:tcW w:w="0" w:type="dxa"/>
            <w:vAlign w:val="bottom"/>
          </w:tcPr>
          <w:p>
            <w:pPr>
              <w:spacing w:after="0"/>
              <w:rPr>
                <w:sz w:val="1"/>
                <w:szCs w:val="1"/>
                <w:color w:val="auto"/>
              </w:rPr>
            </w:pPr>
          </w:p>
        </w:tc>
      </w:tr>
      <w:tr>
        <w:trPr>
          <w:trHeight w:val="196"/>
        </w:trPr>
        <w:tc>
          <w:tcPr>
            <w:tcW w:w="55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Net gain (loss) on sale of investment securities</w:t>
            </w: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(342)</w:t>
            </w:r>
          </w:p>
        </w:tc>
        <w:tc>
          <w:tcPr>
            <w:tcW w:w="8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(342)</w:t>
            </w: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00" w:type="dxa"/>
            <w:vAlign w:val="bottom"/>
          </w:tcPr>
          <w:p>
            <w:pPr>
              <w:spacing w:after="0"/>
              <w:rPr>
                <w:sz w:val="17"/>
                <w:szCs w:val="17"/>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w:t>
            </w:r>
          </w:p>
        </w:tc>
        <w:tc>
          <w:tcPr>
            <w:tcW w:w="100" w:type="dxa"/>
            <w:vAlign w:val="bottom"/>
          </w:tcPr>
          <w:p>
            <w:pPr>
              <w:spacing w:after="0"/>
              <w:rPr>
                <w:sz w:val="17"/>
                <w:szCs w:val="17"/>
                <w:color w:val="auto"/>
              </w:rPr>
            </w:pPr>
          </w:p>
        </w:tc>
        <w:tc>
          <w:tcPr>
            <w:tcW w:w="200" w:type="dxa"/>
            <w:vAlign w:val="bottom"/>
            <w:tcBorders>
              <w:top w:val="single" w:sz="8" w:color="auto"/>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(13)</w:t>
            </w:r>
          </w:p>
        </w:tc>
        <w:tc>
          <w:tcPr>
            <w:tcW w:w="0" w:type="dxa"/>
            <w:vAlign w:val="bottom"/>
          </w:tcPr>
          <w:p>
            <w:pPr>
              <w:spacing w:after="0"/>
              <w:rPr>
                <w:sz w:val="1"/>
                <w:szCs w:val="1"/>
                <w:color w:val="auto"/>
              </w:rPr>
            </w:pPr>
          </w:p>
        </w:tc>
      </w:tr>
      <w:tr>
        <w:trPr>
          <w:trHeight w:val="20"/>
        </w:trPr>
        <w:tc>
          <w:tcPr>
            <w:tcW w:w="54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8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54" w:lineRule="exact"/>
        <w:rPr>
          <w:sz w:val="20"/>
          <w:szCs w:val="20"/>
          <w:color w:val="auto"/>
        </w:rPr>
      </w:pPr>
    </w:p>
    <w:p>
      <w:pPr>
        <w:ind w:left="660" w:hanging="328"/>
        <w:spacing w:after="0"/>
        <w:tabs>
          <w:tab w:leader="none" w:pos="660" w:val="left"/>
        </w:tabs>
        <w:numPr>
          <w:ilvl w:val="0"/>
          <w:numId w:val="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Proceeds include cash received during the period, plus receivable for investment securities sold during the period as of period end.</w:t>
      </w:r>
    </w:p>
    <w:p>
      <w:pPr>
        <w:spacing w:after="0" w:line="55"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See Note 9 for a summary of changes in accumulated OCI.</w:t>
      </w:r>
    </w:p>
    <w:p>
      <w:pPr>
        <w:spacing w:after="0" w:line="3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4. Repurchase Agreements and Reverse Repurchase Agreements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Repurchase Agreements</w:t>
      </w:r>
    </w:p>
    <w:p>
      <w:pPr>
        <w:spacing w:after="0" w:line="175"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We pledge our securities as collateral under our borrowings structured as repurchase agreements with financial institutions. Amounts available to be borrowed are dependent upon the fair value of the securities pledged as collateral, which fluctuates with changes in interest rates, type of security and liquidity conditions within the banking, mortgage finance and real estate industries. If the fair value of our pledged securities declines, lenders will typically require us to post additional collateral or pay down borrowings to re-establish agreed upon collateral requirements, referred to as "margin calls." Similarly, if the fair value of our pledged securities increases, lenders may release collateral back to us. As of March 31, 2022, we had met all margin call requirements. For additional information regarding our pledged assets, please refer to Note 6.</w:t>
      </w:r>
    </w:p>
    <w:p>
      <w:pPr>
        <w:spacing w:after="0" w:line="133"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As of March 31, 2022 and December 31, 2021, we had $44.7 billion and $47.4 billion, respectively, of repurchase agreements outstanding used to fund our investment portfolio and temporary holdings of U.S. Treasury securities. The terms and conditions of our repurchase agreements are typically negotiated on a transaction-by-transaction basis. Our repurchase agreements with original maturities greater than one year may have floating interest rates based on an index plus or minus a fixed spread. The following table summarizes our borrowings under repurchase agreements by their remaining maturities as of March 31, 2022 and December 31, 2021 (dollars in millions):</w:t>
      </w:r>
    </w:p>
    <w:p>
      <w:pPr>
        <w:sectPr>
          <w:pgSz w:w="11900" w:h="16838" w:orient="portrait"/>
          <w:cols w:equalWidth="0" w:num="1">
            <w:col w:w="11240"/>
          </w:cols>
          <w:pgMar w:left="320" w:top="925" w:right="339" w:bottom="1440" w:gutter="0" w:footer="0" w:header="0"/>
        </w:sectPr>
      </w:pPr>
    </w:p>
    <w:p>
      <w:pPr>
        <w:spacing w:after="0" w:line="200" w:lineRule="exact"/>
        <w:rPr>
          <w:sz w:val="20"/>
          <w:szCs w:val="20"/>
          <w:color w:val="auto"/>
        </w:rPr>
      </w:pPr>
    </w:p>
    <w:p>
      <w:pPr>
        <w:spacing w:after="0" w:line="32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5" w:right="339" w:bottom="1440" w:gutter="0" w:footer="0" w:header="0"/>
          <w:type w:val="continuous"/>
        </w:sectPr>
      </w:pPr>
    </w:p>
    <w:bookmarkStart w:id="14" w:name="page15"/>
    <w:bookmarkEnd w:id="14"/>
    <w:tbl>
      <w:tblPr>
        <w:tblLayout w:type="fixed"/>
        <w:tblInd w:w="60" w:type="dxa"/>
        <w:tblCellMar>
          <w:top w:w="0" w:type="dxa"/>
          <w:left w:w="0" w:type="dxa"/>
          <w:bottom w:w="0" w:type="dxa"/>
          <w:right w:w="0" w:type="dxa"/>
        </w:tblCellMar>
      </w:tblPr>
      <w:tr>
        <w:trPr>
          <w:trHeight w:val="190"/>
        </w:trPr>
        <w:tc>
          <w:tcPr>
            <w:tcW w:w="24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4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18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4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1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480" w:type="dxa"/>
            <w:vAlign w:val="bottom"/>
          </w:tcPr>
          <w:p>
            <w:pPr>
              <w:spacing w:after="0"/>
              <w:rPr>
                <w:sz w:val="2"/>
                <w:szCs w:val="2"/>
                <w:color w:val="auto"/>
              </w:rPr>
            </w:pPr>
          </w:p>
        </w:tc>
        <w:tc>
          <w:tcPr>
            <w:tcW w:w="4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2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gridSpan w:val="2"/>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24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440" w:type="dxa"/>
            <w:vAlign w:val="bottom"/>
            <w:gridSpan w:val="2"/>
          </w:tcPr>
          <w:p>
            <w:pPr>
              <w:jc w:val="center"/>
              <w:ind w:right="140"/>
              <w:spacing w:after="0" w:line="131" w:lineRule="exact"/>
              <w:rPr>
                <w:sz w:val="20"/>
                <w:szCs w:val="20"/>
                <w:color w:val="auto"/>
              </w:rPr>
            </w:pPr>
            <w:r>
              <w:rPr>
                <w:rFonts w:ascii="Times New Roman" w:cs="Times New Roman" w:eastAsia="Times New Roman" w:hAnsi="Times New Roman"/>
                <w:sz w:val="14"/>
                <w:szCs w:val="14"/>
                <w:b w:val="1"/>
                <w:bCs w:val="1"/>
                <w:color w:val="auto"/>
              </w:rPr>
              <w:t>Weighted</w:t>
            </w:r>
          </w:p>
        </w:tc>
        <w:tc>
          <w:tcPr>
            <w:tcW w:w="1600" w:type="dxa"/>
            <w:vAlign w:val="bottom"/>
            <w:gridSpan w:val="2"/>
            <w:vMerge w:val="restart"/>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160" w:type="dxa"/>
            <w:vAlign w:val="bottom"/>
          </w:tcPr>
          <w:p>
            <w:pPr>
              <w:spacing w:after="0"/>
              <w:rPr>
                <w:sz w:val="11"/>
                <w:szCs w:val="11"/>
                <w:color w:val="auto"/>
              </w:rPr>
            </w:pPr>
          </w:p>
        </w:tc>
        <w:tc>
          <w:tcPr>
            <w:tcW w:w="10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440" w:type="dxa"/>
            <w:vAlign w:val="bottom"/>
            <w:gridSpan w:val="2"/>
          </w:tcPr>
          <w:p>
            <w:pPr>
              <w:jc w:val="center"/>
              <w:ind w:right="140"/>
              <w:spacing w:after="0" w:line="131" w:lineRule="exact"/>
              <w:rPr>
                <w:sz w:val="20"/>
                <w:szCs w:val="20"/>
                <w:color w:val="auto"/>
              </w:rPr>
            </w:pPr>
            <w:r>
              <w:rPr>
                <w:rFonts w:ascii="Times New Roman" w:cs="Times New Roman" w:eastAsia="Times New Roman" w:hAnsi="Times New Roman"/>
                <w:sz w:val="14"/>
                <w:szCs w:val="14"/>
                <w:b w:val="1"/>
                <w:bCs w:val="1"/>
                <w:color w:val="auto"/>
              </w:rPr>
              <w:t>Weighted</w:t>
            </w:r>
          </w:p>
        </w:tc>
        <w:tc>
          <w:tcPr>
            <w:tcW w:w="11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0" w:type="dxa"/>
            <w:vAlign w:val="bottom"/>
          </w:tcPr>
          <w:p>
            <w:pPr>
              <w:spacing w:after="0"/>
              <w:rPr>
                <w:sz w:val="1"/>
                <w:szCs w:val="1"/>
                <w:color w:val="auto"/>
              </w:rPr>
            </w:pPr>
          </w:p>
        </w:tc>
      </w:tr>
      <w:tr>
        <w:trPr>
          <w:trHeight w:val="146"/>
        </w:trPr>
        <w:tc>
          <w:tcPr>
            <w:tcW w:w="24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Repurchase</w:t>
            </w:r>
          </w:p>
        </w:tc>
        <w:tc>
          <w:tcPr>
            <w:tcW w:w="1440" w:type="dxa"/>
            <w:vAlign w:val="bottom"/>
            <w:gridSpan w:val="2"/>
          </w:tcPr>
          <w:p>
            <w:pPr>
              <w:jc w:val="center"/>
              <w:ind w:right="140"/>
              <w:spacing w:after="0" w:line="146"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60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14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Repurchase</w:t>
            </w:r>
          </w:p>
        </w:tc>
        <w:tc>
          <w:tcPr>
            <w:tcW w:w="1440" w:type="dxa"/>
            <w:vAlign w:val="bottom"/>
            <w:gridSpan w:val="2"/>
          </w:tcPr>
          <w:p>
            <w:pPr>
              <w:jc w:val="center"/>
              <w:ind w:right="140"/>
              <w:spacing w:after="0" w:line="146"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1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290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Remaining Maturity</w:t>
            </w:r>
          </w:p>
        </w:tc>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4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Interest</w:t>
            </w:r>
          </w:p>
        </w:tc>
        <w:tc>
          <w:tcPr>
            <w:tcW w:w="1600" w:type="dxa"/>
            <w:vAlign w:val="bottom"/>
            <w:gridSpan w:val="2"/>
          </w:tcPr>
          <w:p>
            <w:pPr>
              <w:jc w:val="center"/>
              <w:ind w:right="440"/>
              <w:spacing w:after="0" w:line="149" w:lineRule="exact"/>
              <w:rPr>
                <w:sz w:val="20"/>
                <w:szCs w:val="20"/>
                <w:color w:val="auto"/>
              </w:rPr>
            </w:pPr>
            <w:r>
              <w:rPr>
                <w:rFonts w:ascii="Times New Roman" w:cs="Times New Roman" w:eastAsia="Times New Roman" w:hAnsi="Times New Roman"/>
                <w:sz w:val="14"/>
                <w:szCs w:val="14"/>
                <w:b w:val="1"/>
                <w:bCs w:val="1"/>
                <w:color w:val="auto"/>
              </w:rPr>
              <w:t>Average Days</w:t>
            </w:r>
          </w:p>
        </w:tc>
        <w:tc>
          <w:tcPr>
            <w:tcW w:w="16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44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w w:val="98"/>
              </w:rPr>
              <w:t>Interest</w:t>
            </w:r>
          </w:p>
        </w:tc>
        <w:tc>
          <w:tcPr>
            <w:tcW w:w="11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Average Days</w:t>
            </w:r>
          </w:p>
        </w:tc>
        <w:tc>
          <w:tcPr>
            <w:tcW w:w="0" w:type="dxa"/>
            <w:vAlign w:val="bottom"/>
          </w:tcPr>
          <w:p>
            <w:pPr>
              <w:spacing w:after="0"/>
              <w:rPr>
                <w:sz w:val="1"/>
                <w:szCs w:val="1"/>
                <w:color w:val="auto"/>
              </w:rPr>
            </w:pPr>
          </w:p>
        </w:tc>
      </w:tr>
      <w:tr>
        <w:trPr>
          <w:trHeight w:val="198"/>
        </w:trPr>
        <w:tc>
          <w:tcPr>
            <w:tcW w:w="290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14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Agreements</w:t>
            </w:r>
          </w:p>
        </w:tc>
        <w:tc>
          <w:tcPr>
            <w:tcW w:w="144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Rate</w:t>
            </w:r>
          </w:p>
        </w:tc>
        <w:tc>
          <w:tcPr>
            <w:tcW w:w="1600" w:type="dxa"/>
            <w:vAlign w:val="bottom"/>
            <w:gridSpan w:val="2"/>
          </w:tcPr>
          <w:p>
            <w:pPr>
              <w:jc w:val="center"/>
              <w:ind w:right="440"/>
              <w:spacing w:after="0"/>
              <w:rPr>
                <w:sz w:val="20"/>
                <w:szCs w:val="20"/>
                <w:color w:val="auto"/>
              </w:rPr>
            </w:pPr>
            <w:r>
              <w:rPr>
                <w:rFonts w:ascii="Times New Roman" w:cs="Times New Roman" w:eastAsia="Times New Roman" w:hAnsi="Times New Roman"/>
                <w:sz w:val="14"/>
                <w:szCs w:val="14"/>
                <w:b w:val="1"/>
                <w:bCs w:val="1"/>
                <w:color w:val="auto"/>
              </w:rPr>
              <w:t>to Maturity</w:t>
            </w:r>
          </w:p>
        </w:tc>
        <w:tc>
          <w:tcPr>
            <w:tcW w:w="160" w:type="dxa"/>
            <w:vAlign w:val="bottom"/>
          </w:tcPr>
          <w:p>
            <w:pPr>
              <w:spacing w:after="0"/>
              <w:rPr>
                <w:sz w:val="17"/>
                <w:szCs w:val="17"/>
                <w:color w:val="auto"/>
              </w:rPr>
            </w:pPr>
          </w:p>
        </w:tc>
        <w:tc>
          <w:tcPr>
            <w:tcW w:w="114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Agreements</w:t>
            </w:r>
          </w:p>
        </w:tc>
        <w:tc>
          <w:tcPr>
            <w:tcW w:w="144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Rate</w:t>
            </w:r>
          </w:p>
        </w:tc>
        <w:tc>
          <w:tcPr>
            <w:tcW w:w="11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to Maturity</w:t>
            </w:r>
          </w:p>
        </w:tc>
        <w:tc>
          <w:tcPr>
            <w:tcW w:w="0" w:type="dxa"/>
            <w:vAlign w:val="bottom"/>
          </w:tcPr>
          <w:p>
            <w:pPr>
              <w:spacing w:after="0"/>
              <w:rPr>
                <w:sz w:val="1"/>
                <w:szCs w:val="1"/>
                <w:color w:val="auto"/>
              </w:rPr>
            </w:pPr>
          </w:p>
        </w:tc>
      </w:tr>
      <w:tr>
        <w:trPr>
          <w:trHeight w:val="215"/>
        </w:trPr>
        <w:tc>
          <w:tcPr>
            <w:tcW w:w="24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Agency repo:</w:t>
            </w:r>
          </w:p>
        </w:tc>
        <w:tc>
          <w:tcPr>
            <w:tcW w:w="42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spacing w:after="0"/>
              <w:rPr>
                <w:sz w:val="18"/>
                <w:szCs w:val="18"/>
                <w:color w:val="auto"/>
              </w:rPr>
            </w:pPr>
          </w:p>
        </w:tc>
        <w:tc>
          <w:tcPr>
            <w:tcW w:w="1020" w:type="dxa"/>
            <w:vAlign w:val="bottom"/>
            <w:tcBorders>
              <w:top w:val="single" w:sz="8" w:color="auto"/>
            </w:tcBorders>
            <w:shd w:val="clear" w:color="auto" w:fill="CCEEFF"/>
          </w:tcPr>
          <w:p>
            <w:pPr>
              <w:spacing w:after="0"/>
              <w:rPr>
                <w:sz w:val="18"/>
                <w:szCs w:val="18"/>
                <w:color w:val="auto"/>
              </w:rPr>
            </w:pPr>
          </w:p>
        </w:tc>
        <w:tc>
          <w:tcPr>
            <w:tcW w:w="12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42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100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300" w:type="dxa"/>
            <w:vAlign w:val="bottom"/>
            <w:tcBorders>
              <w:top w:val="single" w:sz="8" w:color="auto"/>
            </w:tcBorders>
            <w:shd w:val="clear" w:color="auto" w:fill="CCEEFF"/>
          </w:tcPr>
          <w:p>
            <w:pPr>
              <w:spacing w:after="0"/>
              <w:rPr>
                <w:sz w:val="18"/>
                <w:szCs w:val="18"/>
                <w:color w:val="auto"/>
              </w:rPr>
            </w:pPr>
          </w:p>
        </w:tc>
        <w:tc>
          <w:tcPr>
            <w:tcW w:w="140" w:type="dxa"/>
            <w:vAlign w:val="bottom"/>
            <w:tcBorders>
              <w:top w:val="single" w:sz="8" w:color="CCEEFF"/>
            </w:tcBorders>
            <w:shd w:val="clear" w:color="auto" w:fill="CCEEFF"/>
          </w:tcPr>
          <w:p>
            <w:pPr>
              <w:spacing w:after="0"/>
              <w:rPr>
                <w:sz w:val="18"/>
                <w:szCs w:val="18"/>
                <w:color w:val="auto"/>
              </w:rPr>
            </w:pPr>
          </w:p>
        </w:tc>
        <w:tc>
          <w:tcPr>
            <w:tcW w:w="118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 1 month</w:t>
            </w:r>
          </w:p>
        </w:tc>
        <w:tc>
          <w:tcPr>
            <w:tcW w:w="14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21,381</w:t>
            </w: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0.32 %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11</w:t>
            </w:r>
          </w:p>
        </w:tc>
        <w:tc>
          <w:tcPr>
            <w:tcW w:w="42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23,747</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0.14 %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13</w:t>
            </w:r>
          </w:p>
        </w:tc>
        <w:tc>
          <w:tcPr>
            <w:tcW w:w="0" w:type="dxa"/>
            <w:vAlign w:val="bottom"/>
          </w:tcPr>
          <w:p>
            <w:pPr>
              <w:spacing w:after="0"/>
              <w:rPr>
                <w:sz w:val="1"/>
                <w:szCs w:val="1"/>
                <w:color w:val="auto"/>
              </w:rPr>
            </w:pPr>
          </w:p>
        </w:tc>
      </w:tr>
      <w:tr>
        <w:trPr>
          <w:trHeight w:val="219"/>
        </w:trPr>
        <w:tc>
          <w:tcPr>
            <w:tcW w:w="2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&gt; 1 to ≤ 3 months</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13,287</w:t>
            </w:r>
          </w:p>
        </w:tc>
        <w:tc>
          <w:tcPr>
            <w:tcW w:w="1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0.39 %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59</w:t>
            </w:r>
          </w:p>
        </w:tc>
        <w:tc>
          <w:tcPr>
            <w:tcW w:w="4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14,781</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0.15 %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61</w:t>
            </w:r>
          </w:p>
        </w:tc>
        <w:tc>
          <w:tcPr>
            <w:tcW w:w="0" w:type="dxa"/>
            <w:vAlign w:val="bottom"/>
          </w:tcPr>
          <w:p>
            <w:pPr>
              <w:spacing w:after="0"/>
              <w:rPr>
                <w:sz w:val="1"/>
                <w:szCs w:val="1"/>
                <w:color w:val="auto"/>
              </w:rPr>
            </w:pPr>
          </w:p>
        </w:tc>
      </w:tr>
      <w:tr>
        <w:trPr>
          <w:trHeight w:val="213"/>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&gt; 3 to ≤ 6 months</w:t>
            </w:r>
          </w:p>
        </w:tc>
        <w:tc>
          <w:tcPr>
            <w:tcW w:w="140" w:type="dxa"/>
            <w:vAlign w:val="bottom"/>
          </w:tcPr>
          <w:p>
            <w:pPr>
              <w:spacing w:after="0"/>
              <w:rPr>
                <w:sz w:val="18"/>
                <w:szCs w:val="18"/>
                <w:color w:val="auto"/>
              </w:rPr>
            </w:pPr>
          </w:p>
        </w:tc>
        <w:tc>
          <w:tcPr>
            <w:tcW w:w="102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6,754</w:t>
            </w: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0.44 %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149</w:t>
            </w:r>
          </w:p>
        </w:tc>
        <w:tc>
          <w:tcPr>
            <w:tcW w:w="4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4,576</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0.19 %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154</w:t>
            </w:r>
          </w:p>
        </w:tc>
        <w:tc>
          <w:tcPr>
            <w:tcW w:w="0" w:type="dxa"/>
            <w:vAlign w:val="bottom"/>
          </w:tcPr>
          <w:p>
            <w:pPr>
              <w:spacing w:after="0"/>
              <w:rPr>
                <w:sz w:val="1"/>
                <w:szCs w:val="1"/>
                <w:color w:val="auto"/>
              </w:rPr>
            </w:pPr>
          </w:p>
        </w:tc>
      </w:tr>
      <w:tr>
        <w:trPr>
          <w:trHeight w:val="219"/>
        </w:trPr>
        <w:tc>
          <w:tcPr>
            <w:tcW w:w="2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&gt; 6 to ≤ 9 months</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1,862</w:t>
            </w:r>
          </w:p>
        </w:tc>
        <w:tc>
          <w:tcPr>
            <w:tcW w:w="1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0.33 %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232</w:t>
            </w:r>
          </w:p>
        </w:tc>
        <w:tc>
          <w:tcPr>
            <w:tcW w:w="4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2,445</w:t>
            </w:r>
          </w:p>
        </w:tc>
        <w:tc>
          <w:tcPr>
            <w:tcW w:w="14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0.21 %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264</w:t>
            </w:r>
          </w:p>
        </w:tc>
        <w:tc>
          <w:tcPr>
            <w:tcW w:w="0" w:type="dxa"/>
            <w:vAlign w:val="bottom"/>
          </w:tcPr>
          <w:p>
            <w:pPr>
              <w:spacing w:after="0"/>
              <w:rPr>
                <w:sz w:val="1"/>
                <w:szCs w:val="1"/>
                <w:color w:val="auto"/>
              </w:rPr>
            </w:pPr>
          </w:p>
        </w:tc>
      </w:tr>
      <w:tr>
        <w:trPr>
          <w:trHeight w:val="213"/>
        </w:trPr>
        <w:tc>
          <w:tcPr>
            <w:tcW w:w="290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&gt; 9 to ≤ 12 months</w:t>
            </w:r>
          </w:p>
        </w:tc>
        <w:tc>
          <w:tcPr>
            <w:tcW w:w="140" w:type="dxa"/>
            <w:vAlign w:val="bottom"/>
          </w:tcPr>
          <w:p>
            <w:pPr>
              <w:spacing w:after="0"/>
              <w:rPr>
                <w:sz w:val="18"/>
                <w:szCs w:val="18"/>
                <w:color w:val="auto"/>
              </w:rPr>
            </w:pPr>
          </w:p>
        </w:tc>
        <w:tc>
          <w:tcPr>
            <w:tcW w:w="1140" w:type="dxa"/>
            <w:vAlign w:val="bottom"/>
            <w:gridSpan w:val="2"/>
          </w:tcPr>
          <w:p>
            <w:pPr>
              <w:jc w:val="right"/>
              <w:ind w:right="200"/>
              <w:spacing w:after="0"/>
              <w:rPr>
                <w:sz w:val="20"/>
                <w:szCs w:val="20"/>
                <w:color w:val="auto"/>
              </w:rPr>
            </w:pPr>
            <w:r>
              <w:rPr>
                <w:rFonts w:ascii="Times New Roman" w:cs="Times New Roman" w:eastAsia="Times New Roman" w:hAnsi="Times New Roman"/>
                <w:sz w:val="16"/>
                <w:szCs w:val="16"/>
                <w:color w:val="auto"/>
              </w:rPr>
              <w:t>—</w:t>
            </w:r>
          </w:p>
        </w:tc>
        <w:tc>
          <w:tcPr>
            <w:tcW w:w="1440" w:type="dxa"/>
            <w:vAlign w:val="bottom"/>
            <w:gridSpan w:val="2"/>
          </w:tcPr>
          <w:p>
            <w:pPr>
              <w:jc w:val="right"/>
              <w:ind w:right="160"/>
              <w:spacing w:after="0"/>
              <w:rPr>
                <w:sz w:val="20"/>
                <w:szCs w:val="20"/>
                <w:color w:val="auto"/>
              </w:rPr>
            </w:pPr>
            <w:r>
              <w:rPr>
                <w:rFonts w:ascii="Times New Roman" w:cs="Times New Roman" w:eastAsia="Times New Roman" w:hAnsi="Times New Roman"/>
                <w:sz w:val="16"/>
                <w:szCs w:val="16"/>
                <w:color w:val="auto"/>
              </w:rPr>
              <w:t>— %</w:t>
            </w:r>
          </w:p>
        </w:tc>
        <w:tc>
          <w:tcPr>
            <w:tcW w:w="1600" w:type="dxa"/>
            <w:vAlign w:val="bottom"/>
            <w:gridSpan w:val="2"/>
          </w:tcPr>
          <w:p>
            <w:pPr>
              <w:jc w:val="right"/>
              <w:ind w:right="500"/>
              <w:spacing w:after="0"/>
              <w:rPr>
                <w:sz w:val="20"/>
                <w:szCs w:val="20"/>
                <w:color w:val="auto"/>
              </w:rPr>
            </w:pPr>
            <w:r>
              <w:rPr>
                <w:rFonts w:ascii="Times New Roman" w:cs="Times New Roman" w:eastAsia="Times New Roman" w:hAnsi="Times New Roman"/>
                <w:sz w:val="16"/>
                <w:szCs w:val="16"/>
                <w:color w:val="auto"/>
              </w:rPr>
              <w:t>—</w:t>
            </w:r>
          </w:p>
        </w:tc>
        <w:tc>
          <w:tcPr>
            <w:tcW w:w="1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1,362</w:t>
            </w:r>
          </w:p>
        </w:tc>
        <w:tc>
          <w:tcPr>
            <w:tcW w:w="1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0.23 %</w:t>
            </w:r>
          </w:p>
        </w:tc>
        <w:tc>
          <w:tcPr>
            <w:tcW w:w="140" w:type="dxa"/>
            <w:vAlign w:val="bottom"/>
          </w:tcPr>
          <w:p>
            <w:pPr>
              <w:spacing w:after="0"/>
              <w:rPr>
                <w:sz w:val="18"/>
                <w:szCs w:val="18"/>
                <w:color w:val="auto"/>
              </w:rPr>
            </w:pPr>
          </w:p>
        </w:tc>
        <w:tc>
          <w:tcPr>
            <w:tcW w:w="118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307</w:t>
            </w:r>
          </w:p>
        </w:tc>
        <w:tc>
          <w:tcPr>
            <w:tcW w:w="0" w:type="dxa"/>
            <w:vAlign w:val="bottom"/>
          </w:tcPr>
          <w:p>
            <w:pPr>
              <w:spacing w:after="0"/>
              <w:rPr>
                <w:sz w:val="1"/>
                <w:szCs w:val="1"/>
                <w:color w:val="auto"/>
              </w:rPr>
            </w:pPr>
          </w:p>
        </w:tc>
      </w:tr>
      <w:tr>
        <w:trPr>
          <w:trHeight w:val="219"/>
        </w:trPr>
        <w:tc>
          <w:tcPr>
            <w:tcW w:w="290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6"/>
                <w:szCs w:val="16"/>
                <w:color w:val="auto"/>
              </w:rPr>
              <w:t>&gt; 12 to ≤ 24 months</w:t>
            </w:r>
          </w:p>
        </w:tc>
        <w:tc>
          <w:tcPr>
            <w:tcW w:w="140" w:type="dxa"/>
            <w:vAlign w:val="bottom"/>
            <w:shd w:val="clear" w:color="auto" w:fill="CCEEFF"/>
          </w:tcPr>
          <w:p>
            <w:pPr>
              <w:spacing w:after="0"/>
              <w:rPr>
                <w:sz w:val="19"/>
                <w:szCs w:val="19"/>
                <w:color w:val="auto"/>
              </w:rPr>
            </w:pPr>
          </w:p>
        </w:tc>
        <w:tc>
          <w:tcPr>
            <w:tcW w:w="102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750</w:t>
            </w:r>
          </w:p>
        </w:tc>
        <w:tc>
          <w:tcPr>
            <w:tcW w:w="1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0.94 %</w:t>
            </w:r>
          </w:p>
        </w:tc>
        <w:tc>
          <w:tcPr>
            <w:tcW w:w="140" w:type="dxa"/>
            <w:vAlign w:val="bottom"/>
            <w:shd w:val="clear" w:color="auto" w:fill="CCEEFF"/>
          </w:tcPr>
          <w:p>
            <w:pPr>
              <w:spacing w:after="0"/>
              <w:rPr>
                <w:sz w:val="19"/>
                <w:szCs w:val="19"/>
                <w:color w:val="auto"/>
              </w:rPr>
            </w:pPr>
          </w:p>
        </w:tc>
        <w:tc>
          <w:tcPr>
            <w:tcW w:w="118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456</w:t>
            </w:r>
          </w:p>
        </w:tc>
        <w:tc>
          <w:tcPr>
            <w:tcW w:w="42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140" w:type="dxa"/>
            <w:vAlign w:val="bottom"/>
            <w:gridSpan w:val="2"/>
            <w:shd w:val="clear" w:color="auto" w:fill="CCEEFF"/>
          </w:tcPr>
          <w:p>
            <w:pPr>
              <w:jc w:val="right"/>
              <w:ind w:right="200"/>
              <w:spacing w:after="0"/>
              <w:rPr>
                <w:sz w:val="20"/>
                <w:szCs w:val="20"/>
                <w:color w:val="auto"/>
              </w:rPr>
            </w:pPr>
            <w:r>
              <w:rPr>
                <w:rFonts w:ascii="Times New Roman" w:cs="Times New Roman" w:eastAsia="Times New Roman" w:hAnsi="Times New Roman"/>
                <w:sz w:val="16"/>
                <w:szCs w:val="16"/>
                <w:color w:val="auto"/>
              </w:rPr>
              <w:t>—</w:t>
            </w:r>
          </w:p>
        </w:tc>
        <w:tc>
          <w:tcPr>
            <w:tcW w:w="14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 %</w:t>
            </w:r>
          </w:p>
        </w:tc>
        <w:tc>
          <w:tcPr>
            <w:tcW w:w="118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07"/>
        </w:trPr>
        <w:tc>
          <w:tcPr>
            <w:tcW w:w="290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6"/>
                <w:szCs w:val="16"/>
                <w:color w:val="auto"/>
              </w:rPr>
              <w:t>Total Agency repo</w:t>
            </w:r>
          </w:p>
        </w:tc>
        <w:tc>
          <w:tcPr>
            <w:tcW w:w="140" w:type="dxa"/>
            <w:vAlign w:val="bottom"/>
            <w:tcBorders>
              <w:top w:val="single" w:sz="8" w:color="auto"/>
              <w:bottom w:val="single" w:sz="8" w:color="auto"/>
            </w:tcBorders>
          </w:tcPr>
          <w:p>
            <w:pPr>
              <w:spacing w:after="0"/>
              <w:rPr>
                <w:sz w:val="17"/>
                <w:szCs w:val="17"/>
                <w:color w:val="auto"/>
              </w:rPr>
            </w:pPr>
          </w:p>
        </w:tc>
        <w:tc>
          <w:tcPr>
            <w:tcW w:w="1020" w:type="dxa"/>
            <w:vAlign w:val="bottom"/>
            <w:tcBorders>
              <w:top w:val="single" w:sz="8" w:color="auto"/>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44,034</w:t>
            </w:r>
          </w:p>
        </w:tc>
        <w:tc>
          <w:tcPr>
            <w:tcW w:w="120" w:type="dxa"/>
            <w:vAlign w:val="bottom"/>
            <w:tcBorders>
              <w:bottom w:val="single" w:sz="8" w:color="CCEEFF"/>
            </w:tcBorders>
          </w:tcPr>
          <w:p>
            <w:pPr>
              <w:spacing w:after="0"/>
              <w:rPr>
                <w:sz w:val="17"/>
                <w:szCs w:val="17"/>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0.37 %</w:t>
            </w:r>
          </w:p>
        </w:tc>
        <w:tc>
          <w:tcPr>
            <w:tcW w:w="140" w:type="dxa"/>
            <w:vAlign w:val="bottom"/>
            <w:tcBorders>
              <w:bottom w:val="single" w:sz="8" w:color="CCEEFF"/>
            </w:tcBorders>
          </w:tcPr>
          <w:p>
            <w:pPr>
              <w:spacing w:after="0"/>
              <w:rPr>
                <w:sz w:val="17"/>
                <w:szCs w:val="17"/>
                <w:color w:val="auto"/>
              </w:rPr>
            </w:pPr>
          </w:p>
        </w:tc>
        <w:tc>
          <w:tcPr>
            <w:tcW w:w="1180" w:type="dxa"/>
            <w:vAlign w:val="bottom"/>
            <w:tcBorders>
              <w:top w:val="single" w:sz="8" w:color="auto"/>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64</w:t>
            </w:r>
          </w:p>
        </w:tc>
        <w:tc>
          <w:tcPr>
            <w:tcW w:w="420" w:type="dxa"/>
            <w:vAlign w:val="bottom"/>
            <w:tcBorders>
              <w:bottom w:val="single" w:sz="8" w:color="CCEEFF"/>
            </w:tcBorders>
          </w:tcPr>
          <w:p>
            <w:pPr>
              <w:spacing w:after="0"/>
              <w:rPr>
                <w:sz w:val="17"/>
                <w:szCs w:val="17"/>
                <w:color w:val="auto"/>
              </w:rPr>
            </w:pPr>
          </w:p>
        </w:tc>
        <w:tc>
          <w:tcPr>
            <w:tcW w:w="160" w:type="dxa"/>
            <w:vAlign w:val="bottom"/>
            <w:tcBorders>
              <w:top w:val="single" w:sz="8" w:color="auto"/>
              <w:bottom w:val="single" w:sz="8" w:color="auto"/>
            </w:tcBorders>
          </w:tcPr>
          <w:p>
            <w:pPr>
              <w:spacing w:after="0"/>
              <w:rPr>
                <w:sz w:val="17"/>
                <w:szCs w:val="17"/>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46,911</w:t>
            </w:r>
          </w:p>
        </w:tc>
        <w:tc>
          <w:tcPr>
            <w:tcW w:w="140" w:type="dxa"/>
            <w:vAlign w:val="bottom"/>
            <w:tcBorders>
              <w:bottom w:val="single" w:sz="8" w:color="CCEEFF"/>
            </w:tcBorders>
          </w:tcPr>
          <w:p>
            <w:pPr>
              <w:spacing w:after="0"/>
              <w:rPr>
                <w:sz w:val="17"/>
                <w:szCs w:val="17"/>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0.15 %</w:t>
            </w:r>
          </w:p>
        </w:tc>
        <w:tc>
          <w:tcPr>
            <w:tcW w:w="140" w:type="dxa"/>
            <w:vAlign w:val="bottom"/>
            <w:tcBorders>
              <w:bottom w:val="single" w:sz="8" w:color="CCEEFF"/>
            </w:tcBorders>
          </w:tcPr>
          <w:p>
            <w:pPr>
              <w:spacing w:after="0"/>
              <w:rPr>
                <w:sz w:val="17"/>
                <w:szCs w:val="17"/>
                <w:color w:val="auto"/>
              </w:rPr>
            </w:pPr>
          </w:p>
        </w:tc>
        <w:tc>
          <w:tcPr>
            <w:tcW w:w="1180" w:type="dxa"/>
            <w:vAlign w:val="bottom"/>
            <w:tcBorders>
              <w:top w:val="single" w:sz="8" w:color="auto"/>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63</w:t>
            </w:r>
          </w:p>
        </w:tc>
        <w:tc>
          <w:tcPr>
            <w:tcW w:w="0" w:type="dxa"/>
            <w:vAlign w:val="bottom"/>
          </w:tcPr>
          <w:p>
            <w:pPr>
              <w:spacing w:after="0"/>
              <w:rPr>
                <w:sz w:val="1"/>
                <w:szCs w:val="1"/>
                <w:color w:val="auto"/>
              </w:rPr>
            </w:pPr>
          </w:p>
        </w:tc>
      </w:tr>
      <w:tr>
        <w:trPr>
          <w:trHeight w:val="199"/>
        </w:trPr>
        <w:tc>
          <w:tcPr>
            <w:tcW w:w="29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U.S. Treasury repo:</w:t>
            </w:r>
          </w:p>
        </w:tc>
        <w:tc>
          <w:tcPr>
            <w:tcW w:w="140" w:type="dxa"/>
            <w:vAlign w:val="bottom"/>
            <w:shd w:val="clear" w:color="auto" w:fill="CCEEFF"/>
          </w:tcPr>
          <w:p>
            <w:pPr>
              <w:spacing w:after="0"/>
              <w:rPr>
                <w:sz w:val="17"/>
                <w:szCs w:val="17"/>
                <w:color w:val="auto"/>
              </w:rPr>
            </w:pPr>
          </w:p>
        </w:tc>
        <w:tc>
          <w:tcPr>
            <w:tcW w:w="10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4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10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900" w:type="dxa"/>
            <w:vAlign w:val="bottom"/>
            <w:tcBorders>
              <w:bottom w:val="single" w:sz="8" w:color="CCEEFF"/>
            </w:tcBorders>
            <w:gridSpan w:val="2"/>
          </w:tcPr>
          <w:p>
            <w:pPr>
              <w:ind w:left="140"/>
              <w:spacing w:after="0"/>
              <w:rPr>
                <w:sz w:val="20"/>
                <w:szCs w:val="20"/>
                <w:color w:val="auto"/>
              </w:rPr>
            </w:pPr>
            <w:r>
              <w:rPr>
                <w:rFonts w:ascii="Times New Roman" w:cs="Times New Roman" w:eastAsia="Times New Roman" w:hAnsi="Times New Roman"/>
                <w:sz w:val="16"/>
                <w:szCs w:val="16"/>
                <w:color w:val="auto"/>
              </w:rPr>
              <w:t>≤ 1 month</w:t>
            </w:r>
          </w:p>
        </w:tc>
        <w:tc>
          <w:tcPr>
            <w:tcW w:w="1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681</w:t>
            </w:r>
          </w:p>
        </w:tc>
        <w:tc>
          <w:tcPr>
            <w:tcW w:w="120" w:type="dxa"/>
            <w:vAlign w:val="bottom"/>
            <w:tcBorders>
              <w:bottom w:val="single" w:sz="8" w:color="CCEEFF"/>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0.16 %</w:t>
            </w:r>
          </w:p>
        </w:tc>
        <w:tc>
          <w:tcPr>
            <w:tcW w:w="140" w:type="dxa"/>
            <w:vAlign w:val="bottom"/>
            <w:tcBorders>
              <w:bottom w:val="single" w:sz="8" w:color="CCEEFF"/>
            </w:tcBorders>
          </w:tcPr>
          <w:p>
            <w:pPr>
              <w:spacing w:after="0"/>
              <w:rPr>
                <w:sz w:val="18"/>
                <w:szCs w:val="18"/>
                <w:color w:val="auto"/>
              </w:rPr>
            </w:pPr>
          </w:p>
        </w:tc>
        <w:tc>
          <w:tcPr>
            <w:tcW w:w="118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1</w:t>
            </w:r>
          </w:p>
        </w:tc>
        <w:tc>
          <w:tcPr>
            <w:tcW w:w="42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470</w:t>
            </w:r>
          </w:p>
        </w:tc>
        <w:tc>
          <w:tcPr>
            <w:tcW w:w="140" w:type="dxa"/>
            <w:vAlign w:val="bottom"/>
            <w:tcBorders>
              <w:bottom w:val="single" w:sz="8" w:color="CCEEFF"/>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(0.05)%</w:t>
            </w:r>
          </w:p>
        </w:tc>
        <w:tc>
          <w:tcPr>
            <w:tcW w:w="140" w:type="dxa"/>
            <w:vAlign w:val="bottom"/>
            <w:tcBorders>
              <w:bottom w:val="single" w:sz="8" w:color="CCEEFF"/>
            </w:tcBorders>
          </w:tcPr>
          <w:p>
            <w:pPr>
              <w:spacing w:after="0"/>
              <w:rPr>
                <w:sz w:val="18"/>
                <w:szCs w:val="18"/>
                <w:color w:val="auto"/>
              </w:rPr>
            </w:pPr>
          </w:p>
        </w:tc>
        <w:tc>
          <w:tcPr>
            <w:tcW w:w="118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4</w:t>
            </w:r>
          </w:p>
        </w:tc>
        <w:tc>
          <w:tcPr>
            <w:tcW w:w="0" w:type="dxa"/>
            <w:vAlign w:val="bottom"/>
          </w:tcPr>
          <w:p>
            <w:pPr>
              <w:spacing w:after="0"/>
              <w:rPr>
                <w:sz w:val="1"/>
                <w:szCs w:val="1"/>
                <w:color w:val="auto"/>
              </w:rPr>
            </w:pPr>
          </w:p>
        </w:tc>
      </w:tr>
      <w:tr>
        <w:trPr>
          <w:trHeight w:val="237"/>
        </w:trPr>
        <w:tc>
          <w:tcPr>
            <w:tcW w:w="29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74"/>
              </w:rPr>
              <w:t>$</w:t>
            </w:r>
          </w:p>
        </w:tc>
        <w:tc>
          <w:tcPr>
            <w:tcW w:w="1020" w:type="dxa"/>
            <w:vAlign w:val="bottom"/>
            <w:tcBorders>
              <w:bottom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44,715</w:t>
            </w:r>
          </w:p>
        </w:tc>
        <w:tc>
          <w:tcPr>
            <w:tcW w:w="12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0.37 %</w:t>
            </w:r>
          </w:p>
        </w:tc>
        <w:tc>
          <w:tcPr>
            <w:tcW w:w="14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63</w:t>
            </w:r>
          </w:p>
        </w:tc>
        <w:tc>
          <w:tcPr>
            <w:tcW w:w="42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47,381</w:t>
            </w:r>
          </w:p>
        </w:tc>
        <w:tc>
          <w:tcPr>
            <w:tcW w:w="140" w:type="dxa"/>
            <w:vAlign w:val="bottom"/>
            <w:tcBorders>
              <w:bottom w:val="single" w:sz="8" w:color="CCEEFF"/>
            </w:tcBorders>
            <w:shd w:val="clear" w:color="auto" w:fill="CCEEFF"/>
          </w:tcPr>
          <w:p>
            <w:pPr>
              <w:spacing w:after="0"/>
              <w:rPr>
                <w:sz w:val="20"/>
                <w:szCs w:val="20"/>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0.15 %</w:t>
            </w:r>
          </w:p>
        </w:tc>
        <w:tc>
          <w:tcPr>
            <w:tcW w:w="140" w:type="dxa"/>
            <w:vAlign w:val="bottom"/>
            <w:tcBorders>
              <w:bottom w:val="single" w:sz="8" w:color="CCEEFF"/>
            </w:tcBorders>
            <w:shd w:val="clear" w:color="auto" w:fill="CCEEFF"/>
          </w:tcPr>
          <w:p>
            <w:pPr>
              <w:spacing w:after="0"/>
              <w:rPr>
                <w:sz w:val="20"/>
                <w:szCs w:val="20"/>
                <w:color w:val="auto"/>
              </w:rPr>
            </w:pPr>
          </w:p>
        </w:tc>
        <w:tc>
          <w:tcPr>
            <w:tcW w:w="1180" w:type="dxa"/>
            <w:vAlign w:val="bottom"/>
            <w:tcBorders>
              <w:bottom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63</w:t>
            </w:r>
          </w:p>
        </w:tc>
        <w:tc>
          <w:tcPr>
            <w:tcW w:w="0" w:type="dxa"/>
            <w:vAlign w:val="bottom"/>
          </w:tcPr>
          <w:p>
            <w:pPr>
              <w:spacing w:after="0"/>
              <w:rPr>
                <w:sz w:val="1"/>
                <w:szCs w:val="1"/>
                <w:color w:val="auto"/>
              </w:rPr>
            </w:pPr>
          </w:p>
        </w:tc>
      </w:tr>
      <w:tr>
        <w:trPr>
          <w:trHeight w:val="20"/>
        </w:trPr>
        <w:tc>
          <w:tcPr>
            <w:tcW w:w="24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52" w:lineRule="exact"/>
        <w:rPr>
          <w:sz w:val="20"/>
          <w:szCs w:val="20"/>
          <w:color w:val="auto"/>
        </w:rPr>
      </w:pPr>
    </w:p>
    <w:p>
      <w:pPr>
        <w:jc w:val="both"/>
        <w:ind w:firstLine="405"/>
        <w:spacing w:after="0" w:line="254" w:lineRule="auto"/>
        <w:rPr>
          <w:sz w:val="20"/>
          <w:szCs w:val="20"/>
          <w:color w:val="auto"/>
        </w:rPr>
      </w:pPr>
      <w:r>
        <w:rPr>
          <w:rFonts w:ascii="Times New Roman" w:cs="Times New Roman" w:eastAsia="Times New Roman" w:hAnsi="Times New Roman"/>
          <w:sz w:val="18"/>
          <w:szCs w:val="18"/>
          <w:color w:val="auto"/>
        </w:rPr>
        <w:t>As of March 31, 2022 and December 31, 2021, $8.7 billion and $0.8 billion, respectively, of our Agency repurchase agreements had an overnight maturity of one business day and none of our repurchase agreements were due on demand. As of March 31, 2022, we had $5.9 billion of forward commitments to enter into repurchase agreements with a weighted average forward start date of 1 day and a weighted average interest rate of 0.39%. As of December 31, 2021, we had $9.8 billion of forward commitments to enter into repurchase agreements, with a weighted average forward start date of 3 days and a weighted average interest rate of 0.08%. As of March 31, 2022 and December 31, 2021, 43% and 43%, respectively, of our repurchase agreement funding was sourced through our wholly-owned captive broker-dealer subsidiary, Bethesda Securities, LLC ("BES"). Amounts sourced through BES include funding from the General Collateral Finance Repo service ("GCF Repo") offered by the Fixed Income Clearing Corporation ("FICC"), which totaled 41% and 42% of our repurchase agreement funding outstanding as of March 31, 2022 and December 31, 2021, respectively.</w:t>
      </w:r>
    </w:p>
    <w:p>
      <w:pPr>
        <w:spacing w:after="0" w:line="1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Reverse Repurchase Agreements</w:t>
      </w:r>
    </w:p>
    <w:p>
      <w:pPr>
        <w:spacing w:after="0" w:line="175"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As of March 31, 2022 and December 31, 2021, we had $10.6 billion and $10.5 billion, respectively, of reverse repurchase agreements outstanding used primarily to borrow securities to cover short sales of U.S. Treasury securities, for which we had associated obligations to return borrowed securities at fair value of $10.3 billion and $9.7 billion, respectively. As of March 31, 2022 and December 31, 2021, $2.6 billion and $3.0 billion, respectively, of our reverse repurchase agreements were with the FICC sourced through BES.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5. Derivative and Other Hedging Instruments</w:t>
      </w:r>
    </w:p>
    <w:p>
      <w:pPr>
        <w:spacing w:after="0" w:line="175"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We hedge a portion of our interest rate risk primarily utilizing interest rate swaps, interest rate swaptions, U.S. Treasury securities and U.S. Treasury futures contracts. We utilize TBA securities primarily as a means of investing in the Agency securities market. For additional information regarding our derivative instruments and our overall risk management strategy, please refer to the discussion of derivative and other hedging instruments in Note 2.</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7" w:right="339" w:bottom="1440" w:gutter="0" w:footer="0" w:header="0"/>
        </w:sectPr>
      </w:pPr>
    </w:p>
    <w:bookmarkStart w:id="15" w:name="page16"/>
    <w:bookmarkEnd w:id="15"/>
    <w:p>
      <w:pPr>
        <w:spacing w:after="0"/>
        <w:rPr>
          <w:sz w:val="20"/>
          <w:szCs w:val="20"/>
          <w:color w:val="auto"/>
        </w:rPr>
      </w:pPr>
      <w:r>
        <w:rPr>
          <w:rFonts w:ascii="Times New Roman" w:cs="Times New Roman" w:eastAsia="Times New Roman" w:hAnsi="Times New Roman"/>
          <w:sz w:val="18"/>
          <w:szCs w:val="18"/>
          <w:b w:val="1"/>
          <w:bCs w:val="1"/>
          <w:i w:val="1"/>
          <w:iCs w:val="1"/>
          <w:color w:val="auto"/>
        </w:rPr>
        <w:t>Derivative and Other Hedging Instrument Assets (Liabilities), at Fair Value</w:t>
      </w:r>
    </w:p>
    <w:p>
      <w:pPr>
        <w:spacing w:after="0" w:line="17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The table below summarizes fair value information about our derivative and other hedging instrument assets/(liabilities) as of March 31, 2022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 2021 (in millions):</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4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Derivative and Other Hedging Instruments</w:t>
            </w:r>
          </w:p>
        </w:tc>
        <w:tc>
          <w:tcPr>
            <w:tcW w:w="4320" w:type="dxa"/>
            <w:vAlign w:val="bottom"/>
            <w:gridSpan w:val="2"/>
            <w:vMerge w:val="restart"/>
          </w:tcPr>
          <w:p>
            <w:pPr>
              <w:ind w:left="1380"/>
              <w:spacing w:after="0"/>
              <w:rPr>
                <w:sz w:val="20"/>
                <w:szCs w:val="20"/>
                <w:color w:val="auto"/>
              </w:rPr>
            </w:pPr>
            <w:r>
              <w:rPr>
                <w:rFonts w:ascii="Times New Roman" w:cs="Times New Roman" w:eastAsia="Times New Roman" w:hAnsi="Times New Roman"/>
                <w:sz w:val="14"/>
                <w:szCs w:val="14"/>
                <w:b w:val="1"/>
                <w:bCs w:val="1"/>
                <w:color w:val="auto"/>
              </w:rPr>
              <w:t>Balance Sheet Location</w:t>
            </w:r>
          </w:p>
        </w:tc>
        <w:tc>
          <w:tcPr>
            <w:tcW w:w="180" w:type="dxa"/>
            <w:vAlign w:val="bottom"/>
          </w:tcPr>
          <w:p>
            <w:pPr>
              <w:spacing w:after="0"/>
              <w:rPr>
                <w:sz w:val="13"/>
                <w:szCs w:val="13"/>
                <w:color w:val="auto"/>
              </w:rPr>
            </w:pPr>
          </w:p>
        </w:tc>
        <w:tc>
          <w:tcPr>
            <w:tcW w:w="112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120" w:type="dxa"/>
            <w:vAlign w:val="bottom"/>
          </w:tcPr>
          <w:p>
            <w:pPr>
              <w:spacing w:after="0"/>
              <w:rPr>
                <w:sz w:val="13"/>
                <w:szCs w:val="13"/>
                <w:color w:val="auto"/>
              </w:rPr>
            </w:pPr>
          </w:p>
        </w:tc>
        <w:tc>
          <w:tcPr>
            <w:tcW w:w="1060" w:type="dxa"/>
            <w:vAlign w:val="bottom"/>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0" w:type="dxa"/>
            <w:vAlign w:val="bottom"/>
          </w:tcPr>
          <w:p>
            <w:pPr>
              <w:spacing w:after="0"/>
              <w:rPr>
                <w:sz w:val="1"/>
                <w:szCs w:val="1"/>
                <w:color w:val="auto"/>
              </w:rPr>
            </w:pPr>
          </w:p>
        </w:tc>
      </w:tr>
      <w:tr>
        <w:trPr>
          <w:trHeight w:val="196"/>
        </w:trPr>
        <w:tc>
          <w:tcPr>
            <w:tcW w:w="4440" w:type="dxa"/>
            <w:vAlign w:val="bottom"/>
            <w:gridSpan w:val="2"/>
            <w:vMerge w:val="continue"/>
          </w:tcPr>
          <w:p>
            <w:pPr>
              <w:spacing w:after="0"/>
              <w:rPr>
                <w:sz w:val="17"/>
                <w:szCs w:val="17"/>
                <w:color w:val="auto"/>
              </w:rPr>
            </w:pPr>
          </w:p>
        </w:tc>
        <w:tc>
          <w:tcPr>
            <w:tcW w:w="4320" w:type="dxa"/>
            <w:vAlign w:val="bottom"/>
            <w:gridSpan w:val="2"/>
            <w:vMerge w:val="continue"/>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2022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16"/>
        </w:trPr>
        <w:tc>
          <w:tcPr>
            <w:tcW w:w="4340" w:type="dxa"/>
            <w:vAlign w:val="bottom"/>
            <w:tcBorders>
              <w:top w:val="single" w:sz="8" w:color="auto"/>
            </w:tcBorders>
            <w:shd w:val="clear" w:color="auto" w:fill="CCEEFF"/>
          </w:tcPr>
          <w:p>
            <w:pPr>
              <w:ind w:left="20"/>
              <w:spacing w:after="0" w:line="216" w:lineRule="exact"/>
              <w:rPr>
                <w:sz w:val="20"/>
                <w:szCs w:val="20"/>
                <w:color w:val="auto"/>
              </w:rPr>
            </w:pPr>
            <w:r>
              <w:rPr>
                <w:rFonts w:ascii="Times New Roman" w:cs="Times New Roman" w:eastAsia="Times New Roman" w:hAnsi="Times New Roman"/>
                <w:sz w:val="16"/>
                <w:szCs w:val="16"/>
                <w:color w:val="auto"/>
              </w:rPr>
              <w:t xml:space="preserve">Interest rate swaps </w:t>
            </w:r>
            <w:r>
              <w:rPr>
                <w:rFonts w:ascii="Times New Roman" w:cs="Times New Roman" w:eastAsia="Times New Roman" w:hAnsi="Times New Roman"/>
                <w:sz w:val="21"/>
                <w:szCs w:val="21"/>
                <w:color w:val="auto"/>
                <w:vertAlign w:val="superscript"/>
              </w:rPr>
              <w:t>1</w:t>
            </w:r>
          </w:p>
        </w:tc>
        <w:tc>
          <w:tcPr>
            <w:tcW w:w="100" w:type="dxa"/>
            <w:vAlign w:val="bottom"/>
            <w:tcBorders>
              <w:top w:val="single" w:sz="8" w:color="CCEEFF"/>
            </w:tcBorders>
            <w:shd w:val="clear" w:color="auto" w:fill="CCEEFF"/>
          </w:tcPr>
          <w:p>
            <w:pPr>
              <w:spacing w:after="0"/>
              <w:rPr>
                <w:sz w:val="18"/>
                <w:szCs w:val="18"/>
                <w:color w:val="auto"/>
              </w:rPr>
            </w:pPr>
          </w:p>
        </w:tc>
        <w:tc>
          <w:tcPr>
            <w:tcW w:w="42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Derivative assets, at fair value</w:t>
            </w:r>
          </w:p>
        </w:tc>
        <w:tc>
          <w:tcPr>
            <w:tcW w:w="1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44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Swaptions</w:t>
            </w:r>
          </w:p>
        </w:tc>
        <w:tc>
          <w:tcPr>
            <w:tcW w:w="43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Derivative assets, at fair value</w:t>
            </w: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450</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290</w:t>
            </w:r>
          </w:p>
        </w:tc>
        <w:tc>
          <w:tcPr>
            <w:tcW w:w="0" w:type="dxa"/>
            <w:vAlign w:val="bottom"/>
          </w:tcPr>
          <w:p>
            <w:pPr>
              <w:spacing w:after="0"/>
              <w:rPr>
                <w:sz w:val="1"/>
                <w:szCs w:val="1"/>
                <w:color w:val="auto"/>
              </w:rPr>
            </w:pPr>
          </w:p>
        </w:tc>
      </w:tr>
      <w:tr>
        <w:trPr>
          <w:trHeight w:val="219"/>
        </w:trPr>
        <w:tc>
          <w:tcPr>
            <w:tcW w:w="44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TBA and forward settling non-Agency securities</w:t>
            </w:r>
          </w:p>
        </w:tc>
        <w:tc>
          <w:tcPr>
            <w:tcW w:w="43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Derivative assets, at fair value</w:t>
            </w:r>
          </w:p>
        </w:tc>
        <w:tc>
          <w:tcPr>
            <w:tcW w:w="18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59</w:t>
            </w:r>
          </w:p>
        </w:tc>
        <w:tc>
          <w:tcPr>
            <w:tcW w:w="1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27</w:t>
            </w:r>
          </w:p>
        </w:tc>
        <w:tc>
          <w:tcPr>
            <w:tcW w:w="0" w:type="dxa"/>
            <w:vAlign w:val="bottom"/>
          </w:tcPr>
          <w:p>
            <w:pPr>
              <w:spacing w:after="0"/>
              <w:rPr>
                <w:sz w:val="1"/>
                <w:szCs w:val="1"/>
                <w:color w:val="auto"/>
              </w:rPr>
            </w:pPr>
          </w:p>
        </w:tc>
      </w:tr>
      <w:tr>
        <w:trPr>
          <w:trHeight w:val="213"/>
        </w:trPr>
        <w:tc>
          <w:tcPr>
            <w:tcW w:w="444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6"/>
                <w:szCs w:val="16"/>
                <w:color w:val="auto"/>
              </w:rPr>
              <w:t>U.S. Treasury futures - short</w:t>
            </w:r>
          </w:p>
        </w:tc>
        <w:tc>
          <w:tcPr>
            <w:tcW w:w="432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6"/>
                <w:szCs w:val="16"/>
                <w:color w:val="auto"/>
              </w:rPr>
              <w:t>Derivative assets, at fair value</w:t>
            </w:r>
          </w:p>
        </w:tc>
        <w:tc>
          <w:tcPr>
            <w:tcW w:w="18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138</w:t>
            </w: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37"/>
        </w:trPr>
        <w:tc>
          <w:tcPr>
            <w:tcW w:w="444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Total derivative assets, at fair value</w:t>
            </w:r>
          </w:p>
        </w:tc>
        <w:tc>
          <w:tcPr>
            <w:tcW w:w="4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647</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317</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440" w:type="dxa"/>
            <w:vAlign w:val="bottom"/>
            <w:gridSpan w:val="2"/>
            <w:shd w:val="clear" w:color="auto" w:fill="CCEEFF"/>
          </w:tcPr>
          <w:p>
            <w:pPr>
              <w:ind w:left="20"/>
              <w:spacing w:after="0" w:line="216" w:lineRule="exact"/>
              <w:rPr>
                <w:sz w:val="20"/>
                <w:szCs w:val="20"/>
                <w:color w:val="auto"/>
              </w:rPr>
            </w:pPr>
            <w:r>
              <w:rPr>
                <w:rFonts w:ascii="Times New Roman" w:cs="Times New Roman" w:eastAsia="Times New Roman" w:hAnsi="Times New Roman"/>
                <w:sz w:val="16"/>
                <w:szCs w:val="16"/>
                <w:color w:val="auto"/>
              </w:rPr>
              <w:t xml:space="preserve">Interest rate swaps </w:t>
            </w:r>
            <w:r>
              <w:rPr>
                <w:rFonts w:ascii="Times New Roman" w:cs="Times New Roman" w:eastAsia="Times New Roman" w:hAnsi="Times New Roman"/>
                <w:sz w:val="21"/>
                <w:szCs w:val="21"/>
                <w:color w:val="auto"/>
                <w:vertAlign w:val="superscript"/>
              </w:rPr>
              <w:t>1</w:t>
            </w:r>
          </w:p>
        </w:tc>
        <w:tc>
          <w:tcPr>
            <w:tcW w:w="43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Derivative liabilities, at fair value</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444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TBA and forward settling non-Agency securities</w:t>
            </w:r>
          </w:p>
        </w:tc>
        <w:tc>
          <w:tcPr>
            <w:tcW w:w="43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Derivative liabilities, at fair value</w:t>
            </w: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(668)</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(71)</w:t>
            </w:r>
          </w:p>
        </w:tc>
        <w:tc>
          <w:tcPr>
            <w:tcW w:w="0" w:type="dxa"/>
            <w:vAlign w:val="bottom"/>
          </w:tcPr>
          <w:p>
            <w:pPr>
              <w:spacing w:after="0"/>
              <w:rPr>
                <w:sz w:val="1"/>
                <w:szCs w:val="1"/>
                <w:color w:val="auto"/>
              </w:rPr>
            </w:pPr>
          </w:p>
        </w:tc>
      </w:tr>
      <w:tr>
        <w:trPr>
          <w:trHeight w:val="219"/>
        </w:trPr>
        <w:tc>
          <w:tcPr>
            <w:tcW w:w="44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U.S. Treasury futures - short</w:t>
            </w:r>
          </w:p>
        </w:tc>
        <w:tc>
          <w:tcPr>
            <w:tcW w:w="43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Derivative liabilities, at fair value</w:t>
            </w:r>
          </w:p>
        </w:tc>
        <w:tc>
          <w:tcPr>
            <w:tcW w:w="180" w:type="dxa"/>
            <w:vAlign w:val="bottom"/>
            <w:shd w:val="clear" w:color="auto" w:fill="CCEEFF"/>
          </w:tcPr>
          <w:p>
            <w:pPr>
              <w:spacing w:after="0"/>
              <w:rPr>
                <w:sz w:val="19"/>
                <w:szCs w:val="19"/>
                <w:color w:val="auto"/>
              </w:rPr>
            </w:pPr>
          </w:p>
        </w:tc>
        <w:tc>
          <w:tcPr>
            <w:tcW w:w="11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shd w:val="clear" w:color="auto" w:fill="CCEEFF"/>
          </w:tcPr>
          <w:p>
            <w:pPr>
              <w:spacing w:after="0"/>
              <w:rPr>
                <w:sz w:val="19"/>
                <w:szCs w:val="19"/>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w:t>
            </w:r>
          </w:p>
        </w:tc>
        <w:tc>
          <w:tcPr>
            <w:tcW w:w="0" w:type="dxa"/>
            <w:vAlign w:val="bottom"/>
          </w:tcPr>
          <w:p>
            <w:pPr>
              <w:spacing w:after="0"/>
              <w:rPr>
                <w:sz w:val="1"/>
                <w:szCs w:val="1"/>
                <w:color w:val="auto"/>
              </w:rPr>
            </w:pPr>
          </w:p>
        </w:tc>
      </w:tr>
      <w:tr>
        <w:trPr>
          <w:trHeight w:val="216"/>
        </w:trPr>
        <w:tc>
          <w:tcPr>
            <w:tcW w:w="4440" w:type="dxa"/>
            <w:vAlign w:val="bottom"/>
            <w:gridSpan w:val="2"/>
          </w:tcPr>
          <w:p>
            <w:pPr>
              <w:ind w:left="20"/>
              <w:spacing w:after="0" w:line="216" w:lineRule="exact"/>
              <w:rPr>
                <w:sz w:val="20"/>
                <w:szCs w:val="20"/>
                <w:color w:val="auto"/>
              </w:rPr>
            </w:pPr>
            <w:r>
              <w:rPr>
                <w:rFonts w:ascii="Times New Roman" w:cs="Times New Roman" w:eastAsia="Times New Roman" w:hAnsi="Times New Roman"/>
                <w:sz w:val="16"/>
                <w:szCs w:val="16"/>
                <w:color w:val="auto"/>
              </w:rPr>
              <w:t xml:space="preserve">Credit default swaps </w:t>
            </w:r>
            <w:r>
              <w:rPr>
                <w:rFonts w:ascii="Times New Roman" w:cs="Times New Roman" w:eastAsia="Times New Roman" w:hAnsi="Times New Roman"/>
                <w:sz w:val="21"/>
                <w:szCs w:val="21"/>
                <w:color w:val="auto"/>
                <w:vertAlign w:val="superscript"/>
              </w:rPr>
              <w:t>1</w:t>
            </w:r>
          </w:p>
        </w:tc>
        <w:tc>
          <w:tcPr>
            <w:tcW w:w="43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Derivative liabilities, at fair value</w:t>
            </w:r>
          </w:p>
        </w:tc>
        <w:tc>
          <w:tcPr>
            <w:tcW w:w="180" w:type="dxa"/>
            <w:vAlign w:val="bottom"/>
          </w:tcPr>
          <w:p>
            <w:pPr>
              <w:spacing w:after="0"/>
              <w:rPr>
                <w:sz w:val="18"/>
                <w:szCs w:val="18"/>
                <w:color w:val="auto"/>
              </w:rPr>
            </w:pPr>
          </w:p>
        </w:tc>
        <w:tc>
          <w:tcPr>
            <w:tcW w:w="1120" w:type="dxa"/>
            <w:vAlign w:val="bottom"/>
            <w:gridSpan w:val="2"/>
          </w:tcPr>
          <w:p>
            <w:pPr>
              <w:jc w:val="right"/>
              <w:ind w:right="180"/>
              <w:spacing w:after="0"/>
              <w:rPr>
                <w:sz w:val="20"/>
                <w:szCs w:val="20"/>
                <w:color w:val="auto"/>
              </w:rPr>
            </w:pPr>
            <w:r>
              <w:rPr>
                <w:rFonts w:ascii="Times New Roman" w:cs="Times New Roman" w:eastAsia="Times New Roman" w:hAnsi="Times New Roman"/>
                <w:sz w:val="16"/>
                <w:szCs w:val="16"/>
                <w:color w:val="auto"/>
              </w:rPr>
              <w:t>—</w:t>
            </w: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34"/>
        </w:trPr>
        <w:tc>
          <w:tcPr>
            <w:tcW w:w="444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Total derivative liabilities, at fair value</w:t>
            </w:r>
          </w:p>
        </w:tc>
        <w:tc>
          <w:tcPr>
            <w:tcW w:w="42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(668)</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(86)</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4"/>
        </w:trPr>
        <w:tc>
          <w:tcPr>
            <w:tcW w:w="43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4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U.S. Treasury securities - long</w:t>
            </w:r>
          </w:p>
        </w:tc>
        <w:tc>
          <w:tcPr>
            <w:tcW w:w="43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U.S. Treasury securities, at fair value</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684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471</w:t>
            </w:r>
          </w:p>
        </w:tc>
        <w:tc>
          <w:tcPr>
            <w:tcW w:w="0" w:type="dxa"/>
            <w:vAlign w:val="bottom"/>
          </w:tcPr>
          <w:p>
            <w:pPr>
              <w:spacing w:after="0"/>
              <w:rPr>
                <w:sz w:val="1"/>
                <w:szCs w:val="1"/>
                <w:color w:val="auto"/>
              </w:rPr>
            </w:pPr>
          </w:p>
        </w:tc>
      </w:tr>
      <w:tr>
        <w:trPr>
          <w:trHeight w:val="162"/>
        </w:trPr>
        <w:tc>
          <w:tcPr>
            <w:tcW w:w="4440" w:type="dxa"/>
            <w:vAlign w:val="bottom"/>
            <w:gridSpan w:val="2"/>
            <w:vMerge w:val="restart"/>
          </w:tcPr>
          <w:p>
            <w:pPr>
              <w:ind w:left="20"/>
              <w:spacing w:after="0"/>
              <w:rPr>
                <w:sz w:val="20"/>
                <w:szCs w:val="20"/>
                <w:color w:val="auto"/>
              </w:rPr>
            </w:pPr>
            <w:r>
              <w:rPr>
                <w:rFonts w:ascii="Times New Roman" w:cs="Times New Roman" w:eastAsia="Times New Roman" w:hAnsi="Times New Roman"/>
                <w:sz w:val="16"/>
                <w:szCs w:val="16"/>
                <w:color w:val="auto"/>
              </w:rPr>
              <w:t>U.S. Treasury securities - short</w:t>
            </w:r>
          </w:p>
        </w:tc>
        <w:tc>
          <w:tcPr>
            <w:tcW w:w="4320" w:type="dxa"/>
            <w:vAlign w:val="bottom"/>
            <w:gridSpan w:val="2"/>
          </w:tcPr>
          <w:p>
            <w:pPr>
              <w:ind w:left="20"/>
              <w:spacing w:after="0" w:line="162" w:lineRule="exact"/>
              <w:rPr>
                <w:sz w:val="20"/>
                <w:szCs w:val="20"/>
                <w:color w:val="auto"/>
              </w:rPr>
            </w:pPr>
            <w:r>
              <w:rPr>
                <w:rFonts w:ascii="Times New Roman" w:cs="Times New Roman" w:eastAsia="Times New Roman" w:hAnsi="Times New Roman"/>
                <w:sz w:val="16"/>
                <w:szCs w:val="16"/>
                <w:color w:val="auto"/>
              </w:rPr>
              <w:t>Obligation to return securities borrowed under reverse</w:t>
            </w:r>
          </w:p>
        </w:tc>
        <w:tc>
          <w:tcPr>
            <w:tcW w:w="180" w:type="dxa"/>
            <w:vAlign w:val="bottom"/>
          </w:tcPr>
          <w:p>
            <w:pPr>
              <w:spacing w:after="0"/>
              <w:rPr>
                <w:sz w:val="14"/>
                <w:szCs w:val="14"/>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(10,277)</w:t>
            </w: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06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(9,697)</w:t>
            </w:r>
          </w:p>
        </w:tc>
        <w:tc>
          <w:tcPr>
            <w:tcW w:w="0" w:type="dxa"/>
            <w:vAlign w:val="bottom"/>
          </w:tcPr>
          <w:p>
            <w:pPr>
              <w:spacing w:after="0"/>
              <w:rPr>
                <w:sz w:val="1"/>
                <w:szCs w:val="1"/>
                <w:color w:val="auto"/>
              </w:rPr>
            </w:pPr>
          </w:p>
        </w:tc>
      </w:tr>
      <w:tr>
        <w:trPr>
          <w:trHeight w:val="213"/>
        </w:trPr>
        <w:tc>
          <w:tcPr>
            <w:tcW w:w="4440" w:type="dxa"/>
            <w:vAlign w:val="bottom"/>
            <w:tcBorders>
              <w:bottom w:val="single" w:sz="8" w:color="CCEEFF"/>
            </w:tcBorders>
            <w:gridSpan w:val="2"/>
            <w:vMerge w:val="continue"/>
          </w:tcPr>
          <w:p>
            <w:pPr>
              <w:spacing w:after="0"/>
              <w:rPr>
                <w:sz w:val="18"/>
                <w:szCs w:val="18"/>
                <w:color w:val="auto"/>
              </w:rPr>
            </w:pPr>
          </w:p>
        </w:tc>
        <w:tc>
          <w:tcPr>
            <w:tcW w:w="432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6"/>
                <w:szCs w:val="16"/>
                <w:color w:val="auto"/>
              </w:rPr>
              <w:t>repurchase agreements, at fair value</w:t>
            </w:r>
          </w:p>
        </w:tc>
        <w:tc>
          <w:tcPr>
            <w:tcW w:w="18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vMerge w:val="continue"/>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444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Total U.S. Treasury securities, net at fair value</w:t>
            </w:r>
          </w:p>
        </w:tc>
        <w:tc>
          <w:tcPr>
            <w:tcW w:w="420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CCEEFF"/>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(9,593)</w:t>
            </w:r>
          </w:p>
        </w:tc>
        <w:tc>
          <w:tcPr>
            <w:tcW w:w="12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(9,226)</w:t>
            </w:r>
          </w:p>
        </w:tc>
        <w:tc>
          <w:tcPr>
            <w:tcW w:w="0" w:type="dxa"/>
            <w:vAlign w:val="bottom"/>
          </w:tcPr>
          <w:p>
            <w:pPr>
              <w:spacing w:after="0"/>
              <w:rPr>
                <w:sz w:val="1"/>
                <w:szCs w:val="1"/>
                <w:color w:val="auto"/>
              </w:rPr>
            </w:pPr>
          </w:p>
        </w:tc>
      </w:tr>
      <w:tr>
        <w:trPr>
          <w:trHeight w:val="20"/>
        </w:trPr>
        <w:tc>
          <w:tcPr>
            <w:tcW w:w="43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2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7"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jc w:val="both"/>
        <w:ind w:left="660" w:hanging="328"/>
        <w:spacing w:after="0" w:line="281" w:lineRule="auto"/>
        <w:tabs>
          <w:tab w:leader="none" w:pos="660" w:val="left"/>
        </w:tabs>
        <w:numPr>
          <w:ilvl w:val="0"/>
          <w:numId w:val="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 of March 31, 2022 and December 31, 2021, the net fair value of our interest rate swaps excluding the recognition of variation margin settlements as a direct reduction of carrying value (see Note 2) was a net asset (liability) of $3.5 billion and $1.6 billion, respectively. As of March 31, 2022, the net fair value of our credit default swaps excluding the recognition of variation margin settlements was $(42) million. We did not have credit default swaps outstanding as of December 31, 2021.</w:t>
      </w:r>
    </w:p>
    <w:p>
      <w:pPr>
        <w:spacing w:after="0" w:line="127"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The following tables summarize certain characteristics of our derivative and other hedging instruments outstanding as of March 31, 2022 and</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 2021 (dollars in millions):</w:t>
      </w:r>
    </w:p>
    <w:p>
      <w:pPr>
        <w:spacing w:after="0" w:line="106" w:lineRule="exact"/>
        <w:rPr>
          <w:sz w:val="20"/>
          <w:szCs w:val="20"/>
          <w:color w:val="auto"/>
        </w:rPr>
      </w:pPr>
    </w:p>
    <w:tbl>
      <w:tblPr>
        <w:tblLayout w:type="fixed"/>
        <w:tblInd w:w="20" w:type="dxa"/>
        <w:tblCellMar>
          <w:top w:w="0" w:type="dxa"/>
          <w:left w:w="0" w:type="dxa"/>
          <w:bottom w:w="0" w:type="dxa"/>
          <w:right w:w="0" w:type="dxa"/>
        </w:tblCellMar>
      </w:tblPr>
      <w:tr>
        <w:trPr>
          <w:trHeight w:val="190"/>
        </w:trPr>
        <w:tc>
          <w:tcPr>
            <w:tcW w:w="23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160" w:type="dxa"/>
            <w:vAlign w:val="bottom"/>
            <w:gridSpan w:val="4"/>
          </w:tcPr>
          <w:p>
            <w:pPr>
              <w:ind w:left="56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9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160" w:type="dxa"/>
            <w:vAlign w:val="bottom"/>
            <w:gridSpan w:val="4"/>
          </w:tcPr>
          <w:p>
            <w:pPr>
              <w:ind w:left="44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9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320" w:type="dxa"/>
            <w:vAlign w:val="bottom"/>
          </w:tcPr>
          <w:p>
            <w:pPr>
              <w:spacing w:after="0"/>
              <w:rPr>
                <w:sz w:val="2"/>
                <w:szCs w:val="2"/>
                <w:color w:val="auto"/>
              </w:rPr>
            </w:pPr>
          </w:p>
        </w:tc>
        <w:tc>
          <w:tcPr>
            <w:tcW w:w="200" w:type="dxa"/>
            <w:vAlign w:val="bottom"/>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118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82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80" w:type="dxa"/>
            <w:vAlign w:val="bottom"/>
            <w:gridSpan w:val="2"/>
          </w:tcPr>
          <w:p>
            <w:pPr>
              <w:spacing w:after="0"/>
              <w:rPr>
                <w:sz w:val="2"/>
                <w:szCs w:val="2"/>
                <w:color w:val="auto"/>
              </w:rPr>
            </w:pPr>
          </w:p>
        </w:tc>
        <w:tc>
          <w:tcPr>
            <w:tcW w:w="1080" w:type="dxa"/>
            <w:vAlign w:val="bottom"/>
            <w:gridSpan w:val="2"/>
          </w:tcPr>
          <w:p>
            <w:pPr>
              <w:spacing w:after="0"/>
              <w:rPr>
                <w:sz w:val="2"/>
                <w:szCs w:val="2"/>
                <w:color w:val="auto"/>
              </w:rPr>
            </w:pPr>
          </w:p>
        </w:tc>
        <w:tc>
          <w:tcPr>
            <w:tcW w:w="98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25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Pay Fixed / Receive Variable Interest</w:t>
            </w:r>
          </w:p>
        </w:tc>
        <w:tc>
          <w:tcPr>
            <w:tcW w:w="160" w:type="dxa"/>
            <w:vAlign w:val="bottom"/>
            <w:tcBorders>
              <w:top w:val="single" w:sz="8" w:color="auto"/>
            </w:tcBorders>
          </w:tcPr>
          <w:p>
            <w:pPr>
              <w:spacing w:after="0"/>
              <w:rPr>
                <w:sz w:val="11"/>
                <w:szCs w:val="11"/>
                <w:color w:val="auto"/>
              </w:rPr>
            </w:pPr>
          </w:p>
        </w:tc>
        <w:tc>
          <w:tcPr>
            <w:tcW w:w="920" w:type="dxa"/>
            <w:vAlign w:val="bottom"/>
            <w:tcBorders>
              <w:top w:val="single" w:sz="8" w:color="auto"/>
            </w:tcBorders>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Notional</w:t>
            </w:r>
          </w:p>
        </w:tc>
        <w:tc>
          <w:tcPr>
            <w:tcW w:w="1080" w:type="dxa"/>
            <w:vAlign w:val="bottom"/>
            <w:tcBorders>
              <w:top w:val="single" w:sz="8" w:color="auto"/>
            </w:tcBorders>
            <w:gridSpan w:val="2"/>
          </w:tcPr>
          <w:p>
            <w:pPr>
              <w:jc w:val="center"/>
              <w:ind w:right="100"/>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080" w:type="dxa"/>
            <w:vAlign w:val="bottom"/>
            <w:tcBorders>
              <w:top w:val="single" w:sz="8" w:color="auto"/>
            </w:tcBorders>
            <w:gridSpan w:val="2"/>
          </w:tcPr>
          <w:p>
            <w:pPr>
              <w:jc w:val="center"/>
              <w:ind w:right="100"/>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98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2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60" w:type="dxa"/>
            <w:vAlign w:val="bottom"/>
            <w:tcBorders>
              <w:top w:val="single" w:sz="8" w:color="auto"/>
            </w:tcBorders>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Notional</w:t>
            </w:r>
          </w:p>
        </w:tc>
        <w:tc>
          <w:tcPr>
            <w:tcW w:w="1080" w:type="dxa"/>
            <w:vAlign w:val="bottom"/>
            <w:tcBorders>
              <w:top w:val="single" w:sz="8" w:color="auto"/>
            </w:tcBorders>
            <w:gridSpan w:val="2"/>
          </w:tcPr>
          <w:p>
            <w:pPr>
              <w:jc w:val="center"/>
              <w:ind w:right="100"/>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080" w:type="dxa"/>
            <w:vAlign w:val="bottom"/>
            <w:tcBorders>
              <w:top w:val="single" w:sz="8" w:color="auto"/>
            </w:tcBorders>
            <w:gridSpan w:val="2"/>
          </w:tcPr>
          <w:p>
            <w:pPr>
              <w:jc w:val="center"/>
              <w:ind w:right="100"/>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98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0" w:type="dxa"/>
            <w:vAlign w:val="bottom"/>
          </w:tcPr>
          <w:p>
            <w:pPr>
              <w:spacing w:after="0"/>
              <w:rPr>
                <w:sz w:val="1"/>
                <w:szCs w:val="1"/>
                <w:color w:val="auto"/>
              </w:rPr>
            </w:pPr>
          </w:p>
        </w:tc>
      </w:tr>
      <w:tr>
        <w:trPr>
          <w:trHeight w:val="148"/>
        </w:trPr>
        <w:tc>
          <w:tcPr>
            <w:tcW w:w="252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108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Fixed Pay</w:t>
            </w:r>
          </w:p>
        </w:tc>
        <w:tc>
          <w:tcPr>
            <w:tcW w:w="108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Receive</w:t>
            </w:r>
          </w:p>
        </w:tc>
        <w:tc>
          <w:tcPr>
            <w:tcW w:w="118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Maturity</w:t>
            </w:r>
          </w:p>
        </w:tc>
        <w:tc>
          <w:tcPr>
            <w:tcW w:w="160" w:type="dxa"/>
            <w:vAlign w:val="bottom"/>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108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Fixed Pay</w:t>
            </w:r>
          </w:p>
        </w:tc>
        <w:tc>
          <w:tcPr>
            <w:tcW w:w="108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Receive</w:t>
            </w:r>
          </w:p>
        </w:tc>
        <w:tc>
          <w:tcPr>
            <w:tcW w:w="98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Maturity</w:t>
            </w:r>
          </w:p>
        </w:tc>
        <w:tc>
          <w:tcPr>
            <w:tcW w:w="0" w:type="dxa"/>
            <w:vAlign w:val="bottom"/>
          </w:tcPr>
          <w:p>
            <w:pPr>
              <w:spacing w:after="0"/>
              <w:rPr>
                <w:sz w:val="1"/>
                <w:szCs w:val="1"/>
                <w:color w:val="auto"/>
              </w:rPr>
            </w:pPr>
          </w:p>
        </w:tc>
      </w:tr>
      <w:tr>
        <w:trPr>
          <w:trHeight w:val="195"/>
        </w:trPr>
        <w:tc>
          <w:tcPr>
            <w:tcW w:w="252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Rate Swaps</w:t>
            </w:r>
          </w:p>
        </w:tc>
        <w:tc>
          <w:tcPr>
            <w:tcW w:w="160" w:type="dxa"/>
            <w:vAlign w:val="bottom"/>
          </w:tcPr>
          <w:p>
            <w:pPr>
              <w:spacing w:after="0"/>
              <w:rPr>
                <w:sz w:val="16"/>
                <w:szCs w:val="16"/>
                <w:color w:val="auto"/>
              </w:rPr>
            </w:pPr>
          </w:p>
        </w:tc>
        <w:tc>
          <w:tcPr>
            <w:tcW w:w="920" w:type="dxa"/>
            <w:vAlign w:val="bottom"/>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Rate</w:t>
            </w:r>
          </w:p>
        </w:tc>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Rate</w:t>
            </w:r>
          </w:p>
        </w:tc>
        <w:tc>
          <w:tcPr>
            <w:tcW w:w="1180" w:type="dxa"/>
            <w:vAlign w:val="bottom"/>
            <w:gridSpan w:val="2"/>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w w:val="99"/>
              </w:rPr>
              <w:t>(Years)</w:t>
            </w:r>
          </w:p>
        </w:tc>
        <w:tc>
          <w:tcPr>
            <w:tcW w:w="160" w:type="dxa"/>
            <w:vAlign w:val="bottom"/>
          </w:tcPr>
          <w:p>
            <w:pPr>
              <w:spacing w:after="0"/>
              <w:rPr>
                <w:sz w:val="16"/>
                <w:szCs w:val="16"/>
                <w:color w:val="auto"/>
              </w:rPr>
            </w:pPr>
          </w:p>
        </w:tc>
        <w:tc>
          <w:tcPr>
            <w:tcW w:w="960" w:type="dxa"/>
            <w:vAlign w:val="bottom"/>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Rate</w:t>
            </w:r>
          </w:p>
        </w:tc>
        <w:tc>
          <w:tcPr>
            <w:tcW w:w="10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Rate</w:t>
            </w:r>
          </w:p>
        </w:tc>
        <w:tc>
          <w:tcPr>
            <w:tcW w:w="9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(Years)</w:t>
            </w:r>
          </w:p>
        </w:tc>
        <w:tc>
          <w:tcPr>
            <w:tcW w:w="0" w:type="dxa"/>
            <w:vAlign w:val="bottom"/>
          </w:tcPr>
          <w:p>
            <w:pPr>
              <w:spacing w:after="0"/>
              <w:rPr>
                <w:sz w:val="1"/>
                <w:szCs w:val="1"/>
                <w:color w:val="auto"/>
              </w:rPr>
            </w:pPr>
          </w:p>
        </w:tc>
      </w:tr>
      <w:tr>
        <w:trPr>
          <w:trHeight w:val="215"/>
        </w:trPr>
        <w:tc>
          <w:tcPr>
            <w:tcW w:w="23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 3 years</w:t>
            </w:r>
          </w:p>
        </w:tc>
        <w:tc>
          <w:tcPr>
            <w:tcW w:w="2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20,500</w:t>
            </w:r>
          </w:p>
        </w:tc>
        <w:tc>
          <w:tcPr>
            <w:tcW w:w="1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0.11%</w:t>
            </w:r>
          </w:p>
        </w:tc>
        <w:tc>
          <w:tcPr>
            <w:tcW w:w="1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0.30%</w:t>
            </w:r>
          </w:p>
        </w:tc>
        <w:tc>
          <w:tcPr>
            <w:tcW w:w="1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1.8</w:t>
            </w:r>
          </w:p>
        </w:tc>
        <w:tc>
          <w:tcPr>
            <w:tcW w:w="2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22,500</w:t>
            </w:r>
          </w:p>
        </w:tc>
        <w:tc>
          <w:tcPr>
            <w:tcW w:w="14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0.10%</w:t>
            </w:r>
          </w:p>
        </w:tc>
        <w:tc>
          <w:tcPr>
            <w:tcW w:w="1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0.05%</w:t>
            </w:r>
          </w:p>
        </w:tc>
        <w:tc>
          <w:tcPr>
            <w:tcW w:w="100" w:type="dxa"/>
            <w:vAlign w:val="bottom"/>
            <w:tcBorders>
              <w:top w:val="single" w:sz="8" w:color="CCEEFF"/>
            </w:tcBorders>
            <w:shd w:val="clear" w:color="auto" w:fill="CCEEFF"/>
          </w:tcPr>
          <w:p>
            <w:pPr>
              <w:spacing w:after="0"/>
              <w:rPr>
                <w:sz w:val="18"/>
                <w:szCs w:val="18"/>
                <w:color w:val="auto"/>
              </w:rPr>
            </w:pPr>
          </w:p>
        </w:tc>
        <w:tc>
          <w:tcPr>
            <w:tcW w:w="9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2.0</w:t>
            </w:r>
          </w:p>
        </w:tc>
        <w:tc>
          <w:tcPr>
            <w:tcW w:w="0" w:type="dxa"/>
            <w:vAlign w:val="bottom"/>
          </w:tcPr>
          <w:p>
            <w:pPr>
              <w:spacing w:after="0"/>
              <w:rPr>
                <w:sz w:val="1"/>
                <w:szCs w:val="1"/>
                <w:color w:val="auto"/>
              </w:rPr>
            </w:pPr>
          </w:p>
        </w:tc>
      </w:tr>
      <w:tr>
        <w:trPr>
          <w:trHeight w:val="213"/>
        </w:trPr>
        <w:tc>
          <w:tcPr>
            <w:tcW w:w="25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&gt; 3 to ≤ 5 years</w:t>
            </w: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17,050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0.23%</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0.30%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3.8</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16,800</w:t>
            </w:r>
          </w:p>
        </w:tc>
        <w:tc>
          <w:tcPr>
            <w:tcW w:w="14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0.22%</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0.06%</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4.0</w:t>
            </w:r>
          </w:p>
        </w:tc>
        <w:tc>
          <w:tcPr>
            <w:tcW w:w="0" w:type="dxa"/>
            <w:vAlign w:val="bottom"/>
          </w:tcPr>
          <w:p>
            <w:pPr>
              <w:spacing w:after="0"/>
              <w:rPr>
                <w:sz w:val="1"/>
                <w:szCs w:val="1"/>
                <w:color w:val="auto"/>
              </w:rPr>
            </w:pPr>
          </w:p>
        </w:tc>
      </w:tr>
      <w:tr>
        <w:trPr>
          <w:trHeight w:val="219"/>
        </w:trPr>
        <w:tc>
          <w:tcPr>
            <w:tcW w:w="2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&gt; 5 to ≤ 7 years</w:t>
            </w:r>
          </w:p>
        </w:tc>
        <w:tc>
          <w:tcPr>
            <w:tcW w:w="1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7,700</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0.59%</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0.29%</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5.8</w:t>
            </w:r>
          </w:p>
        </w:tc>
        <w:tc>
          <w:tcPr>
            <w:tcW w:w="2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6,050</w:t>
            </w:r>
          </w:p>
        </w:tc>
        <w:tc>
          <w:tcPr>
            <w:tcW w:w="14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0.29%</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0.05%</w:t>
            </w:r>
          </w:p>
        </w:tc>
        <w:tc>
          <w:tcPr>
            <w:tcW w:w="100" w:type="dxa"/>
            <w:vAlign w:val="bottom"/>
            <w:shd w:val="clear" w:color="auto" w:fill="CCEEFF"/>
          </w:tcPr>
          <w:p>
            <w:pPr>
              <w:spacing w:after="0"/>
              <w:rPr>
                <w:sz w:val="19"/>
                <w:szCs w:val="19"/>
                <w:color w:val="auto"/>
              </w:rPr>
            </w:pPr>
          </w:p>
        </w:tc>
        <w:tc>
          <w:tcPr>
            <w:tcW w:w="9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6.0</w:t>
            </w:r>
          </w:p>
        </w:tc>
        <w:tc>
          <w:tcPr>
            <w:tcW w:w="0" w:type="dxa"/>
            <w:vAlign w:val="bottom"/>
          </w:tcPr>
          <w:p>
            <w:pPr>
              <w:spacing w:after="0"/>
              <w:rPr>
                <w:sz w:val="1"/>
                <w:szCs w:val="1"/>
                <w:color w:val="auto"/>
              </w:rPr>
            </w:pPr>
          </w:p>
        </w:tc>
      </w:tr>
      <w:tr>
        <w:trPr>
          <w:trHeight w:val="213"/>
        </w:trPr>
        <w:tc>
          <w:tcPr>
            <w:tcW w:w="25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&gt; 7 to ≤ 10 years</w:t>
            </w: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4,400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0.46%</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0.30%</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8.2</w:t>
            </w:r>
          </w:p>
        </w:tc>
        <w:tc>
          <w:tcPr>
            <w:tcW w:w="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4,400</w:t>
            </w:r>
          </w:p>
        </w:tc>
        <w:tc>
          <w:tcPr>
            <w:tcW w:w="14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0.46%</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0.05%</w:t>
            </w:r>
          </w:p>
        </w:tc>
        <w:tc>
          <w:tcPr>
            <w:tcW w:w="100" w:type="dxa"/>
            <w:vAlign w:val="bottom"/>
          </w:tcPr>
          <w:p>
            <w:pPr>
              <w:spacing w:after="0"/>
              <w:rPr>
                <w:sz w:val="18"/>
                <w:szCs w:val="18"/>
                <w:color w:val="auto"/>
              </w:rPr>
            </w:pPr>
          </w:p>
        </w:tc>
        <w:tc>
          <w:tcPr>
            <w:tcW w:w="98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8.5</w:t>
            </w:r>
          </w:p>
        </w:tc>
        <w:tc>
          <w:tcPr>
            <w:tcW w:w="0" w:type="dxa"/>
            <w:vAlign w:val="bottom"/>
          </w:tcPr>
          <w:p>
            <w:pPr>
              <w:spacing w:after="0"/>
              <w:rPr>
                <w:sz w:val="1"/>
                <w:szCs w:val="1"/>
                <w:color w:val="auto"/>
              </w:rPr>
            </w:pPr>
          </w:p>
        </w:tc>
      </w:tr>
      <w:tr>
        <w:trPr>
          <w:trHeight w:val="216"/>
        </w:trPr>
        <w:tc>
          <w:tcPr>
            <w:tcW w:w="2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&gt; 10 years</w:t>
            </w: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1,475</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0.47%</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0.30%</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12.9</w:t>
            </w:r>
          </w:p>
        </w:tc>
        <w:tc>
          <w:tcPr>
            <w:tcW w:w="2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1,475</w:t>
            </w:r>
          </w:p>
        </w:tc>
        <w:tc>
          <w:tcPr>
            <w:tcW w:w="14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0.47%</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0.05%</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13.2</w:t>
            </w:r>
          </w:p>
        </w:tc>
        <w:tc>
          <w:tcPr>
            <w:tcW w:w="0" w:type="dxa"/>
            <w:vAlign w:val="bottom"/>
          </w:tcPr>
          <w:p>
            <w:pPr>
              <w:spacing w:after="0"/>
              <w:rPr>
                <w:sz w:val="1"/>
                <w:szCs w:val="1"/>
                <w:color w:val="auto"/>
              </w:rPr>
            </w:pPr>
          </w:p>
        </w:tc>
      </w:tr>
      <w:tr>
        <w:trPr>
          <w:trHeight w:val="212"/>
        </w:trPr>
        <w:tc>
          <w:tcPr>
            <w:tcW w:w="25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Total</w:t>
            </w: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51,125</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0.26%</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0.30%</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4.0</w:t>
            </w:r>
          </w:p>
        </w:tc>
        <w:tc>
          <w:tcPr>
            <w:tcW w:w="2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51,225</w:t>
            </w:r>
          </w:p>
        </w:tc>
        <w:tc>
          <w:tcPr>
            <w:tcW w:w="14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0.20%</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0.05%</w:t>
            </w:r>
          </w:p>
        </w:tc>
        <w:tc>
          <w:tcPr>
            <w:tcW w:w="100" w:type="dxa"/>
            <w:vAlign w:val="bottom"/>
          </w:tcPr>
          <w:p>
            <w:pPr>
              <w:spacing w:after="0"/>
              <w:rPr>
                <w:sz w:val="18"/>
                <w:szCs w:val="18"/>
                <w:color w:val="auto"/>
              </w:rPr>
            </w:pPr>
          </w:p>
        </w:tc>
        <w:tc>
          <w:tcPr>
            <w:tcW w:w="9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4.0</w:t>
            </w:r>
          </w:p>
        </w:tc>
        <w:tc>
          <w:tcPr>
            <w:tcW w:w="0" w:type="dxa"/>
            <w:vAlign w:val="bottom"/>
          </w:tcPr>
          <w:p>
            <w:pPr>
              <w:spacing w:after="0"/>
              <w:rPr>
                <w:sz w:val="1"/>
                <w:szCs w:val="1"/>
                <w:color w:val="auto"/>
              </w:rPr>
            </w:pPr>
          </w:p>
        </w:tc>
      </w:tr>
      <w:tr>
        <w:trPr>
          <w:trHeight w:val="20"/>
        </w:trPr>
        <w:tc>
          <w:tcPr>
            <w:tcW w:w="23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49" w:lineRule="exact"/>
        <w:rPr>
          <w:sz w:val="20"/>
          <w:szCs w:val="20"/>
          <w:color w:val="auto"/>
        </w:rPr>
      </w:pPr>
    </w:p>
    <w:tbl>
      <w:tblPr>
        <w:tblLayout w:type="fixed"/>
        <w:tblInd w:w="2020" w:type="dxa"/>
        <w:tblCellMar>
          <w:top w:w="0" w:type="dxa"/>
          <w:left w:w="0" w:type="dxa"/>
          <w:bottom w:w="0" w:type="dxa"/>
          <w:right w:w="0" w:type="dxa"/>
        </w:tblCellMar>
      </w:tblPr>
      <w:tr>
        <w:trPr>
          <w:trHeight w:val="161"/>
        </w:trPr>
        <w:tc>
          <w:tcPr>
            <w:tcW w:w="37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Pay Fixed / Receive Variable Interest Rate Swaps by</w:t>
            </w:r>
          </w:p>
        </w:tc>
        <w:tc>
          <w:tcPr>
            <w:tcW w:w="1840" w:type="dxa"/>
            <w:vAlign w:val="bottom"/>
            <w:gridSpan w:val="2"/>
          </w:tcPr>
          <w:p>
            <w:pPr>
              <w:ind w:left="500"/>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1620" w:type="dxa"/>
            <w:vAlign w:val="bottom"/>
            <w:vMerge w:val="restart"/>
          </w:tcPr>
          <w:p>
            <w:pPr>
              <w:jc w:val="right"/>
              <w:ind w:right="161"/>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195"/>
        </w:trPr>
        <w:tc>
          <w:tcPr>
            <w:tcW w:w="37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Receive Index (% of Notional Amount)</w:t>
            </w:r>
          </w:p>
        </w:tc>
        <w:tc>
          <w:tcPr>
            <w:tcW w:w="1620" w:type="dxa"/>
            <w:vAlign w:val="bottom"/>
          </w:tcPr>
          <w:p>
            <w:pPr>
              <w:jc w:val="right"/>
              <w:ind w:right="583"/>
              <w:spacing w:after="0"/>
              <w:rPr>
                <w:sz w:val="20"/>
                <w:szCs w:val="20"/>
                <w:color w:val="auto"/>
              </w:rPr>
            </w:pPr>
            <w:r>
              <w:rPr>
                <w:rFonts w:ascii="Times New Roman" w:cs="Times New Roman" w:eastAsia="Times New Roman" w:hAnsi="Times New Roman"/>
                <w:sz w:val="14"/>
                <w:szCs w:val="14"/>
                <w:b w:val="1"/>
                <w:bCs w:val="1"/>
                <w:color w:val="auto"/>
              </w:rPr>
              <w:t>2022</w:t>
            </w:r>
          </w:p>
        </w:tc>
        <w:tc>
          <w:tcPr>
            <w:tcW w:w="220" w:type="dxa"/>
            <w:vAlign w:val="bottom"/>
          </w:tcPr>
          <w:p>
            <w:pPr>
              <w:spacing w:after="0"/>
              <w:rPr>
                <w:sz w:val="16"/>
                <w:szCs w:val="16"/>
                <w:color w:val="auto"/>
              </w:rPr>
            </w:pPr>
          </w:p>
        </w:tc>
        <w:tc>
          <w:tcPr>
            <w:tcW w:w="162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12"/>
        </w:trPr>
        <w:tc>
          <w:tcPr>
            <w:tcW w:w="354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SOFR</w:t>
            </w:r>
          </w:p>
        </w:tc>
        <w:tc>
          <w:tcPr>
            <w:tcW w:w="220" w:type="dxa"/>
            <w:vAlign w:val="bottom"/>
          </w:tcPr>
          <w:p>
            <w:pPr>
              <w:spacing w:after="0"/>
              <w:rPr>
                <w:sz w:val="18"/>
                <w:szCs w:val="18"/>
                <w:color w:val="auto"/>
              </w:rPr>
            </w:pPr>
          </w:p>
        </w:tc>
        <w:tc>
          <w:tcPr>
            <w:tcW w:w="1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79 %</w:t>
            </w:r>
          </w:p>
        </w:tc>
        <w:tc>
          <w:tcPr>
            <w:tcW w:w="220" w:type="dxa"/>
            <w:vAlign w:val="bottom"/>
          </w:tcPr>
          <w:p>
            <w:pPr>
              <w:spacing w:after="0"/>
              <w:rPr>
                <w:sz w:val="18"/>
                <w:szCs w:val="18"/>
                <w:color w:val="auto"/>
              </w:rPr>
            </w:pPr>
          </w:p>
        </w:tc>
        <w:tc>
          <w:tcPr>
            <w:tcW w:w="16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75 %</w:t>
            </w:r>
          </w:p>
        </w:tc>
        <w:tc>
          <w:tcPr>
            <w:tcW w:w="0" w:type="dxa"/>
            <w:vAlign w:val="bottom"/>
          </w:tcPr>
          <w:p>
            <w:pPr>
              <w:spacing w:after="0"/>
              <w:rPr>
                <w:sz w:val="1"/>
                <w:szCs w:val="1"/>
                <w:color w:val="auto"/>
              </w:rPr>
            </w:pPr>
          </w:p>
        </w:tc>
      </w:tr>
      <w:tr>
        <w:trPr>
          <w:trHeight w:val="216"/>
        </w:trPr>
        <w:tc>
          <w:tcPr>
            <w:tcW w:w="37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OIS</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21 %</w:t>
            </w:r>
          </w:p>
        </w:tc>
        <w:tc>
          <w:tcPr>
            <w:tcW w:w="220" w:type="dxa"/>
            <w:vAlign w:val="bottom"/>
            <w:shd w:val="clear" w:color="auto" w:fill="CCEEFF"/>
          </w:tcPr>
          <w:p>
            <w:pPr>
              <w:spacing w:after="0"/>
              <w:rPr>
                <w:sz w:val="18"/>
                <w:szCs w:val="18"/>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25 %</w:t>
            </w:r>
          </w:p>
        </w:tc>
        <w:tc>
          <w:tcPr>
            <w:tcW w:w="0" w:type="dxa"/>
            <w:vAlign w:val="bottom"/>
          </w:tcPr>
          <w:p>
            <w:pPr>
              <w:spacing w:after="0"/>
              <w:rPr>
                <w:sz w:val="1"/>
                <w:szCs w:val="1"/>
                <w:color w:val="auto"/>
              </w:rPr>
            </w:pPr>
          </w:p>
        </w:tc>
      </w:tr>
      <w:tr>
        <w:trPr>
          <w:trHeight w:val="212"/>
        </w:trPr>
        <w:tc>
          <w:tcPr>
            <w:tcW w:w="376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Total</w:t>
            </w:r>
          </w:p>
        </w:tc>
        <w:tc>
          <w:tcPr>
            <w:tcW w:w="1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100 %</w:t>
            </w:r>
          </w:p>
        </w:tc>
        <w:tc>
          <w:tcPr>
            <w:tcW w:w="220" w:type="dxa"/>
            <w:vAlign w:val="bottom"/>
          </w:tcPr>
          <w:p>
            <w:pPr>
              <w:spacing w:after="0"/>
              <w:rPr>
                <w:sz w:val="18"/>
                <w:szCs w:val="18"/>
                <w:color w:val="auto"/>
              </w:rPr>
            </w:pPr>
          </w:p>
        </w:tc>
        <w:tc>
          <w:tcPr>
            <w:tcW w:w="16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100 %</w:t>
            </w:r>
          </w:p>
        </w:tc>
        <w:tc>
          <w:tcPr>
            <w:tcW w:w="0" w:type="dxa"/>
            <w:vAlign w:val="bottom"/>
          </w:tcPr>
          <w:p>
            <w:pPr>
              <w:spacing w:after="0"/>
              <w:rPr>
                <w:sz w:val="1"/>
                <w:szCs w:val="1"/>
                <w:color w:val="auto"/>
              </w:rPr>
            </w:pPr>
          </w:p>
        </w:tc>
      </w:tr>
      <w:tr>
        <w:trPr>
          <w:trHeight w:val="20"/>
        </w:trPr>
        <w:tc>
          <w:tcPr>
            <w:tcW w:w="35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16" w:name="page17"/>
    <w:bookmarkEnd w:id="16"/>
    <w:tbl>
      <w:tblPr>
        <w:tblLayout w:type="fixed"/>
        <w:tblInd w:w="0" w:type="dxa"/>
        <w:tblCellMar>
          <w:top w:w="0" w:type="dxa"/>
          <w:left w:w="0" w:type="dxa"/>
          <w:bottom w:w="0" w:type="dxa"/>
          <w:right w:w="0" w:type="dxa"/>
        </w:tblCellMar>
      </w:tblPr>
      <w:tr>
        <w:trPr>
          <w:trHeight w:val="190"/>
        </w:trPr>
        <w:tc>
          <w:tcPr>
            <w:tcW w:w="412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Swaptions</w:t>
            </w:r>
          </w:p>
        </w:tc>
        <w:tc>
          <w:tcPr>
            <w:tcW w:w="160" w:type="dxa"/>
            <w:vAlign w:val="bottom"/>
          </w:tcPr>
          <w:p>
            <w:pPr>
              <w:spacing w:after="0"/>
              <w:rPr>
                <w:sz w:val="16"/>
                <w:szCs w:val="16"/>
                <w:color w:val="auto"/>
              </w:rPr>
            </w:pPr>
          </w:p>
        </w:tc>
        <w:tc>
          <w:tcPr>
            <w:tcW w:w="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4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Option</w:t>
            </w:r>
          </w:p>
        </w:tc>
        <w:tc>
          <w:tcPr>
            <w:tcW w:w="1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2400" w:type="dxa"/>
            <w:vAlign w:val="bottom"/>
            <w:gridSpan w:val="5"/>
          </w:tcPr>
          <w:p>
            <w:pPr>
              <w:jc w:val="center"/>
              <w:ind w:left="621"/>
              <w:spacing w:after="0"/>
              <w:rPr>
                <w:sz w:val="20"/>
                <w:szCs w:val="20"/>
                <w:color w:val="auto"/>
              </w:rPr>
            </w:pPr>
            <w:r>
              <w:rPr>
                <w:rFonts w:ascii="Times New Roman" w:cs="Times New Roman" w:eastAsia="Times New Roman" w:hAnsi="Times New Roman"/>
                <w:sz w:val="14"/>
                <w:szCs w:val="14"/>
                <w:b w:val="1"/>
                <w:bCs w:val="1"/>
                <w:color w:val="auto"/>
              </w:rPr>
              <w:t>Underlying Payer Swap</w:t>
            </w: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40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9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20" w:type="dxa"/>
            <w:vAlign w:val="bottom"/>
            <w:gridSpan w:val="2"/>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4020" w:type="dxa"/>
            <w:vAlign w:val="bottom"/>
            <w:tcBorders>
              <w:top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9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12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00" w:type="dxa"/>
            <w:vAlign w:val="bottom"/>
          </w:tcPr>
          <w:p>
            <w:pPr>
              <w:spacing w:after="0"/>
              <w:rPr>
                <w:sz w:val="11"/>
                <w:szCs w:val="11"/>
                <w:color w:val="auto"/>
              </w:rPr>
            </w:pPr>
          </w:p>
        </w:tc>
        <w:tc>
          <w:tcPr>
            <w:tcW w:w="20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400" w:type="dxa"/>
            <w:vAlign w:val="bottom"/>
            <w:tcBorders>
              <w:top w:val="single" w:sz="8" w:color="auto"/>
            </w:tcBorders>
            <w:gridSpan w:val="3"/>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Average Fixed</w:t>
            </w:r>
          </w:p>
        </w:tc>
        <w:tc>
          <w:tcPr>
            <w:tcW w:w="900" w:type="dxa"/>
            <w:vAlign w:val="bottom"/>
            <w:tcBorders>
              <w:top w:val="single" w:sz="8" w:color="auto"/>
            </w:tcBorders>
            <w:vMerge w:val="restart"/>
          </w:tcPr>
          <w:p>
            <w:pPr>
              <w:jc w:val="center"/>
              <w:ind w:right="121"/>
              <w:spacing w:after="0"/>
              <w:rPr>
                <w:sz w:val="20"/>
                <w:szCs w:val="20"/>
                <w:color w:val="auto"/>
              </w:rPr>
            </w:pPr>
            <w:r>
              <w:rPr>
                <w:rFonts w:ascii="Times New Roman" w:cs="Times New Roman" w:eastAsia="Times New Roman" w:hAnsi="Times New Roman"/>
                <w:sz w:val="14"/>
                <w:szCs w:val="14"/>
                <w:b w:val="1"/>
                <w:bCs w:val="1"/>
                <w:color w:val="auto"/>
              </w:rPr>
              <w:t>Average</w:t>
            </w:r>
          </w:p>
        </w:tc>
        <w:tc>
          <w:tcPr>
            <w:tcW w:w="0" w:type="dxa"/>
            <w:vAlign w:val="bottom"/>
          </w:tcPr>
          <w:p>
            <w:pPr>
              <w:spacing w:after="0"/>
              <w:rPr>
                <w:sz w:val="1"/>
                <w:szCs w:val="1"/>
                <w:color w:val="auto"/>
              </w:rPr>
            </w:pPr>
          </w:p>
        </w:tc>
      </w:tr>
      <w:tr>
        <w:trPr>
          <w:trHeight w:val="148"/>
        </w:trPr>
        <w:tc>
          <w:tcPr>
            <w:tcW w:w="4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2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Months to</w:t>
            </w:r>
          </w:p>
        </w:tc>
        <w:tc>
          <w:tcPr>
            <w:tcW w:w="200" w:type="dxa"/>
            <w:vAlign w:val="bottom"/>
          </w:tcPr>
          <w:p>
            <w:pPr>
              <w:spacing w:after="0"/>
              <w:rPr>
                <w:sz w:val="12"/>
                <w:szCs w:val="12"/>
                <w:color w:val="auto"/>
              </w:rPr>
            </w:pPr>
          </w:p>
        </w:tc>
        <w:tc>
          <w:tcPr>
            <w:tcW w:w="100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Notional</w:t>
            </w:r>
          </w:p>
        </w:tc>
        <w:tc>
          <w:tcPr>
            <w:tcW w:w="1400" w:type="dxa"/>
            <w:vAlign w:val="bottom"/>
            <w:gridSpan w:val="3"/>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41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Current Option Expiration Date</w:t>
            </w:r>
          </w:p>
        </w:tc>
        <w:tc>
          <w:tcPr>
            <w:tcW w:w="160" w:type="dxa"/>
            <w:vAlign w:val="bottom"/>
          </w:tcPr>
          <w:p>
            <w:pPr>
              <w:spacing w:after="0"/>
              <w:rPr>
                <w:sz w:val="12"/>
                <w:szCs w:val="12"/>
                <w:color w:val="auto"/>
              </w:rPr>
            </w:pPr>
          </w:p>
        </w:tc>
        <w:tc>
          <w:tcPr>
            <w:tcW w:w="104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Cost Basis</w:t>
            </w:r>
          </w:p>
        </w:tc>
        <w:tc>
          <w:tcPr>
            <w:tcW w:w="160" w:type="dxa"/>
            <w:vAlign w:val="bottom"/>
          </w:tcPr>
          <w:p>
            <w:pPr>
              <w:spacing w:after="0"/>
              <w:rPr>
                <w:sz w:val="12"/>
                <w:szCs w:val="12"/>
                <w:color w:val="auto"/>
              </w:rPr>
            </w:pPr>
          </w:p>
        </w:tc>
        <w:tc>
          <w:tcPr>
            <w:tcW w:w="104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w w:val="99"/>
              </w:rPr>
              <w:t>Fair Value</w:t>
            </w:r>
          </w:p>
        </w:tc>
        <w:tc>
          <w:tcPr>
            <w:tcW w:w="1220" w:type="dxa"/>
            <w:vAlign w:val="bottom"/>
            <w:gridSpan w:val="2"/>
          </w:tcPr>
          <w:p>
            <w:pPr>
              <w:jc w:val="center"/>
              <w:ind w:right="100"/>
              <w:spacing w:after="0" w:line="146" w:lineRule="exact"/>
              <w:rPr>
                <w:sz w:val="20"/>
                <w:szCs w:val="20"/>
                <w:color w:val="auto"/>
              </w:rPr>
            </w:pPr>
            <w:r>
              <w:rPr>
                <w:rFonts w:ascii="Times New Roman" w:cs="Times New Roman" w:eastAsia="Times New Roman" w:hAnsi="Times New Roman"/>
                <w:sz w:val="14"/>
                <w:szCs w:val="14"/>
                <w:b w:val="1"/>
                <w:bCs w:val="1"/>
                <w:color w:val="auto"/>
              </w:rPr>
              <w:t>Current Option</w:t>
            </w:r>
          </w:p>
        </w:tc>
        <w:tc>
          <w:tcPr>
            <w:tcW w:w="20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400" w:type="dxa"/>
            <w:vAlign w:val="bottom"/>
            <w:gridSpan w:val="3"/>
          </w:tcPr>
          <w:p>
            <w:pPr>
              <w:jc w:val="center"/>
              <w:ind w:right="300"/>
              <w:spacing w:after="0" w:line="146" w:lineRule="exact"/>
              <w:rPr>
                <w:sz w:val="20"/>
                <w:szCs w:val="20"/>
                <w:color w:val="auto"/>
              </w:rPr>
            </w:pPr>
            <w:r>
              <w:rPr>
                <w:rFonts w:ascii="Times New Roman" w:cs="Times New Roman" w:eastAsia="Times New Roman" w:hAnsi="Times New Roman"/>
                <w:sz w:val="14"/>
                <w:szCs w:val="14"/>
                <w:b w:val="1"/>
                <w:bCs w:val="1"/>
                <w:color w:val="auto"/>
                <w:w w:val="97"/>
              </w:rPr>
              <w:t>Pay</w:t>
            </w:r>
          </w:p>
        </w:tc>
        <w:tc>
          <w:tcPr>
            <w:tcW w:w="900" w:type="dxa"/>
            <w:vAlign w:val="bottom"/>
          </w:tcPr>
          <w:p>
            <w:pPr>
              <w:jc w:val="center"/>
              <w:ind w:right="121"/>
              <w:spacing w:after="0" w:line="146" w:lineRule="exact"/>
              <w:rPr>
                <w:sz w:val="20"/>
                <w:szCs w:val="20"/>
                <w:color w:val="auto"/>
              </w:rPr>
            </w:pPr>
            <w:r>
              <w:rPr>
                <w:rFonts w:ascii="Times New Roman" w:cs="Times New Roman" w:eastAsia="Times New Roman" w:hAnsi="Times New Roman"/>
                <w:sz w:val="14"/>
                <w:szCs w:val="14"/>
                <w:b w:val="1"/>
                <w:bCs w:val="1"/>
                <w:color w:val="auto"/>
              </w:rPr>
              <w:t>Term</w:t>
            </w:r>
          </w:p>
        </w:tc>
        <w:tc>
          <w:tcPr>
            <w:tcW w:w="0" w:type="dxa"/>
            <w:vAlign w:val="bottom"/>
          </w:tcPr>
          <w:p>
            <w:pPr>
              <w:spacing w:after="0"/>
              <w:rPr>
                <w:sz w:val="1"/>
                <w:szCs w:val="1"/>
                <w:color w:val="auto"/>
              </w:rPr>
            </w:pPr>
          </w:p>
        </w:tc>
      </w:tr>
      <w:tr>
        <w:trPr>
          <w:trHeight w:val="203"/>
        </w:trPr>
        <w:tc>
          <w:tcPr>
            <w:tcW w:w="412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160" w:type="dxa"/>
            <w:vAlign w:val="bottom"/>
          </w:tcPr>
          <w:p>
            <w:pPr>
              <w:spacing w:after="0"/>
              <w:rPr>
                <w:sz w:val="17"/>
                <w:szCs w:val="17"/>
                <w:color w:val="auto"/>
              </w:rPr>
            </w:pPr>
          </w:p>
        </w:tc>
        <w:tc>
          <w:tcPr>
            <w:tcW w:w="1040" w:type="dxa"/>
            <w:vAlign w:val="bottom"/>
            <w:gridSpan w:val="2"/>
            <w:vMerge w:val="continue"/>
          </w:tcPr>
          <w:p>
            <w:pPr>
              <w:spacing w:after="0"/>
              <w:rPr>
                <w:sz w:val="17"/>
                <w:szCs w:val="17"/>
                <w:color w:val="auto"/>
              </w:rPr>
            </w:pPr>
          </w:p>
        </w:tc>
        <w:tc>
          <w:tcPr>
            <w:tcW w:w="12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 xml:space="preserve">Expiration Date </w:t>
            </w:r>
            <w:r>
              <w:rPr>
                <w:rFonts w:ascii="Times New Roman" w:cs="Times New Roman" w:eastAsia="Times New Roman" w:hAnsi="Times New Roman"/>
                <w:sz w:val="9"/>
                <w:szCs w:val="9"/>
                <w:b w:val="1"/>
                <w:bCs w:val="1"/>
                <w:color w:val="auto"/>
              </w:rPr>
              <w:t>1</w:t>
            </w:r>
          </w:p>
        </w:tc>
        <w:tc>
          <w:tcPr>
            <w:tcW w:w="200" w:type="dxa"/>
            <w:vAlign w:val="bottom"/>
          </w:tcPr>
          <w:p>
            <w:pPr>
              <w:spacing w:after="0"/>
              <w:rPr>
                <w:sz w:val="17"/>
                <w:szCs w:val="17"/>
                <w:color w:val="auto"/>
              </w:rPr>
            </w:pPr>
          </w:p>
        </w:tc>
        <w:tc>
          <w:tcPr>
            <w:tcW w:w="1000" w:type="dxa"/>
            <w:vAlign w:val="bottom"/>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400" w:type="dxa"/>
            <w:vAlign w:val="bottom"/>
            <w:gridSpan w:val="3"/>
          </w:tcPr>
          <w:p>
            <w:pPr>
              <w:jc w:val="center"/>
              <w:ind w:right="300"/>
              <w:spacing w:after="0" w:line="202" w:lineRule="exact"/>
              <w:rPr>
                <w:sz w:val="20"/>
                <w:szCs w:val="20"/>
                <w:color w:val="auto"/>
              </w:rPr>
            </w:pPr>
            <w:r>
              <w:rPr>
                <w:rFonts w:ascii="Times New Roman" w:cs="Times New Roman" w:eastAsia="Times New Roman" w:hAnsi="Times New Roman"/>
                <w:sz w:val="14"/>
                <w:szCs w:val="14"/>
                <w:b w:val="1"/>
                <w:bCs w:val="1"/>
                <w:color w:val="auto"/>
              </w:rPr>
              <w:t xml:space="preserve">Rate </w:t>
            </w:r>
            <w:r>
              <w:rPr>
                <w:rFonts w:ascii="Times New Roman" w:cs="Times New Roman" w:eastAsia="Times New Roman" w:hAnsi="Times New Roman"/>
                <w:sz w:val="18"/>
                <w:szCs w:val="18"/>
                <w:b w:val="1"/>
                <w:bCs w:val="1"/>
                <w:color w:val="auto"/>
                <w:vertAlign w:val="superscript"/>
              </w:rPr>
              <w:t>2</w:t>
            </w:r>
          </w:p>
        </w:tc>
        <w:tc>
          <w:tcPr>
            <w:tcW w:w="900" w:type="dxa"/>
            <w:vAlign w:val="bottom"/>
          </w:tcPr>
          <w:p>
            <w:pPr>
              <w:jc w:val="center"/>
              <w:ind w:right="101"/>
              <w:spacing w:after="0"/>
              <w:rPr>
                <w:sz w:val="20"/>
                <w:szCs w:val="20"/>
                <w:color w:val="auto"/>
              </w:rPr>
            </w:pPr>
            <w:r>
              <w:rPr>
                <w:rFonts w:ascii="Times New Roman" w:cs="Times New Roman" w:eastAsia="Times New Roman" w:hAnsi="Times New Roman"/>
                <w:sz w:val="14"/>
                <w:szCs w:val="14"/>
                <w:b w:val="1"/>
                <w:bCs w:val="1"/>
                <w:color w:val="auto"/>
                <w:w w:val="99"/>
              </w:rPr>
              <w:t>(Years)</w:t>
            </w:r>
          </w:p>
        </w:tc>
        <w:tc>
          <w:tcPr>
            <w:tcW w:w="0" w:type="dxa"/>
            <w:vAlign w:val="bottom"/>
          </w:tcPr>
          <w:p>
            <w:pPr>
              <w:spacing w:after="0"/>
              <w:rPr>
                <w:sz w:val="1"/>
                <w:szCs w:val="1"/>
                <w:color w:val="auto"/>
              </w:rPr>
            </w:pPr>
          </w:p>
        </w:tc>
      </w:tr>
      <w:tr>
        <w:trPr>
          <w:trHeight w:val="209"/>
        </w:trPr>
        <w:tc>
          <w:tcPr>
            <w:tcW w:w="40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March 31, 2022</w:t>
            </w: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tcBorders>
            <w:shd w:val="clear" w:color="auto" w:fill="CCEEFF"/>
          </w:tcPr>
          <w:p>
            <w:pPr>
              <w:spacing w:after="0"/>
              <w:rPr>
                <w:sz w:val="18"/>
                <w:szCs w:val="18"/>
                <w:color w:val="auto"/>
              </w:rPr>
            </w:pPr>
          </w:p>
        </w:tc>
        <w:tc>
          <w:tcPr>
            <w:tcW w:w="94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2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100" w:type="dxa"/>
            <w:vAlign w:val="bottom"/>
            <w:tcBorders>
              <w:top w:val="single" w:sz="8" w:color="auto"/>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200" w:type="dxa"/>
            <w:vAlign w:val="bottom"/>
            <w:tcBorders>
              <w:top w:val="single" w:sz="8" w:color="auto"/>
            </w:tcBorders>
            <w:shd w:val="clear" w:color="auto" w:fill="CCEEFF"/>
          </w:tcPr>
          <w:p>
            <w:pPr>
              <w:spacing w:after="0"/>
              <w:rPr>
                <w:sz w:val="18"/>
                <w:szCs w:val="18"/>
                <w:color w:val="auto"/>
              </w:rPr>
            </w:pPr>
          </w:p>
        </w:tc>
        <w:tc>
          <w:tcPr>
            <w:tcW w:w="900" w:type="dxa"/>
            <w:vAlign w:val="bottom"/>
            <w:tcBorders>
              <w:top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1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 1 year</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88</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103</w:t>
            </w:r>
          </w:p>
        </w:tc>
        <w:tc>
          <w:tcPr>
            <w:tcW w:w="100" w:type="dxa"/>
            <w:vAlign w:val="bottom"/>
          </w:tcPr>
          <w:p>
            <w:pPr>
              <w:spacing w:after="0"/>
              <w:rPr>
                <w:sz w:val="18"/>
                <w:szCs w:val="18"/>
                <w:color w:val="auto"/>
              </w:rPr>
            </w:pPr>
          </w:p>
        </w:tc>
        <w:tc>
          <w:tcPr>
            <w:tcW w:w="112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9</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3,050</w:t>
            </w:r>
          </w:p>
        </w:tc>
        <w:tc>
          <w:tcPr>
            <w:tcW w:w="100" w:type="dxa"/>
            <w:vAlign w:val="bottom"/>
          </w:tcPr>
          <w:p>
            <w:pPr>
              <w:spacing w:after="0"/>
              <w:rPr>
                <w:sz w:val="18"/>
                <w:szCs w:val="18"/>
                <w:color w:val="auto"/>
              </w:rPr>
            </w:pPr>
          </w:p>
        </w:tc>
        <w:tc>
          <w:tcPr>
            <w:tcW w:w="110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2.18%</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center"/>
              <w:ind w:right="101"/>
              <w:spacing w:after="0"/>
              <w:rPr>
                <w:sz w:val="20"/>
                <w:szCs w:val="20"/>
                <w:color w:val="auto"/>
              </w:rPr>
            </w:pPr>
            <w:r>
              <w:rPr>
                <w:rFonts w:ascii="Times New Roman" w:cs="Times New Roman" w:eastAsia="Times New Roman" w:hAnsi="Times New Roman"/>
                <w:sz w:val="16"/>
                <w:szCs w:val="16"/>
                <w:color w:val="auto"/>
                <w:w w:val="99"/>
              </w:rPr>
              <w:t>7.4</w:t>
            </w:r>
          </w:p>
        </w:tc>
        <w:tc>
          <w:tcPr>
            <w:tcW w:w="0" w:type="dxa"/>
            <w:vAlign w:val="bottom"/>
          </w:tcPr>
          <w:p>
            <w:pPr>
              <w:spacing w:after="0"/>
              <w:rPr>
                <w:sz w:val="1"/>
                <w:szCs w:val="1"/>
                <w:color w:val="auto"/>
              </w:rPr>
            </w:pPr>
          </w:p>
        </w:tc>
      </w:tr>
      <w:tr>
        <w:trPr>
          <w:trHeight w:val="219"/>
        </w:trPr>
        <w:tc>
          <w:tcPr>
            <w:tcW w:w="41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&gt; 1 year ≤ 2 years</w:t>
            </w: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138</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273</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21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5,650</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2.13%</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center"/>
              <w:ind w:right="101"/>
              <w:spacing w:after="0"/>
              <w:rPr>
                <w:sz w:val="20"/>
                <w:szCs w:val="20"/>
                <w:color w:val="auto"/>
              </w:rPr>
            </w:pPr>
            <w:r>
              <w:rPr>
                <w:rFonts w:ascii="Times New Roman" w:cs="Times New Roman" w:eastAsia="Times New Roman" w:hAnsi="Times New Roman"/>
                <w:sz w:val="16"/>
                <w:szCs w:val="16"/>
                <w:color w:val="auto"/>
                <w:w w:val="99"/>
              </w:rPr>
              <w:t>10.0</w:t>
            </w:r>
          </w:p>
        </w:tc>
        <w:tc>
          <w:tcPr>
            <w:tcW w:w="0" w:type="dxa"/>
            <w:vAlign w:val="bottom"/>
          </w:tcPr>
          <w:p>
            <w:pPr>
              <w:spacing w:after="0"/>
              <w:rPr>
                <w:sz w:val="1"/>
                <w:szCs w:val="1"/>
                <w:color w:val="auto"/>
              </w:rPr>
            </w:pPr>
          </w:p>
        </w:tc>
      </w:tr>
      <w:tr>
        <w:trPr>
          <w:trHeight w:val="213"/>
        </w:trPr>
        <w:tc>
          <w:tcPr>
            <w:tcW w:w="412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6"/>
                <w:szCs w:val="16"/>
                <w:color w:val="auto"/>
              </w:rPr>
              <w:t>&gt; 2 year ≤ 3 years</w:t>
            </w: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34</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74</w:t>
            </w:r>
          </w:p>
        </w:tc>
        <w:tc>
          <w:tcPr>
            <w:tcW w:w="10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28</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1,550</w:t>
            </w:r>
          </w:p>
        </w:tc>
        <w:tc>
          <w:tcPr>
            <w:tcW w:w="10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2.18%</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center"/>
              <w:ind w:right="101"/>
              <w:spacing w:after="0"/>
              <w:rPr>
                <w:sz w:val="20"/>
                <w:szCs w:val="20"/>
                <w:color w:val="auto"/>
              </w:rPr>
            </w:pPr>
            <w:r>
              <w:rPr>
                <w:rFonts w:ascii="Times New Roman" w:cs="Times New Roman" w:eastAsia="Times New Roman" w:hAnsi="Times New Roman"/>
                <w:sz w:val="16"/>
                <w:szCs w:val="16"/>
                <w:color w:val="auto"/>
                <w:w w:val="99"/>
              </w:rPr>
              <w:t>10.0</w:t>
            </w:r>
          </w:p>
        </w:tc>
        <w:tc>
          <w:tcPr>
            <w:tcW w:w="0" w:type="dxa"/>
            <w:vAlign w:val="bottom"/>
          </w:tcPr>
          <w:p>
            <w:pPr>
              <w:spacing w:after="0"/>
              <w:rPr>
                <w:sz w:val="1"/>
                <w:szCs w:val="1"/>
                <w:color w:val="auto"/>
              </w:rPr>
            </w:pPr>
          </w:p>
        </w:tc>
      </w:tr>
      <w:tr>
        <w:trPr>
          <w:trHeight w:val="237"/>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260</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450</w:t>
            </w: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18</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bottom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10,250</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2.16%</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center"/>
              <w:ind w:right="101"/>
              <w:spacing w:after="0"/>
              <w:rPr>
                <w:sz w:val="20"/>
                <w:szCs w:val="20"/>
                <w:color w:val="auto"/>
              </w:rPr>
            </w:pPr>
            <w:r>
              <w:rPr>
                <w:rFonts w:ascii="Times New Roman" w:cs="Times New Roman" w:eastAsia="Times New Roman" w:hAnsi="Times New Roman"/>
                <w:sz w:val="16"/>
                <w:szCs w:val="16"/>
                <w:color w:val="auto"/>
                <w:w w:val="99"/>
              </w:rPr>
              <w:t>9.2</w:t>
            </w: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03"/>
        </w:trPr>
        <w:tc>
          <w:tcPr>
            <w:tcW w:w="40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1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December 31, 2021</w:t>
            </w: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41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 1 year</w:t>
            </w: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101</w:t>
            </w:r>
          </w:p>
        </w:tc>
        <w:tc>
          <w:tcPr>
            <w:tcW w:w="100" w:type="dxa"/>
            <w:vAlign w:val="bottom"/>
          </w:tcPr>
          <w:p>
            <w:pPr>
              <w:spacing w:after="0"/>
              <w:rPr>
                <w:sz w:val="18"/>
                <w:szCs w:val="18"/>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64</w:t>
            </w:r>
          </w:p>
        </w:tc>
        <w:tc>
          <w:tcPr>
            <w:tcW w:w="100" w:type="dxa"/>
            <w:vAlign w:val="bottom"/>
          </w:tcPr>
          <w:p>
            <w:pPr>
              <w:spacing w:after="0"/>
              <w:rPr>
                <w:sz w:val="18"/>
                <w:szCs w:val="18"/>
                <w:color w:val="auto"/>
              </w:rPr>
            </w:pPr>
          </w:p>
        </w:tc>
        <w:tc>
          <w:tcPr>
            <w:tcW w:w="112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6</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3,800</w:t>
            </w:r>
          </w:p>
        </w:tc>
        <w:tc>
          <w:tcPr>
            <w:tcW w:w="100" w:type="dxa"/>
            <w:vAlign w:val="bottom"/>
          </w:tcPr>
          <w:p>
            <w:pPr>
              <w:spacing w:after="0"/>
              <w:rPr>
                <w:sz w:val="18"/>
                <w:szCs w:val="18"/>
                <w:color w:val="auto"/>
              </w:rPr>
            </w:pPr>
          </w:p>
        </w:tc>
        <w:tc>
          <w:tcPr>
            <w:tcW w:w="110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1.81%</w:t>
            </w: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tcPr>
          <w:p>
            <w:pPr>
              <w:jc w:val="center"/>
              <w:ind w:right="101"/>
              <w:spacing w:after="0"/>
              <w:rPr>
                <w:sz w:val="20"/>
                <w:szCs w:val="20"/>
                <w:color w:val="auto"/>
              </w:rPr>
            </w:pPr>
            <w:r>
              <w:rPr>
                <w:rFonts w:ascii="Times New Roman" w:cs="Times New Roman" w:eastAsia="Times New Roman" w:hAnsi="Times New Roman"/>
                <w:sz w:val="16"/>
                <w:szCs w:val="16"/>
                <w:color w:val="auto"/>
                <w:w w:val="99"/>
              </w:rPr>
              <w:t>8.5</w:t>
            </w:r>
          </w:p>
        </w:tc>
        <w:tc>
          <w:tcPr>
            <w:tcW w:w="0" w:type="dxa"/>
            <w:vAlign w:val="bottom"/>
          </w:tcPr>
          <w:p>
            <w:pPr>
              <w:spacing w:after="0"/>
              <w:rPr>
                <w:sz w:val="1"/>
                <w:szCs w:val="1"/>
                <w:color w:val="auto"/>
              </w:rPr>
            </w:pPr>
          </w:p>
        </w:tc>
      </w:tr>
      <w:tr>
        <w:trPr>
          <w:trHeight w:val="219"/>
        </w:trPr>
        <w:tc>
          <w:tcPr>
            <w:tcW w:w="41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&gt; 1 year ≤ 2 years</w:t>
            </w: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128</w:t>
            </w:r>
          </w:p>
        </w:tc>
        <w:tc>
          <w:tcPr>
            <w:tcW w:w="10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147</w:t>
            </w:r>
          </w:p>
        </w:tc>
        <w:tc>
          <w:tcPr>
            <w:tcW w:w="100" w:type="dxa"/>
            <w:vAlign w:val="bottom"/>
            <w:shd w:val="clear" w:color="auto" w:fill="CCEEFF"/>
          </w:tcPr>
          <w:p>
            <w:pPr>
              <w:spacing w:after="0"/>
              <w:rPr>
                <w:sz w:val="19"/>
                <w:szCs w:val="19"/>
                <w:color w:val="auto"/>
              </w:rPr>
            </w:pPr>
          </w:p>
        </w:tc>
        <w:tc>
          <w:tcPr>
            <w:tcW w:w="11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20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5,150</w:t>
            </w:r>
          </w:p>
        </w:tc>
        <w:tc>
          <w:tcPr>
            <w:tcW w:w="100" w:type="dxa"/>
            <w:vAlign w:val="bottom"/>
            <w:shd w:val="clear" w:color="auto" w:fill="CCEEFF"/>
          </w:tcPr>
          <w:p>
            <w:pPr>
              <w:spacing w:after="0"/>
              <w:rPr>
                <w:sz w:val="19"/>
                <w:szCs w:val="19"/>
                <w:color w:val="auto"/>
              </w:rPr>
            </w:pPr>
          </w:p>
        </w:tc>
        <w:tc>
          <w:tcPr>
            <w:tcW w:w="11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1.69%</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900" w:type="dxa"/>
            <w:vAlign w:val="bottom"/>
            <w:shd w:val="clear" w:color="auto" w:fill="CCEEFF"/>
          </w:tcPr>
          <w:p>
            <w:pPr>
              <w:jc w:val="center"/>
              <w:ind w:right="101"/>
              <w:spacing w:after="0"/>
              <w:rPr>
                <w:sz w:val="20"/>
                <w:szCs w:val="20"/>
                <w:color w:val="auto"/>
              </w:rPr>
            </w:pPr>
            <w:r>
              <w:rPr>
                <w:rFonts w:ascii="Times New Roman" w:cs="Times New Roman" w:eastAsia="Times New Roman" w:hAnsi="Times New Roman"/>
                <w:sz w:val="16"/>
                <w:szCs w:val="16"/>
                <w:color w:val="auto"/>
                <w:w w:val="99"/>
              </w:rPr>
              <w:t>10.0</w:t>
            </w:r>
          </w:p>
        </w:tc>
        <w:tc>
          <w:tcPr>
            <w:tcW w:w="0" w:type="dxa"/>
            <w:vAlign w:val="bottom"/>
          </w:tcPr>
          <w:p>
            <w:pPr>
              <w:spacing w:after="0"/>
              <w:rPr>
                <w:sz w:val="1"/>
                <w:szCs w:val="1"/>
                <w:color w:val="auto"/>
              </w:rPr>
            </w:pPr>
          </w:p>
        </w:tc>
      </w:tr>
      <w:tr>
        <w:trPr>
          <w:trHeight w:val="213"/>
        </w:trPr>
        <w:tc>
          <w:tcPr>
            <w:tcW w:w="412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6"/>
                <w:szCs w:val="16"/>
                <w:color w:val="auto"/>
              </w:rPr>
              <w:t>&gt; 2 year ≤ 3 years</w:t>
            </w: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99</w:t>
            </w: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79</w:t>
            </w:r>
          </w:p>
        </w:tc>
        <w:tc>
          <w:tcPr>
            <w:tcW w:w="100" w:type="dxa"/>
            <w:vAlign w:val="bottom"/>
            <w:tcBorders>
              <w:bottom w:val="single" w:sz="8" w:color="CCEEFF"/>
            </w:tcBorders>
          </w:tcPr>
          <w:p>
            <w:pPr>
              <w:spacing w:after="0"/>
              <w:rPr>
                <w:sz w:val="18"/>
                <w:szCs w:val="18"/>
                <w:color w:val="auto"/>
              </w:rPr>
            </w:pPr>
          </w:p>
        </w:tc>
        <w:tc>
          <w:tcPr>
            <w:tcW w:w="11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28</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ind w:right="1"/>
              <w:spacing w:after="0"/>
              <w:rPr>
                <w:sz w:val="20"/>
                <w:szCs w:val="20"/>
                <w:color w:val="auto"/>
              </w:rPr>
            </w:pPr>
            <w:r>
              <w:rPr>
                <w:rFonts w:ascii="Times New Roman" w:cs="Times New Roman" w:eastAsia="Times New Roman" w:hAnsi="Times New Roman"/>
                <w:sz w:val="16"/>
                <w:szCs w:val="16"/>
                <w:color w:val="auto"/>
              </w:rPr>
              <w:t>4,050</w:t>
            </w:r>
          </w:p>
        </w:tc>
        <w:tc>
          <w:tcPr>
            <w:tcW w:w="100" w:type="dxa"/>
            <w:vAlign w:val="bottom"/>
            <w:tcBorders>
              <w:bottom w:val="single" w:sz="8" w:color="CCEEFF"/>
            </w:tcBorders>
          </w:tcPr>
          <w:p>
            <w:pPr>
              <w:spacing w:after="0"/>
              <w:rPr>
                <w:sz w:val="18"/>
                <w:szCs w:val="18"/>
                <w:color w:val="auto"/>
              </w:rPr>
            </w:pPr>
          </w:p>
        </w:tc>
        <w:tc>
          <w:tcPr>
            <w:tcW w:w="11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rPr>
              <w:t>2.35%</w:t>
            </w:r>
          </w:p>
        </w:tc>
        <w:tc>
          <w:tcPr>
            <w:tcW w:w="10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center"/>
              <w:ind w:right="101"/>
              <w:spacing w:after="0"/>
              <w:rPr>
                <w:sz w:val="20"/>
                <w:szCs w:val="20"/>
                <w:color w:val="auto"/>
              </w:rPr>
            </w:pPr>
            <w:r>
              <w:rPr>
                <w:rFonts w:ascii="Times New Roman" w:cs="Times New Roman" w:eastAsia="Times New Roman" w:hAnsi="Times New Roman"/>
                <w:sz w:val="16"/>
                <w:szCs w:val="16"/>
                <w:color w:val="auto"/>
                <w:w w:val="99"/>
              </w:rPr>
              <w:t>10.0</w:t>
            </w:r>
          </w:p>
        </w:tc>
        <w:tc>
          <w:tcPr>
            <w:tcW w:w="0" w:type="dxa"/>
            <w:vAlign w:val="bottom"/>
          </w:tcPr>
          <w:p>
            <w:pPr>
              <w:spacing w:after="0"/>
              <w:rPr>
                <w:sz w:val="1"/>
                <w:szCs w:val="1"/>
                <w:color w:val="auto"/>
              </w:rPr>
            </w:pPr>
          </w:p>
        </w:tc>
      </w:tr>
      <w:tr>
        <w:trPr>
          <w:trHeight w:val="237"/>
        </w:trPr>
        <w:tc>
          <w:tcPr>
            <w:tcW w:w="41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Total</w:t>
            </w: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328</w:t>
            </w:r>
          </w:p>
        </w:tc>
        <w:tc>
          <w:tcPr>
            <w:tcW w:w="100" w:type="dxa"/>
            <w:vAlign w:val="bottom"/>
            <w:tcBorders>
              <w:bottom w:val="single" w:sz="8" w:color="CCEEFF"/>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290</w:t>
            </w:r>
          </w:p>
        </w:tc>
        <w:tc>
          <w:tcPr>
            <w:tcW w:w="100" w:type="dxa"/>
            <w:vAlign w:val="bottom"/>
            <w:tcBorders>
              <w:bottom w:val="single" w:sz="8" w:color="CCEEFF"/>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w w:val="99"/>
              </w:rPr>
              <w:t>18</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900" w:type="dxa"/>
            <w:vAlign w:val="bottom"/>
            <w:tcBorders>
              <w:bottom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13,000</w:t>
            </w:r>
          </w:p>
        </w:tc>
        <w:tc>
          <w:tcPr>
            <w:tcW w:w="100" w:type="dxa"/>
            <w:vAlign w:val="bottom"/>
            <w:tcBorders>
              <w:bottom w:val="single" w:sz="8" w:color="CCEEFF"/>
            </w:tcBorders>
            <w:shd w:val="clear" w:color="auto" w:fill="CCEEFF"/>
          </w:tcPr>
          <w:p>
            <w:pPr>
              <w:spacing w:after="0"/>
              <w:rPr>
                <w:sz w:val="20"/>
                <w:szCs w:val="20"/>
                <w:color w:val="auto"/>
              </w:rPr>
            </w:pPr>
          </w:p>
        </w:tc>
        <w:tc>
          <w:tcPr>
            <w:tcW w:w="110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6"/>
                <w:szCs w:val="16"/>
                <w:color w:val="auto"/>
              </w:rPr>
              <w:t>1.93%</w:t>
            </w:r>
          </w:p>
        </w:tc>
        <w:tc>
          <w:tcPr>
            <w:tcW w:w="100" w:type="dxa"/>
            <w:vAlign w:val="bottom"/>
            <w:tcBorders>
              <w:bottom w:val="single" w:sz="8" w:color="CCEEFF"/>
            </w:tcBorders>
            <w:shd w:val="clear" w:color="auto" w:fill="CCEEFF"/>
          </w:tcPr>
          <w:p>
            <w:pPr>
              <w:spacing w:after="0"/>
              <w:rPr>
                <w:sz w:val="20"/>
                <w:szCs w:val="20"/>
                <w:color w:val="auto"/>
              </w:rPr>
            </w:pPr>
          </w:p>
        </w:tc>
        <w:tc>
          <w:tcPr>
            <w:tcW w:w="20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shd w:val="clear" w:color="auto" w:fill="CCEEFF"/>
          </w:tcPr>
          <w:p>
            <w:pPr>
              <w:jc w:val="center"/>
              <w:ind w:right="101"/>
              <w:spacing w:after="0"/>
              <w:rPr>
                <w:sz w:val="20"/>
                <w:szCs w:val="20"/>
                <w:color w:val="auto"/>
              </w:rPr>
            </w:pPr>
            <w:r>
              <w:rPr>
                <w:rFonts w:ascii="Times New Roman" w:cs="Times New Roman" w:eastAsia="Times New Roman" w:hAnsi="Times New Roman"/>
                <w:sz w:val="16"/>
                <w:szCs w:val="16"/>
                <w:color w:val="auto"/>
                <w:w w:val="99"/>
              </w:rPr>
              <w:t>9.6</w:t>
            </w:r>
          </w:p>
        </w:tc>
        <w:tc>
          <w:tcPr>
            <w:tcW w:w="0" w:type="dxa"/>
            <w:vAlign w:val="bottom"/>
          </w:tcPr>
          <w:p>
            <w:pPr>
              <w:spacing w:after="0"/>
              <w:rPr>
                <w:sz w:val="1"/>
                <w:szCs w:val="1"/>
                <w:color w:val="auto"/>
              </w:rPr>
            </w:pPr>
          </w:p>
        </w:tc>
      </w:tr>
      <w:tr>
        <w:trPr>
          <w:trHeight w:val="20"/>
        </w:trPr>
        <w:tc>
          <w:tcPr>
            <w:tcW w:w="4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line="260" w:lineRule="auto"/>
        <w:tabs>
          <w:tab w:leader="none" w:pos="660" w:val="left"/>
        </w:tabs>
        <w:numPr>
          <w:ilvl w:val="0"/>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 of March 31, 2022 and December 31, 2021, ≤ 1 year notional amount includes $700 million of Bermudan swaptions where the options may be exercised on predetermined dates up to their final exercise date, which is six months prior to the underlying swaps' maturity date.</w:t>
      </w:r>
    </w:p>
    <w:p>
      <w:pPr>
        <w:ind w:left="660" w:hanging="328"/>
        <w:spacing w:after="0" w:line="263" w:lineRule="auto"/>
        <w:tabs>
          <w:tab w:leader="none" w:pos="660" w:val="left"/>
        </w:tabs>
        <w:numPr>
          <w:ilvl w:val="0"/>
          <w:numId w:val="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 of March 31, 2022, 93% and 7% of the underlying swap receive rates were tied to SOFR and 3-Month LIBOR, respectively. As of December 31, December 31, 2021, 95% and 5% of the underlying swap receive rates were tied to SOFR and 3-Month LIBOR, respectively.</w:t>
      </w:r>
    </w:p>
    <w:p>
      <w:pPr>
        <w:spacing w:after="0" w:line="172"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332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U.S. Treasury Securities</w:t>
            </w: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2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1500" w:type="dxa"/>
            <w:vAlign w:val="bottom"/>
            <w:gridSpan w:val="4"/>
          </w:tcPr>
          <w:p>
            <w:pPr>
              <w:ind w:left="14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8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322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33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Maturity</w:t>
            </w:r>
          </w:p>
        </w:tc>
        <w:tc>
          <w:tcPr>
            <w:tcW w:w="140" w:type="dxa"/>
            <w:vAlign w:val="bottom"/>
          </w:tcPr>
          <w:p>
            <w:pPr>
              <w:spacing w:after="0"/>
              <w:rPr>
                <w:sz w:val="11"/>
                <w:szCs w:val="11"/>
                <w:color w:val="auto"/>
              </w:rPr>
            </w:pPr>
          </w:p>
        </w:tc>
        <w:tc>
          <w:tcPr>
            <w:tcW w:w="1200" w:type="dxa"/>
            <w:vAlign w:val="bottom"/>
            <w:gridSpan w:val="2"/>
          </w:tcPr>
          <w:p>
            <w:pPr>
              <w:ind w:left="40"/>
              <w:spacing w:after="0" w:line="131" w:lineRule="exact"/>
              <w:rPr>
                <w:sz w:val="20"/>
                <w:szCs w:val="20"/>
                <w:color w:val="auto"/>
              </w:rPr>
            </w:pPr>
            <w:r>
              <w:rPr>
                <w:rFonts w:ascii="Times New Roman" w:cs="Times New Roman" w:eastAsia="Times New Roman" w:hAnsi="Times New Roman"/>
                <w:sz w:val="14"/>
                <w:szCs w:val="14"/>
                <w:b w:val="1"/>
                <w:bCs w:val="1"/>
                <w:color w:val="auto"/>
              </w:rPr>
              <w:t>Face Amount</w:t>
            </w:r>
          </w:p>
        </w:tc>
        <w:tc>
          <w:tcPr>
            <w:tcW w:w="120" w:type="dxa"/>
            <w:vAlign w:val="bottom"/>
          </w:tcPr>
          <w:p>
            <w:pPr>
              <w:spacing w:after="0"/>
              <w:rPr>
                <w:sz w:val="11"/>
                <w:szCs w:val="11"/>
                <w:color w:val="auto"/>
              </w:rPr>
            </w:pPr>
          </w:p>
        </w:tc>
        <w:tc>
          <w:tcPr>
            <w:tcW w:w="1220" w:type="dxa"/>
            <w:vAlign w:val="bottom"/>
            <w:gridSpan w:val="2"/>
            <w:vMerge w:val="restart"/>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 xml:space="preserve">Cost Basis </w:t>
            </w:r>
            <w:r>
              <w:rPr>
                <w:rFonts w:ascii="Times New Roman" w:cs="Times New Roman" w:eastAsia="Times New Roman" w:hAnsi="Times New Roman"/>
                <w:sz w:val="18"/>
                <w:szCs w:val="18"/>
                <w:b w:val="1"/>
                <w:bCs w:val="1"/>
                <w:color w:val="auto"/>
                <w:vertAlign w:val="superscript"/>
              </w:rPr>
              <w:t>1</w:t>
            </w:r>
          </w:p>
        </w:tc>
        <w:tc>
          <w:tcPr>
            <w:tcW w:w="180" w:type="dxa"/>
            <w:vAlign w:val="bottom"/>
          </w:tcPr>
          <w:p>
            <w:pPr>
              <w:spacing w:after="0"/>
              <w:rPr>
                <w:sz w:val="11"/>
                <w:szCs w:val="11"/>
                <w:color w:val="auto"/>
              </w:rPr>
            </w:pPr>
          </w:p>
        </w:tc>
        <w:tc>
          <w:tcPr>
            <w:tcW w:w="114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40" w:type="dxa"/>
            <w:vAlign w:val="bottom"/>
          </w:tcPr>
          <w:p>
            <w:pPr>
              <w:spacing w:after="0"/>
              <w:rPr>
                <w:sz w:val="11"/>
                <w:szCs w:val="11"/>
                <w:color w:val="auto"/>
              </w:rPr>
            </w:pPr>
          </w:p>
        </w:tc>
        <w:tc>
          <w:tcPr>
            <w:tcW w:w="1100" w:type="dxa"/>
            <w:vAlign w:val="bottom"/>
          </w:tcPr>
          <w:p>
            <w:pPr>
              <w:jc w:val="right"/>
              <w:ind w:right="122"/>
              <w:spacing w:after="0" w:line="131" w:lineRule="exact"/>
              <w:rPr>
                <w:sz w:val="20"/>
                <w:szCs w:val="20"/>
                <w:color w:val="auto"/>
              </w:rPr>
            </w:pPr>
            <w:r>
              <w:rPr>
                <w:rFonts w:ascii="Times New Roman" w:cs="Times New Roman" w:eastAsia="Times New Roman" w:hAnsi="Times New Roman"/>
                <w:sz w:val="14"/>
                <w:szCs w:val="14"/>
                <w:b w:val="1"/>
                <w:bCs w:val="1"/>
                <w:color w:val="auto"/>
              </w:rPr>
              <w:t>Face Amount</w:t>
            </w:r>
          </w:p>
        </w:tc>
        <w:tc>
          <w:tcPr>
            <w:tcW w:w="1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116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 xml:space="preserve">Cost Basis </w:t>
            </w:r>
            <w:r>
              <w:rPr>
                <w:rFonts w:ascii="Times New Roman" w:cs="Times New Roman" w:eastAsia="Times New Roman" w:hAnsi="Times New Roman"/>
                <w:sz w:val="18"/>
                <w:szCs w:val="18"/>
                <w:b w:val="1"/>
                <w:bCs w:val="1"/>
                <w:color w:val="auto"/>
                <w:vertAlign w:val="superscript"/>
              </w:rPr>
              <w:t>1</w:t>
            </w:r>
          </w:p>
        </w:tc>
        <w:tc>
          <w:tcPr>
            <w:tcW w:w="180" w:type="dxa"/>
            <w:vAlign w:val="bottom"/>
          </w:tcPr>
          <w:p>
            <w:pPr>
              <w:spacing w:after="0"/>
              <w:rPr>
                <w:sz w:val="11"/>
                <w:szCs w:val="11"/>
                <w:color w:val="auto"/>
              </w:rPr>
            </w:pPr>
          </w:p>
        </w:tc>
        <w:tc>
          <w:tcPr>
            <w:tcW w:w="1000" w:type="dxa"/>
            <w:vAlign w:val="bottom"/>
            <w:vMerge w:val="restart"/>
          </w:tcPr>
          <w:p>
            <w:pPr>
              <w:jc w:val="right"/>
              <w:ind w:right="181"/>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0" w:type="dxa"/>
            <w:vAlign w:val="bottom"/>
          </w:tcPr>
          <w:p>
            <w:pPr>
              <w:spacing w:after="0"/>
              <w:rPr>
                <w:sz w:val="1"/>
                <w:szCs w:val="1"/>
                <w:color w:val="auto"/>
              </w:rPr>
            </w:pPr>
          </w:p>
        </w:tc>
      </w:tr>
      <w:tr>
        <w:trPr>
          <w:trHeight w:val="200"/>
        </w:trPr>
        <w:tc>
          <w:tcPr>
            <w:tcW w:w="332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20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Long/(Short)</w:t>
            </w:r>
          </w:p>
        </w:tc>
        <w:tc>
          <w:tcPr>
            <w:tcW w:w="120" w:type="dxa"/>
            <w:vAlign w:val="bottom"/>
          </w:tcPr>
          <w:p>
            <w:pPr>
              <w:spacing w:after="0"/>
              <w:rPr>
                <w:sz w:val="17"/>
                <w:szCs w:val="17"/>
                <w:color w:val="auto"/>
              </w:rPr>
            </w:pPr>
          </w:p>
        </w:tc>
        <w:tc>
          <w:tcPr>
            <w:tcW w:w="1220" w:type="dxa"/>
            <w:vAlign w:val="bottom"/>
            <w:gridSpan w:val="2"/>
            <w:vMerge w:val="continue"/>
          </w:tcPr>
          <w:p>
            <w:pPr>
              <w:spacing w:after="0"/>
              <w:rPr>
                <w:sz w:val="17"/>
                <w:szCs w:val="17"/>
                <w:color w:val="auto"/>
              </w:rPr>
            </w:pPr>
          </w:p>
        </w:tc>
        <w:tc>
          <w:tcPr>
            <w:tcW w:w="180" w:type="dxa"/>
            <w:vAlign w:val="bottom"/>
          </w:tcPr>
          <w:p>
            <w:pPr>
              <w:spacing w:after="0"/>
              <w:rPr>
                <w:sz w:val="17"/>
                <w:szCs w:val="17"/>
                <w:color w:val="auto"/>
              </w:rPr>
            </w:pPr>
          </w:p>
        </w:tc>
        <w:tc>
          <w:tcPr>
            <w:tcW w:w="1140" w:type="dxa"/>
            <w:vAlign w:val="bottom"/>
            <w:gridSpan w:val="2"/>
            <w:vMerge w:val="continue"/>
          </w:tcPr>
          <w:p>
            <w:pPr>
              <w:spacing w:after="0"/>
              <w:rPr>
                <w:sz w:val="17"/>
                <w:szCs w:val="17"/>
                <w:color w:val="auto"/>
              </w:rPr>
            </w:pPr>
          </w:p>
        </w:tc>
        <w:tc>
          <w:tcPr>
            <w:tcW w:w="140" w:type="dxa"/>
            <w:vAlign w:val="bottom"/>
          </w:tcPr>
          <w:p>
            <w:pPr>
              <w:spacing w:after="0"/>
              <w:rPr>
                <w:sz w:val="17"/>
                <w:szCs w:val="17"/>
                <w:color w:val="auto"/>
              </w:rPr>
            </w:pPr>
          </w:p>
        </w:tc>
        <w:tc>
          <w:tcPr>
            <w:tcW w:w="1100" w:type="dxa"/>
            <w:vAlign w:val="bottom"/>
          </w:tcPr>
          <w:p>
            <w:pPr>
              <w:jc w:val="right"/>
              <w:ind w:right="142"/>
              <w:spacing w:after="0"/>
              <w:rPr>
                <w:sz w:val="20"/>
                <w:szCs w:val="20"/>
                <w:color w:val="auto"/>
              </w:rPr>
            </w:pPr>
            <w:r>
              <w:rPr>
                <w:rFonts w:ascii="Times New Roman" w:cs="Times New Roman" w:eastAsia="Times New Roman" w:hAnsi="Times New Roman"/>
                <w:sz w:val="14"/>
                <w:szCs w:val="14"/>
                <w:b w:val="1"/>
                <w:bCs w:val="1"/>
                <w:color w:val="auto"/>
              </w:rPr>
              <w:t>Long/(Short)</w:t>
            </w:r>
          </w:p>
        </w:tc>
        <w:tc>
          <w:tcPr>
            <w:tcW w:w="1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1160" w:type="dxa"/>
            <w:vAlign w:val="bottom"/>
            <w:gridSpan w:val="2"/>
            <w:vMerge w:val="continue"/>
          </w:tcPr>
          <w:p>
            <w:pPr>
              <w:spacing w:after="0"/>
              <w:rPr>
                <w:sz w:val="17"/>
                <w:szCs w:val="17"/>
                <w:color w:val="auto"/>
              </w:rPr>
            </w:pPr>
          </w:p>
        </w:tc>
        <w:tc>
          <w:tcPr>
            <w:tcW w:w="180" w:type="dxa"/>
            <w:vAlign w:val="bottom"/>
          </w:tcPr>
          <w:p>
            <w:pPr>
              <w:spacing w:after="0"/>
              <w:rPr>
                <w:sz w:val="17"/>
                <w:szCs w:val="17"/>
                <w:color w:val="auto"/>
              </w:rPr>
            </w:pPr>
          </w:p>
        </w:tc>
        <w:tc>
          <w:tcPr>
            <w:tcW w:w="10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32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5 years</w:t>
            </w:r>
          </w:p>
        </w:tc>
        <w:tc>
          <w:tcPr>
            <w:tcW w:w="10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241</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239</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top w:val="single" w:sz="8" w:color="auto"/>
            </w:tcBorders>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242</w:t>
            </w:r>
          </w:p>
        </w:tc>
        <w:tc>
          <w:tcPr>
            <w:tcW w:w="140" w:type="dxa"/>
            <w:vAlign w:val="bottom"/>
            <w:tcBorders>
              <w:top w:val="single" w:sz="8" w:color="CCEEFF"/>
            </w:tcBorders>
            <w:shd w:val="clear" w:color="auto" w:fill="CCEEFF"/>
          </w:tcPr>
          <w:p>
            <w:pPr>
              <w:spacing w:after="0"/>
              <w:rPr>
                <w:sz w:val="18"/>
                <w:szCs w:val="18"/>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(310)</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(306)</w:t>
            </w:r>
          </w:p>
        </w:tc>
        <w:tc>
          <w:tcPr>
            <w:tcW w:w="16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(293)</w:t>
            </w:r>
          </w:p>
        </w:tc>
        <w:tc>
          <w:tcPr>
            <w:tcW w:w="0" w:type="dxa"/>
            <w:vAlign w:val="bottom"/>
          </w:tcPr>
          <w:p>
            <w:pPr>
              <w:spacing w:after="0"/>
              <w:rPr>
                <w:sz w:val="1"/>
                <w:szCs w:val="1"/>
                <w:color w:val="auto"/>
              </w:rPr>
            </w:pPr>
          </w:p>
        </w:tc>
      </w:tr>
      <w:tr>
        <w:trPr>
          <w:trHeight w:val="213"/>
        </w:trPr>
        <w:tc>
          <w:tcPr>
            <w:tcW w:w="33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7 years</w:t>
            </w:r>
          </w:p>
        </w:tc>
        <w:tc>
          <w:tcPr>
            <w:tcW w:w="1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(1,562)</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(1,556)</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(1,464)</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(1,218)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(1,218)</w:t>
            </w: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(1,206)</w:t>
            </w:r>
          </w:p>
        </w:tc>
        <w:tc>
          <w:tcPr>
            <w:tcW w:w="0" w:type="dxa"/>
            <w:vAlign w:val="bottom"/>
          </w:tcPr>
          <w:p>
            <w:pPr>
              <w:spacing w:after="0"/>
              <w:rPr>
                <w:sz w:val="1"/>
                <w:szCs w:val="1"/>
                <w:color w:val="auto"/>
              </w:rPr>
            </w:pPr>
          </w:p>
        </w:tc>
      </w:tr>
      <w:tr>
        <w:trPr>
          <w:trHeight w:val="219"/>
        </w:trPr>
        <w:tc>
          <w:tcPr>
            <w:tcW w:w="33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10 years</w:t>
            </w:r>
          </w:p>
        </w:tc>
        <w:tc>
          <w:tcPr>
            <w:tcW w:w="140" w:type="dxa"/>
            <w:vAlign w:val="bottom"/>
            <w:tcBorders>
              <w:bottom w:val="single" w:sz="8" w:color="auto"/>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(8,838)</w:t>
            </w:r>
          </w:p>
        </w:tc>
        <w:tc>
          <w:tcPr>
            <w:tcW w:w="160" w:type="dxa"/>
            <w:vAlign w:val="bottom"/>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(8,779)</w:t>
            </w:r>
          </w:p>
        </w:tc>
        <w:tc>
          <w:tcPr>
            <w:tcW w:w="16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(8,371)</w:t>
            </w:r>
          </w:p>
        </w:tc>
        <w:tc>
          <w:tcPr>
            <w:tcW w:w="140" w:type="dxa"/>
            <w:vAlign w:val="bottom"/>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(7,590)</w:t>
            </w:r>
          </w:p>
        </w:tc>
        <w:tc>
          <w:tcPr>
            <w:tcW w:w="16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(7,593)</w:t>
            </w:r>
          </w:p>
        </w:tc>
        <w:tc>
          <w:tcPr>
            <w:tcW w:w="160" w:type="dxa"/>
            <w:vAlign w:val="bottom"/>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(7,727)</w:t>
            </w:r>
          </w:p>
        </w:tc>
        <w:tc>
          <w:tcPr>
            <w:tcW w:w="0" w:type="dxa"/>
            <w:vAlign w:val="bottom"/>
          </w:tcPr>
          <w:p>
            <w:pPr>
              <w:spacing w:after="0"/>
              <w:rPr>
                <w:sz w:val="1"/>
                <w:szCs w:val="1"/>
                <w:color w:val="auto"/>
              </w:rPr>
            </w:pPr>
          </w:p>
        </w:tc>
      </w:tr>
      <w:tr>
        <w:trPr>
          <w:trHeight w:val="210"/>
        </w:trPr>
        <w:tc>
          <w:tcPr>
            <w:tcW w:w="3320" w:type="dxa"/>
            <w:vAlign w:val="bottom"/>
            <w:gridSpan w:val="2"/>
          </w:tcPr>
          <w:p>
            <w:pPr>
              <w:ind w:left="20"/>
              <w:spacing w:after="0"/>
              <w:rPr>
                <w:sz w:val="20"/>
                <w:szCs w:val="20"/>
                <w:color w:val="auto"/>
              </w:rPr>
            </w:pPr>
            <w:r>
              <w:rPr>
                <w:rFonts w:ascii="Times New Roman" w:cs="Times New Roman" w:eastAsia="Times New Roman" w:hAnsi="Times New Roman"/>
                <w:sz w:val="16"/>
                <w:szCs w:val="16"/>
                <w:color w:val="auto"/>
              </w:rPr>
              <w:t>Total U.S. Treasury securities</w:t>
            </w: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(10,159)</w:t>
            </w:r>
          </w:p>
        </w:tc>
        <w:tc>
          <w:tcPr>
            <w:tcW w:w="16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(10,096)</w:t>
            </w:r>
          </w:p>
        </w:tc>
        <w:tc>
          <w:tcPr>
            <w:tcW w:w="16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(9,593)</w:t>
            </w:r>
          </w:p>
        </w:tc>
        <w:tc>
          <w:tcPr>
            <w:tcW w:w="140" w:type="dxa"/>
            <w:vAlign w:val="bottom"/>
          </w:tcPr>
          <w:p>
            <w:pPr>
              <w:spacing w:after="0"/>
              <w:rPr>
                <w:sz w:val="18"/>
                <w:szCs w:val="18"/>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(9,118)</w:t>
            </w:r>
          </w:p>
        </w:tc>
        <w:tc>
          <w:tcPr>
            <w:tcW w:w="16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(9,117)</w:t>
            </w:r>
          </w:p>
        </w:tc>
        <w:tc>
          <w:tcPr>
            <w:tcW w:w="16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(9,226)</w:t>
            </w:r>
          </w:p>
        </w:tc>
        <w:tc>
          <w:tcPr>
            <w:tcW w:w="0" w:type="dxa"/>
            <w:vAlign w:val="bottom"/>
          </w:tcPr>
          <w:p>
            <w:pPr>
              <w:spacing w:after="0"/>
              <w:rPr>
                <w:sz w:val="1"/>
                <w:szCs w:val="1"/>
                <w:color w:val="auto"/>
              </w:rPr>
            </w:pPr>
          </w:p>
        </w:tc>
      </w:tr>
      <w:tr>
        <w:trPr>
          <w:trHeight w:val="20"/>
        </w:trPr>
        <w:tc>
          <w:tcPr>
            <w:tcW w:w="32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06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jc w:val="both"/>
        <w:ind w:left="660" w:hanging="328"/>
        <w:spacing w:after="0" w:line="261" w:lineRule="auto"/>
        <w:tabs>
          <w:tab w:leader="none" w:pos="660" w:val="left"/>
        </w:tabs>
        <w:numPr>
          <w:ilvl w:val="0"/>
          <w:numId w:val="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 of March 31, 2022 and December 31, 2021, short U.S. Treasury securities totaling $(10.3) billion and $(9.7) billion, at fair value, respectively, had a weighted average yield of 1.67% and 1.56%, respectively. As of March 31, 2022 and December 31, 2021, long U.S. Treasury securities totaling $0.7 billion and $0.5 billion, at fair value, respectively, had a weighted average yield of 1.90% and 1.18%, respectively.</w:t>
      </w:r>
    </w:p>
    <w:p>
      <w:pPr>
        <w:spacing w:after="0" w:line="174"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560" w:type="dxa"/>
            <w:vAlign w:val="bottom"/>
            <w:gridSpan w:val="2"/>
          </w:tcPr>
          <w:p>
            <w:pPr>
              <w:ind w:left="60"/>
              <w:spacing w:after="0"/>
              <w:rPr>
                <w:sz w:val="20"/>
                <w:szCs w:val="20"/>
                <w:color w:val="auto"/>
              </w:rPr>
            </w:pPr>
            <w:r>
              <w:rPr>
                <w:rFonts w:ascii="Times New Roman" w:cs="Times New Roman" w:eastAsia="Times New Roman" w:hAnsi="Times New Roman"/>
                <w:sz w:val="14"/>
                <w:szCs w:val="14"/>
                <w:b w:val="1"/>
                <w:bCs w:val="1"/>
                <w:color w:val="auto"/>
              </w:rPr>
              <w:t>U.S. Treasury Futures</w:t>
            </w:r>
          </w:p>
        </w:tc>
        <w:tc>
          <w:tcPr>
            <w:tcW w:w="16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60" w:type="dxa"/>
            <w:vAlign w:val="bottom"/>
            <w:gridSpan w:val="5"/>
          </w:tcPr>
          <w:p>
            <w:pPr>
              <w:ind w:left="20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80" w:type="dxa"/>
            <w:vAlign w:val="bottom"/>
            <w:gridSpan w:val="5"/>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4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2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tcPr>
          <w:p>
            <w:pPr>
              <w:jc w:val="center"/>
              <w:ind w:right="300"/>
              <w:spacing w:after="0" w:line="115" w:lineRule="exact"/>
              <w:rPr>
                <w:sz w:val="20"/>
                <w:szCs w:val="20"/>
                <w:color w:val="auto"/>
              </w:rPr>
            </w:pPr>
            <w:r>
              <w:rPr>
                <w:rFonts w:ascii="Times New Roman" w:cs="Times New Roman" w:eastAsia="Times New Roman" w:hAnsi="Times New Roman"/>
                <w:sz w:val="13"/>
                <w:szCs w:val="13"/>
                <w:b w:val="1"/>
                <w:bCs w:val="1"/>
                <w:color w:val="auto"/>
                <w:w w:val="96"/>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b w:val="1"/>
                <w:bCs w:val="1"/>
                <w:color w:val="auto"/>
              </w:rPr>
              <w:t>Cost</w:t>
            </w:r>
          </w:p>
        </w:tc>
        <w:tc>
          <w:tcPr>
            <w:tcW w:w="200" w:type="dxa"/>
            <w:vAlign w:val="bottom"/>
          </w:tcPr>
          <w:p>
            <w:pPr>
              <w:spacing w:after="0"/>
              <w:rPr>
                <w:sz w:val="10"/>
                <w:szCs w:val="10"/>
                <w:color w:val="auto"/>
              </w:rPr>
            </w:pPr>
          </w:p>
        </w:tc>
        <w:tc>
          <w:tcPr>
            <w:tcW w:w="82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3"/>
                <w:szCs w:val="13"/>
                <w:b w:val="1"/>
                <w:bCs w:val="1"/>
                <w:color w:val="auto"/>
              </w:rPr>
              <w:t>Fair</w:t>
            </w:r>
          </w:p>
        </w:tc>
        <w:tc>
          <w:tcPr>
            <w:tcW w:w="100" w:type="dxa"/>
            <w:vAlign w:val="bottom"/>
          </w:tcPr>
          <w:p>
            <w:pPr>
              <w:spacing w:after="0"/>
              <w:rPr>
                <w:sz w:val="10"/>
                <w:szCs w:val="10"/>
                <w:color w:val="auto"/>
              </w:rPr>
            </w:pPr>
          </w:p>
        </w:tc>
        <w:tc>
          <w:tcPr>
            <w:tcW w:w="940" w:type="dxa"/>
            <w:vAlign w:val="bottom"/>
            <w:gridSpan w:val="2"/>
            <w:vMerge w:val="restart"/>
          </w:tcPr>
          <w:p>
            <w:pPr>
              <w:jc w:val="center"/>
              <w:ind w:right="180"/>
              <w:spacing w:after="0"/>
              <w:rPr>
                <w:sz w:val="20"/>
                <w:szCs w:val="20"/>
                <w:color w:val="auto"/>
              </w:rPr>
            </w:pPr>
            <w:r>
              <w:rPr>
                <w:rFonts w:ascii="Times New Roman" w:cs="Times New Roman" w:eastAsia="Times New Roman" w:hAnsi="Times New Roman"/>
                <w:sz w:val="13"/>
                <w:szCs w:val="13"/>
                <w:b w:val="1"/>
                <w:bCs w:val="1"/>
                <w:color w:val="auto"/>
                <w:w w:val="97"/>
              </w:rPr>
              <w:t>Net Carrying</w:t>
            </w:r>
          </w:p>
        </w:tc>
        <w:tc>
          <w:tcPr>
            <w:tcW w:w="160" w:type="dxa"/>
            <w:vAlign w:val="bottom"/>
          </w:tcPr>
          <w:p>
            <w:pPr>
              <w:spacing w:after="0"/>
              <w:rPr>
                <w:sz w:val="10"/>
                <w:szCs w:val="10"/>
                <w:color w:val="auto"/>
              </w:rPr>
            </w:pPr>
          </w:p>
        </w:tc>
        <w:tc>
          <w:tcPr>
            <w:tcW w:w="1100" w:type="dxa"/>
            <w:vAlign w:val="bottom"/>
            <w:gridSpan w:val="2"/>
          </w:tcPr>
          <w:p>
            <w:pPr>
              <w:jc w:val="center"/>
              <w:ind w:right="280"/>
              <w:spacing w:after="0" w:line="115" w:lineRule="exact"/>
              <w:rPr>
                <w:sz w:val="20"/>
                <w:szCs w:val="20"/>
                <w:color w:val="auto"/>
              </w:rPr>
            </w:pPr>
            <w:r>
              <w:rPr>
                <w:rFonts w:ascii="Times New Roman" w:cs="Times New Roman" w:eastAsia="Times New Roman" w:hAnsi="Times New Roman"/>
                <w:sz w:val="13"/>
                <w:szCs w:val="13"/>
                <w:b w:val="1"/>
                <w:bCs w:val="1"/>
                <w:color w:val="auto"/>
                <w:w w:val="96"/>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b w:val="1"/>
                <w:bCs w:val="1"/>
                <w:color w:val="auto"/>
              </w:rPr>
              <w:t>Cost</w:t>
            </w:r>
          </w:p>
        </w:tc>
        <w:tc>
          <w:tcPr>
            <w:tcW w:w="200" w:type="dxa"/>
            <w:vAlign w:val="bottom"/>
          </w:tcPr>
          <w:p>
            <w:pPr>
              <w:spacing w:after="0"/>
              <w:rPr>
                <w:sz w:val="10"/>
                <w:szCs w:val="10"/>
                <w:color w:val="auto"/>
              </w:rPr>
            </w:pPr>
          </w:p>
        </w:tc>
        <w:tc>
          <w:tcPr>
            <w:tcW w:w="84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3"/>
                <w:szCs w:val="13"/>
                <w:b w:val="1"/>
                <w:bCs w:val="1"/>
                <w:color w:val="auto"/>
                <w:w w:val="92"/>
              </w:rPr>
              <w:t>Fair</w:t>
            </w:r>
          </w:p>
        </w:tc>
        <w:tc>
          <w:tcPr>
            <w:tcW w:w="100" w:type="dxa"/>
            <w:vAlign w:val="bottom"/>
          </w:tcPr>
          <w:p>
            <w:pPr>
              <w:spacing w:after="0"/>
              <w:rPr>
                <w:sz w:val="10"/>
                <w:szCs w:val="10"/>
                <w:color w:val="auto"/>
              </w:rPr>
            </w:pPr>
          </w:p>
        </w:tc>
        <w:tc>
          <w:tcPr>
            <w:tcW w:w="840" w:type="dxa"/>
            <w:vAlign w:val="bottom"/>
            <w:vMerge w:val="restart"/>
          </w:tcPr>
          <w:p>
            <w:pPr>
              <w:jc w:val="center"/>
              <w:ind w:right="52"/>
              <w:spacing w:after="0"/>
              <w:rPr>
                <w:sz w:val="20"/>
                <w:szCs w:val="20"/>
                <w:color w:val="auto"/>
              </w:rPr>
            </w:pPr>
            <w:r>
              <w:rPr>
                <w:rFonts w:ascii="Times New Roman" w:cs="Times New Roman" w:eastAsia="Times New Roman" w:hAnsi="Times New Roman"/>
                <w:sz w:val="13"/>
                <w:szCs w:val="13"/>
                <w:b w:val="1"/>
                <w:bCs w:val="1"/>
                <w:color w:val="auto"/>
                <w:w w:val="97"/>
              </w:rPr>
              <w:t>Net Carrying</w:t>
            </w:r>
          </w:p>
        </w:tc>
        <w:tc>
          <w:tcPr>
            <w:tcW w:w="0" w:type="dxa"/>
            <w:vAlign w:val="bottom"/>
          </w:tcPr>
          <w:p>
            <w:pPr>
              <w:spacing w:after="0"/>
              <w:rPr>
                <w:sz w:val="1"/>
                <w:szCs w:val="1"/>
                <w:color w:val="auto"/>
              </w:rPr>
            </w:pPr>
          </w:p>
        </w:tc>
      </w:tr>
      <w:tr>
        <w:trPr>
          <w:trHeight w:val="122"/>
        </w:trPr>
        <w:tc>
          <w:tcPr>
            <w:tcW w:w="2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80" w:type="dxa"/>
            <w:vAlign w:val="bottom"/>
            <w:gridSpan w:val="2"/>
          </w:tcPr>
          <w:p>
            <w:pPr>
              <w:jc w:val="center"/>
              <w:ind w:right="280"/>
              <w:spacing w:after="0" w:line="122"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94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2560" w:type="dxa"/>
            <w:vAlign w:val="bottom"/>
            <w:gridSpan w:val="2"/>
          </w:tcPr>
          <w:p>
            <w:pPr>
              <w:ind w:left="20"/>
              <w:spacing w:after="0"/>
              <w:rPr>
                <w:sz w:val="20"/>
                <w:szCs w:val="20"/>
                <w:color w:val="auto"/>
              </w:rPr>
            </w:pPr>
            <w:r>
              <w:rPr>
                <w:rFonts w:ascii="Times New Roman" w:cs="Times New Roman" w:eastAsia="Times New Roman" w:hAnsi="Times New Roman"/>
                <w:sz w:val="13"/>
                <w:szCs w:val="13"/>
                <w:b w:val="1"/>
                <w:bCs w:val="1"/>
                <w:color w:val="auto"/>
              </w:rPr>
              <w:t>Maturity</w:t>
            </w:r>
          </w:p>
        </w:tc>
        <w:tc>
          <w:tcPr>
            <w:tcW w:w="160" w:type="dxa"/>
            <w:vAlign w:val="bottom"/>
          </w:tcPr>
          <w:p>
            <w:pPr>
              <w:spacing w:after="0"/>
              <w:rPr>
                <w:sz w:val="16"/>
                <w:szCs w:val="16"/>
                <w:color w:val="auto"/>
              </w:rPr>
            </w:pPr>
          </w:p>
        </w:tc>
        <w:tc>
          <w:tcPr>
            <w:tcW w:w="1080" w:type="dxa"/>
            <w:vAlign w:val="bottom"/>
            <w:gridSpan w:val="2"/>
          </w:tcPr>
          <w:p>
            <w:pPr>
              <w:jc w:val="center"/>
              <w:ind w:right="260"/>
              <w:spacing w:after="0"/>
              <w:rPr>
                <w:sz w:val="20"/>
                <w:szCs w:val="20"/>
                <w:color w:val="auto"/>
              </w:rPr>
            </w:pPr>
            <w:r>
              <w:rPr>
                <w:rFonts w:ascii="Times New Roman" w:cs="Times New Roman" w:eastAsia="Times New Roman" w:hAnsi="Times New Roman"/>
                <w:sz w:val="13"/>
                <w:szCs w:val="13"/>
                <w:b w:val="1"/>
                <w:bCs w:val="1"/>
                <w:color w:val="auto"/>
                <w:w w:val="97"/>
              </w:rPr>
              <w:t>Long (Short)</w:t>
            </w:r>
          </w:p>
        </w:tc>
        <w:tc>
          <w:tcPr>
            <w:tcW w:w="200" w:type="dxa"/>
            <w:vAlign w:val="bottom"/>
          </w:tcPr>
          <w:p>
            <w:pPr>
              <w:spacing w:after="0"/>
              <w:rPr>
                <w:sz w:val="16"/>
                <w:szCs w:val="16"/>
                <w:color w:val="auto"/>
              </w:rPr>
            </w:pPr>
          </w:p>
        </w:tc>
        <w:tc>
          <w:tcPr>
            <w:tcW w:w="840" w:type="dxa"/>
            <w:vAlign w:val="bottom"/>
            <w:gridSpan w:val="2"/>
          </w:tcPr>
          <w:p>
            <w:pPr>
              <w:ind w:left="120"/>
              <w:spacing w:after="0"/>
              <w:rPr>
                <w:sz w:val="20"/>
                <w:szCs w:val="20"/>
                <w:color w:val="auto"/>
              </w:rPr>
            </w:pPr>
            <w:r>
              <w:rPr>
                <w:rFonts w:ascii="Times New Roman" w:cs="Times New Roman" w:eastAsia="Times New Roman" w:hAnsi="Times New Roman"/>
                <w:sz w:val="13"/>
                <w:szCs w:val="13"/>
                <w:b w:val="1"/>
                <w:bCs w:val="1"/>
                <w:color w:val="auto"/>
              </w:rPr>
              <w:t>Basis</w:t>
            </w:r>
          </w:p>
        </w:tc>
        <w:tc>
          <w:tcPr>
            <w:tcW w:w="200" w:type="dxa"/>
            <w:vAlign w:val="bottom"/>
          </w:tcPr>
          <w:p>
            <w:pPr>
              <w:spacing w:after="0"/>
              <w:rPr>
                <w:sz w:val="16"/>
                <w:szCs w:val="16"/>
                <w:color w:val="auto"/>
              </w:rPr>
            </w:pPr>
          </w:p>
        </w:tc>
        <w:tc>
          <w:tcPr>
            <w:tcW w:w="820" w:type="dxa"/>
            <w:vAlign w:val="bottom"/>
            <w:gridSpan w:val="2"/>
          </w:tcPr>
          <w:p>
            <w:pPr>
              <w:jc w:val="center"/>
              <w:ind w:right="300"/>
              <w:spacing w:after="0"/>
              <w:rPr>
                <w:sz w:val="20"/>
                <w:szCs w:val="20"/>
                <w:color w:val="auto"/>
              </w:rPr>
            </w:pPr>
            <w:r>
              <w:rPr>
                <w:rFonts w:ascii="Times New Roman" w:cs="Times New Roman" w:eastAsia="Times New Roman" w:hAnsi="Times New Roman"/>
                <w:sz w:val="13"/>
                <w:szCs w:val="13"/>
                <w:b w:val="1"/>
                <w:bCs w:val="1"/>
                <w:color w:val="auto"/>
                <w:w w:val="98"/>
              </w:rPr>
              <w:t>Value</w:t>
            </w:r>
          </w:p>
        </w:tc>
        <w:tc>
          <w:tcPr>
            <w:tcW w:w="100" w:type="dxa"/>
            <w:vAlign w:val="bottom"/>
          </w:tcPr>
          <w:p>
            <w:pPr>
              <w:spacing w:after="0"/>
              <w:rPr>
                <w:sz w:val="16"/>
                <w:szCs w:val="16"/>
                <w:color w:val="auto"/>
              </w:rPr>
            </w:pPr>
          </w:p>
        </w:tc>
        <w:tc>
          <w:tcPr>
            <w:tcW w:w="940" w:type="dxa"/>
            <w:vAlign w:val="bottom"/>
            <w:gridSpan w:val="2"/>
          </w:tcPr>
          <w:p>
            <w:pPr>
              <w:jc w:val="center"/>
              <w:ind w:right="200"/>
              <w:spacing w:after="0"/>
              <w:rPr>
                <w:sz w:val="20"/>
                <w:szCs w:val="20"/>
                <w:color w:val="auto"/>
              </w:rPr>
            </w:pPr>
            <w:r>
              <w:rPr>
                <w:rFonts w:ascii="Times New Roman" w:cs="Times New Roman" w:eastAsia="Times New Roman" w:hAnsi="Times New Roman"/>
                <w:sz w:val="13"/>
                <w:szCs w:val="13"/>
                <w:b w:val="1"/>
                <w:bCs w:val="1"/>
                <w:color w:val="auto"/>
                <w:w w:val="92"/>
              </w:rPr>
              <w:t xml:space="preserve">Value </w:t>
            </w:r>
            <w:r>
              <w:rPr>
                <w:rFonts w:ascii="Times New Roman" w:cs="Times New Roman" w:eastAsia="Times New Roman" w:hAnsi="Times New Roman"/>
                <w:sz w:val="16"/>
                <w:szCs w:val="16"/>
                <w:b w:val="1"/>
                <w:bCs w:val="1"/>
                <w:color w:val="auto"/>
                <w:w w:val="92"/>
                <w:vertAlign w:val="superscript"/>
              </w:rPr>
              <w:t>1</w:t>
            </w:r>
          </w:p>
        </w:tc>
        <w:tc>
          <w:tcPr>
            <w:tcW w:w="16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Times New Roman" w:cs="Times New Roman" w:eastAsia="Times New Roman" w:hAnsi="Times New Roman"/>
                <w:sz w:val="13"/>
                <w:szCs w:val="13"/>
                <w:b w:val="1"/>
                <w:bCs w:val="1"/>
                <w:color w:val="auto"/>
                <w:w w:val="94"/>
              </w:rPr>
              <w:t>Long (Short)</w:t>
            </w:r>
          </w:p>
        </w:tc>
        <w:tc>
          <w:tcPr>
            <w:tcW w:w="200" w:type="dxa"/>
            <w:vAlign w:val="bottom"/>
          </w:tcPr>
          <w:p>
            <w:pPr>
              <w:spacing w:after="0"/>
              <w:rPr>
                <w:sz w:val="16"/>
                <w:szCs w:val="16"/>
                <w:color w:val="auto"/>
              </w:rPr>
            </w:pPr>
          </w:p>
        </w:tc>
        <w:tc>
          <w:tcPr>
            <w:tcW w:w="840" w:type="dxa"/>
            <w:vAlign w:val="bottom"/>
            <w:gridSpan w:val="2"/>
          </w:tcPr>
          <w:p>
            <w:pPr>
              <w:ind w:left="120"/>
              <w:spacing w:after="0"/>
              <w:rPr>
                <w:sz w:val="20"/>
                <w:szCs w:val="20"/>
                <w:color w:val="auto"/>
              </w:rPr>
            </w:pPr>
            <w:r>
              <w:rPr>
                <w:rFonts w:ascii="Times New Roman" w:cs="Times New Roman" w:eastAsia="Times New Roman" w:hAnsi="Times New Roman"/>
                <w:sz w:val="13"/>
                <w:szCs w:val="13"/>
                <w:b w:val="1"/>
                <w:bCs w:val="1"/>
                <w:color w:val="auto"/>
              </w:rPr>
              <w:t>Basis</w:t>
            </w:r>
          </w:p>
        </w:tc>
        <w:tc>
          <w:tcPr>
            <w:tcW w:w="200" w:type="dxa"/>
            <w:vAlign w:val="bottom"/>
          </w:tcPr>
          <w:p>
            <w:pPr>
              <w:spacing w:after="0"/>
              <w:rPr>
                <w:sz w:val="16"/>
                <w:szCs w:val="16"/>
                <w:color w:val="auto"/>
              </w:rPr>
            </w:pPr>
          </w:p>
        </w:tc>
        <w:tc>
          <w:tcPr>
            <w:tcW w:w="840" w:type="dxa"/>
            <w:vAlign w:val="bottom"/>
            <w:gridSpan w:val="2"/>
          </w:tcPr>
          <w:p>
            <w:pPr>
              <w:jc w:val="center"/>
              <w:ind w:right="300"/>
              <w:spacing w:after="0"/>
              <w:rPr>
                <w:sz w:val="20"/>
                <w:szCs w:val="20"/>
                <w:color w:val="auto"/>
              </w:rPr>
            </w:pPr>
            <w:r>
              <w:rPr>
                <w:rFonts w:ascii="Times New Roman" w:cs="Times New Roman" w:eastAsia="Times New Roman" w:hAnsi="Times New Roman"/>
                <w:sz w:val="13"/>
                <w:szCs w:val="13"/>
                <w:b w:val="1"/>
                <w:bCs w:val="1"/>
                <w:color w:val="auto"/>
                <w:w w:val="92"/>
              </w:rPr>
              <w:t>Value</w:t>
            </w:r>
          </w:p>
        </w:tc>
        <w:tc>
          <w:tcPr>
            <w:tcW w:w="100" w:type="dxa"/>
            <w:vAlign w:val="bottom"/>
          </w:tcPr>
          <w:p>
            <w:pPr>
              <w:spacing w:after="0"/>
              <w:rPr>
                <w:sz w:val="16"/>
                <w:szCs w:val="16"/>
                <w:color w:val="auto"/>
              </w:rPr>
            </w:pPr>
          </w:p>
        </w:tc>
        <w:tc>
          <w:tcPr>
            <w:tcW w:w="840" w:type="dxa"/>
            <w:vAlign w:val="bottom"/>
          </w:tcPr>
          <w:p>
            <w:pPr>
              <w:jc w:val="center"/>
              <w:ind w:right="32"/>
              <w:spacing w:after="0"/>
              <w:rPr>
                <w:sz w:val="20"/>
                <w:szCs w:val="20"/>
                <w:color w:val="auto"/>
              </w:rPr>
            </w:pPr>
            <w:r>
              <w:rPr>
                <w:rFonts w:ascii="Times New Roman" w:cs="Times New Roman" w:eastAsia="Times New Roman" w:hAnsi="Times New Roman"/>
                <w:sz w:val="13"/>
                <w:szCs w:val="13"/>
                <w:b w:val="1"/>
                <w:bCs w:val="1"/>
                <w:color w:val="auto"/>
                <w:w w:val="92"/>
              </w:rPr>
              <w:t xml:space="preserve">Value </w:t>
            </w:r>
            <w:r>
              <w:rPr>
                <w:rFonts w:ascii="Times New Roman" w:cs="Times New Roman" w:eastAsia="Times New Roman" w:hAnsi="Times New Roman"/>
                <w:sz w:val="16"/>
                <w:szCs w:val="16"/>
                <w:b w:val="1"/>
                <w:bCs w:val="1"/>
                <w:color w:val="auto"/>
                <w:w w:val="92"/>
                <w:vertAlign w:val="superscript"/>
              </w:rPr>
              <w:t>1</w:t>
            </w:r>
          </w:p>
        </w:tc>
        <w:tc>
          <w:tcPr>
            <w:tcW w:w="0" w:type="dxa"/>
            <w:vAlign w:val="bottom"/>
          </w:tcPr>
          <w:p>
            <w:pPr>
              <w:spacing w:after="0"/>
              <w:rPr>
                <w:sz w:val="1"/>
                <w:szCs w:val="1"/>
                <w:color w:val="auto"/>
              </w:rPr>
            </w:pPr>
          </w:p>
        </w:tc>
      </w:tr>
      <w:tr>
        <w:trPr>
          <w:trHeight w:val="196"/>
        </w:trPr>
        <w:tc>
          <w:tcPr>
            <w:tcW w:w="24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5 years</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(500)</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(588)</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(573)</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top w:val="single" w:sz="8" w:color="auto"/>
            </w:tcBorders>
            <w:shd w:val="clear" w:color="auto" w:fill="CCEEFF"/>
          </w:tcPr>
          <w:p>
            <w:pPr>
              <w:jc w:val="center"/>
              <w:ind w:left="472"/>
              <w:spacing w:after="0"/>
              <w:rPr>
                <w:sz w:val="20"/>
                <w:szCs w:val="20"/>
                <w:color w:val="auto"/>
              </w:rPr>
            </w:pPr>
            <w:r>
              <w:rPr>
                <w:rFonts w:ascii="Times New Roman" w:cs="Times New Roman" w:eastAsia="Times New Roman" w:hAnsi="Times New Roman"/>
                <w:sz w:val="14"/>
                <w:szCs w:val="14"/>
                <w:color w:val="auto"/>
                <w:w w:val="99"/>
              </w:rPr>
              <w:t>—</w:t>
            </w:r>
          </w:p>
        </w:tc>
        <w:tc>
          <w:tcPr>
            <w:tcW w:w="0" w:type="dxa"/>
            <w:vAlign w:val="bottom"/>
          </w:tcPr>
          <w:p>
            <w:pPr>
              <w:spacing w:after="0"/>
              <w:rPr>
                <w:sz w:val="1"/>
                <w:szCs w:val="1"/>
                <w:color w:val="auto"/>
              </w:rPr>
            </w:pPr>
          </w:p>
        </w:tc>
      </w:tr>
      <w:tr>
        <w:trPr>
          <w:trHeight w:val="196"/>
        </w:trPr>
        <w:tc>
          <w:tcPr>
            <w:tcW w:w="256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4"/>
                <w:szCs w:val="14"/>
                <w:color w:val="auto"/>
              </w:rPr>
              <w:t>10 years</w:t>
            </w:r>
          </w:p>
        </w:tc>
        <w:tc>
          <w:tcPr>
            <w:tcW w:w="16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(4,885)</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(6,125)</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(6,002)</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123</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(1,500)</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(1,942)</w:t>
            </w:r>
          </w:p>
        </w:tc>
        <w:tc>
          <w:tcPr>
            <w:tcW w:w="100" w:type="dxa"/>
            <w:vAlign w:val="bottom"/>
            <w:tcBorders>
              <w:bottom w:val="single" w:sz="8" w:color="CCEEFF"/>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(1,957)</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840" w:type="dxa"/>
            <w:vAlign w:val="bottom"/>
            <w:tcBorders>
              <w:bottom w:val="single" w:sz="8" w:color="auto"/>
            </w:tcBorders>
          </w:tcPr>
          <w:p>
            <w:pPr>
              <w:jc w:val="center"/>
              <w:ind w:left="452"/>
              <w:spacing w:after="0"/>
              <w:rPr>
                <w:sz w:val="20"/>
                <w:szCs w:val="20"/>
                <w:color w:val="auto"/>
              </w:rPr>
            </w:pPr>
            <w:r>
              <w:rPr>
                <w:rFonts w:ascii="Times New Roman" w:cs="Times New Roman" w:eastAsia="Times New Roman" w:hAnsi="Times New Roman"/>
                <w:sz w:val="14"/>
                <w:szCs w:val="14"/>
                <w:color w:val="auto"/>
              </w:rPr>
              <w:t>(15)</w:t>
            </w:r>
          </w:p>
        </w:tc>
        <w:tc>
          <w:tcPr>
            <w:tcW w:w="0" w:type="dxa"/>
            <w:vAlign w:val="bottom"/>
          </w:tcPr>
          <w:p>
            <w:pPr>
              <w:spacing w:after="0"/>
              <w:rPr>
                <w:sz w:val="1"/>
                <w:szCs w:val="1"/>
                <w:color w:val="auto"/>
              </w:rPr>
            </w:pPr>
          </w:p>
        </w:tc>
      </w:tr>
      <w:tr>
        <w:trPr>
          <w:trHeight w:val="228"/>
        </w:trPr>
        <w:tc>
          <w:tcPr>
            <w:tcW w:w="256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U.S. Treasury futures</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(5,385)</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(6,713)</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(6,575)</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138</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(1,500)</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(1,942)</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(1,957)</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center"/>
              <w:ind w:left="452"/>
              <w:spacing w:after="0"/>
              <w:rPr>
                <w:sz w:val="20"/>
                <w:szCs w:val="20"/>
                <w:color w:val="auto"/>
              </w:rPr>
            </w:pPr>
            <w:r>
              <w:rPr>
                <w:rFonts w:ascii="Times New Roman" w:cs="Times New Roman" w:eastAsia="Times New Roman" w:hAnsi="Times New Roman"/>
                <w:sz w:val="14"/>
                <w:szCs w:val="14"/>
                <w:color w:val="auto"/>
              </w:rPr>
              <w:t>(15)</w:t>
            </w:r>
          </w:p>
        </w:tc>
        <w:tc>
          <w:tcPr>
            <w:tcW w:w="0" w:type="dxa"/>
            <w:vAlign w:val="bottom"/>
          </w:tcPr>
          <w:p>
            <w:pPr>
              <w:spacing w:after="0"/>
              <w:rPr>
                <w:sz w:val="1"/>
                <w:szCs w:val="1"/>
                <w:color w:val="auto"/>
              </w:rPr>
            </w:pPr>
          </w:p>
        </w:tc>
      </w:tr>
      <w:tr>
        <w:trPr>
          <w:trHeight w:val="20"/>
        </w:trPr>
        <w:tc>
          <w:tcPr>
            <w:tcW w:w="24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line="260" w:lineRule="auto"/>
        <w:tabs>
          <w:tab w:leader="none" w:pos="660" w:val="left"/>
        </w:tabs>
        <w:numPr>
          <w:ilvl w:val="0"/>
          <w:numId w:val="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Net carrying value represents the difference between the fair market value and the cost basis (or the forward price to be paid/(received) for the underlying U.S. Treasury security) of the U.S. Treasury futures contract as of period-end and is reported in derivative assets/(liabilities), at fair value in our consolidated balance sheets.</w:t>
      </w: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92" w:right="3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190"/>
        </w:trPr>
        <w:tc>
          <w:tcPr>
            <w:tcW w:w="23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60" w:type="dxa"/>
            <w:vAlign w:val="bottom"/>
            <w:gridSpan w:val="5"/>
          </w:tcPr>
          <w:p>
            <w:pPr>
              <w:ind w:left="20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80" w:type="dxa"/>
            <w:vAlign w:val="bottom"/>
            <w:gridSpan w:val="5"/>
          </w:tcPr>
          <w:p>
            <w:pPr>
              <w:ind w:left="10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0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38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100" w:type="dxa"/>
            <w:vAlign w:val="bottom"/>
            <w:tcBorders>
              <w:bottom w:val="single" w:sz="8" w:color="auto"/>
            </w:tcBorders>
            <w:gridSpan w:val="2"/>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84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5"/>
        </w:trPr>
        <w:tc>
          <w:tcPr>
            <w:tcW w:w="23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gridSpan w:val="2"/>
          </w:tcPr>
          <w:p>
            <w:pPr>
              <w:jc w:val="center"/>
              <w:ind w:right="280"/>
              <w:spacing w:after="0" w:line="115" w:lineRule="exact"/>
              <w:rPr>
                <w:sz w:val="20"/>
                <w:szCs w:val="20"/>
                <w:color w:val="auto"/>
              </w:rPr>
            </w:pPr>
            <w:r>
              <w:rPr>
                <w:rFonts w:ascii="Times New Roman" w:cs="Times New Roman" w:eastAsia="Times New Roman" w:hAnsi="Times New Roman"/>
                <w:sz w:val="13"/>
                <w:szCs w:val="13"/>
                <w:b w:val="1"/>
                <w:bCs w:val="1"/>
                <w:color w:val="auto"/>
                <w:w w:val="96"/>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b w:val="1"/>
                <w:bCs w:val="1"/>
                <w:color w:val="auto"/>
              </w:rPr>
              <w:t>Cost</w:t>
            </w:r>
          </w:p>
        </w:tc>
        <w:tc>
          <w:tcPr>
            <w:tcW w:w="200" w:type="dxa"/>
            <w:vAlign w:val="bottom"/>
          </w:tcPr>
          <w:p>
            <w:pPr>
              <w:spacing w:after="0"/>
              <w:rPr>
                <w:sz w:val="10"/>
                <w:szCs w:val="10"/>
                <w:color w:val="auto"/>
              </w:rPr>
            </w:pPr>
          </w:p>
        </w:tc>
        <w:tc>
          <w:tcPr>
            <w:tcW w:w="820" w:type="dxa"/>
            <w:vAlign w:val="bottom"/>
            <w:gridSpan w:val="2"/>
            <w:vMerge w:val="restart"/>
          </w:tcPr>
          <w:p>
            <w:pPr>
              <w:jc w:val="center"/>
              <w:ind w:right="320"/>
              <w:spacing w:after="0"/>
              <w:rPr>
                <w:sz w:val="20"/>
                <w:szCs w:val="20"/>
                <w:color w:val="auto"/>
              </w:rPr>
            </w:pPr>
            <w:r>
              <w:rPr>
                <w:rFonts w:ascii="Times New Roman" w:cs="Times New Roman" w:eastAsia="Times New Roman" w:hAnsi="Times New Roman"/>
                <w:sz w:val="13"/>
                <w:szCs w:val="13"/>
                <w:b w:val="1"/>
                <w:bCs w:val="1"/>
                <w:color w:val="auto"/>
                <w:w w:val="92"/>
              </w:rPr>
              <w:t>Fair</w:t>
            </w:r>
          </w:p>
        </w:tc>
        <w:tc>
          <w:tcPr>
            <w:tcW w:w="100" w:type="dxa"/>
            <w:vAlign w:val="bottom"/>
          </w:tcPr>
          <w:p>
            <w:pPr>
              <w:spacing w:after="0"/>
              <w:rPr>
                <w:sz w:val="10"/>
                <w:szCs w:val="10"/>
                <w:color w:val="auto"/>
              </w:rPr>
            </w:pPr>
          </w:p>
        </w:tc>
        <w:tc>
          <w:tcPr>
            <w:tcW w:w="100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3"/>
                <w:szCs w:val="13"/>
                <w:b w:val="1"/>
                <w:bCs w:val="1"/>
                <w:color w:val="auto"/>
                <w:w w:val="97"/>
              </w:rPr>
              <w:t>Net Carrying</w:t>
            </w:r>
          </w:p>
        </w:tc>
        <w:tc>
          <w:tcPr>
            <w:tcW w:w="160" w:type="dxa"/>
            <w:vAlign w:val="bottom"/>
          </w:tcPr>
          <w:p>
            <w:pPr>
              <w:spacing w:after="0"/>
              <w:rPr>
                <w:sz w:val="10"/>
                <w:szCs w:val="10"/>
                <w:color w:val="auto"/>
              </w:rPr>
            </w:pPr>
          </w:p>
        </w:tc>
        <w:tc>
          <w:tcPr>
            <w:tcW w:w="1100" w:type="dxa"/>
            <w:vAlign w:val="bottom"/>
            <w:gridSpan w:val="2"/>
          </w:tcPr>
          <w:p>
            <w:pPr>
              <w:jc w:val="center"/>
              <w:ind w:right="280"/>
              <w:spacing w:after="0" w:line="115" w:lineRule="exact"/>
              <w:rPr>
                <w:sz w:val="20"/>
                <w:szCs w:val="20"/>
                <w:color w:val="auto"/>
              </w:rPr>
            </w:pPr>
            <w:r>
              <w:rPr>
                <w:rFonts w:ascii="Times New Roman" w:cs="Times New Roman" w:eastAsia="Times New Roman" w:hAnsi="Times New Roman"/>
                <w:sz w:val="13"/>
                <w:szCs w:val="13"/>
                <w:b w:val="1"/>
                <w:bCs w:val="1"/>
                <w:color w:val="auto"/>
                <w:w w:val="96"/>
              </w:rPr>
              <w:t>Notional</w:t>
            </w:r>
          </w:p>
        </w:tc>
        <w:tc>
          <w:tcPr>
            <w:tcW w:w="200" w:type="dxa"/>
            <w:vAlign w:val="bottom"/>
          </w:tcPr>
          <w:p>
            <w:pPr>
              <w:spacing w:after="0"/>
              <w:rPr>
                <w:sz w:val="10"/>
                <w:szCs w:val="10"/>
                <w:color w:val="auto"/>
              </w:rPr>
            </w:pPr>
          </w:p>
        </w:tc>
        <w:tc>
          <w:tcPr>
            <w:tcW w:w="8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3"/>
                <w:szCs w:val="13"/>
                <w:b w:val="1"/>
                <w:bCs w:val="1"/>
                <w:color w:val="auto"/>
              </w:rPr>
              <w:t>Cost</w:t>
            </w:r>
          </w:p>
        </w:tc>
        <w:tc>
          <w:tcPr>
            <w:tcW w:w="200" w:type="dxa"/>
            <w:vAlign w:val="bottom"/>
          </w:tcPr>
          <w:p>
            <w:pPr>
              <w:spacing w:after="0"/>
              <w:rPr>
                <w:sz w:val="10"/>
                <w:szCs w:val="10"/>
                <w:color w:val="auto"/>
              </w:rPr>
            </w:pPr>
          </w:p>
        </w:tc>
        <w:tc>
          <w:tcPr>
            <w:tcW w:w="840" w:type="dxa"/>
            <w:vAlign w:val="bottom"/>
            <w:gridSpan w:val="2"/>
            <w:vMerge w:val="restart"/>
          </w:tcPr>
          <w:p>
            <w:pPr>
              <w:jc w:val="center"/>
              <w:ind w:right="300"/>
              <w:spacing w:after="0"/>
              <w:rPr>
                <w:sz w:val="20"/>
                <w:szCs w:val="20"/>
                <w:color w:val="auto"/>
              </w:rPr>
            </w:pPr>
            <w:r>
              <w:rPr>
                <w:rFonts w:ascii="Times New Roman" w:cs="Times New Roman" w:eastAsia="Times New Roman" w:hAnsi="Times New Roman"/>
                <w:sz w:val="13"/>
                <w:szCs w:val="13"/>
                <w:b w:val="1"/>
                <w:bCs w:val="1"/>
                <w:color w:val="auto"/>
                <w:w w:val="92"/>
              </w:rPr>
              <w:t>Fair</w:t>
            </w:r>
          </w:p>
        </w:tc>
        <w:tc>
          <w:tcPr>
            <w:tcW w:w="100" w:type="dxa"/>
            <w:vAlign w:val="bottom"/>
          </w:tcPr>
          <w:p>
            <w:pPr>
              <w:spacing w:after="0"/>
              <w:rPr>
                <w:sz w:val="10"/>
                <w:szCs w:val="10"/>
                <w:color w:val="auto"/>
              </w:rPr>
            </w:pPr>
          </w:p>
        </w:tc>
        <w:tc>
          <w:tcPr>
            <w:tcW w:w="840" w:type="dxa"/>
            <w:vAlign w:val="bottom"/>
            <w:vMerge w:val="restart"/>
          </w:tcPr>
          <w:p>
            <w:pPr>
              <w:jc w:val="right"/>
              <w:ind w:right="49"/>
              <w:spacing w:after="0"/>
              <w:rPr>
                <w:sz w:val="20"/>
                <w:szCs w:val="20"/>
                <w:color w:val="auto"/>
              </w:rPr>
            </w:pPr>
            <w:r>
              <w:rPr>
                <w:rFonts w:ascii="Times New Roman" w:cs="Times New Roman" w:eastAsia="Times New Roman" w:hAnsi="Times New Roman"/>
                <w:sz w:val="13"/>
                <w:szCs w:val="13"/>
                <w:b w:val="1"/>
                <w:bCs w:val="1"/>
                <w:color w:val="auto"/>
                <w:w w:val="94"/>
              </w:rPr>
              <w:t>Net Carrying</w:t>
            </w:r>
          </w:p>
        </w:tc>
        <w:tc>
          <w:tcPr>
            <w:tcW w:w="0" w:type="dxa"/>
            <w:vAlign w:val="bottom"/>
          </w:tcPr>
          <w:p>
            <w:pPr>
              <w:spacing w:after="0"/>
              <w:rPr>
                <w:sz w:val="1"/>
                <w:szCs w:val="1"/>
                <w:color w:val="auto"/>
              </w:rPr>
            </w:pPr>
          </w:p>
        </w:tc>
      </w:tr>
      <w:tr>
        <w:trPr>
          <w:trHeight w:val="121"/>
        </w:trPr>
        <w:tc>
          <w:tcPr>
            <w:tcW w:w="238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100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1100" w:type="dxa"/>
            <w:vAlign w:val="bottom"/>
            <w:gridSpan w:val="2"/>
          </w:tcPr>
          <w:p>
            <w:pPr>
              <w:jc w:val="center"/>
              <w:ind w:right="260"/>
              <w:spacing w:after="0" w:line="122" w:lineRule="exact"/>
              <w:rPr>
                <w:sz w:val="20"/>
                <w:szCs w:val="20"/>
                <w:color w:val="auto"/>
              </w:rPr>
            </w:pPr>
            <w:r>
              <w:rPr>
                <w:rFonts w:ascii="Times New Roman" w:cs="Times New Roman" w:eastAsia="Times New Roman" w:hAnsi="Times New Roman"/>
                <w:sz w:val="13"/>
                <w:szCs w:val="13"/>
                <w:b w:val="1"/>
                <w:bCs w:val="1"/>
                <w:color w:val="auto"/>
                <w:w w:val="96"/>
              </w:rPr>
              <w:t>Amount</w:t>
            </w: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200" w:type="dxa"/>
            <w:vAlign w:val="bottom"/>
          </w:tcPr>
          <w:p>
            <w:pPr>
              <w:spacing w:after="0"/>
              <w:rPr>
                <w:sz w:val="10"/>
                <w:szCs w:val="10"/>
                <w:color w:val="auto"/>
              </w:rPr>
            </w:pPr>
          </w:p>
        </w:tc>
        <w:tc>
          <w:tcPr>
            <w:tcW w:w="840" w:type="dxa"/>
            <w:vAlign w:val="bottom"/>
            <w:gridSpan w:val="2"/>
            <w:vMerge w:val="continue"/>
          </w:tcPr>
          <w:p>
            <w:pPr>
              <w:spacing w:after="0"/>
              <w:rPr>
                <w:sz w:val="10"/>
                <w:szCs w:val="10"/>
                <w:color w:val="auto"/>
              </w:rPr>
            </w:pPr>
          </w:p>
        </w:tc>
        <w:tc>
          <w:tcPr>
            <w:tcW w:w="100" w:type="dxa"/>
            <w:vAlign w:val="bottom"/>
          </w:tcPr>
          <w:p>
            <w:pPr>
              <w:spacing w:after="0"/>
              <w:rPr>
                <w:sz w:val="10"/>
                <w:szCs w:val="10"/>
                <w:color w:val="auto"/>
              </w:rPr>
            </w:pPr>
          </w:p>
        </w:tc>
        <w:tc>
          <w:tcPr>
            <w:tcW w:w="8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89"/>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3"/>
                <w:szCs w:val="13"/>
                <w:b w:val="1"/>
                <w:bCs w:val="1"/>
                <w:color w:val="auto"/>
              </w:rPr>
              <w:t xml:space="preserve">TBA Securities by Coupon </w:t>
            </w:r>
            <w:r>
              <w:rPr>
                <w:rFonts w:ascii="Times New Roman" w:cs="Times New Roman" w:eastAsia="Times New Roman" w:hAnsi="Times New Roman"/>
                <w:sz w:val="16"/>
                <w:szCs w:val="16"/>
                <w:b w:val="1"/>
                <w:bCs w:val="1"/>
                <w:color w:val="auto"/>
                <w:vertAlign w:val="superscript"/>
              </w:rPr>
              <w:t>2</w:t>
            </w:r>
          </w:p>
        </w:tc>
        <w:tc>
          <w:tcPr>
            <w:tcW w:w="14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Times New Roman" w:cs="Times New Roman" w:eastAsia="Times New Roman" w:hAnsi="Times New Roman"/>
                <w:sz w:val="13"/>
                <w:szCs w:val="13"/>
                <w:b w:val="1"/>
                <w:bCs w:val="1"/>
                <w:color w:val="auto"/>
                <w:w w:val="94"/>
              </w:rPr>
              <w:t>Long (Short)</w:t>
            </w:r>
          </w:p>
        </w:tc>
        <w:tc>
          <w:tcPr>
            <w:tcW w:w="200" w:type="dxa"/>
            <w:vAlign w:val="bottom"/>
          </w:tcPr>
          <w:p>
            <w:pPr>
              <w:spacing w:after="0"/>
              <w:rPr>
                <w:sz w:val="16"/>
                <w:szCs w:val="16"/>
                <w:color w:val="auto"/>
              </w:rPr>
            </w:pPr>
          </w:p>
        </w:tc>
        <w:tc>
          <w:tcPr>
            <w:tcW w:w="840" w:type="dxa"/>
            <w:vAlign w:val="bottom"/>
            <w:gridSpan w:val="2"/>
          </w:tcPr>
          <w:p>
            <w:pPr>
              <w:ind w:left="120"/>
              <w:spacing w:after="0"/>
              <w:rPr>
                <w:sz w:val="20"/>
                <w:szCs w:val="20"/>
                <w:color w:val="auto"/>
              </w:rPr>
            </w:pPr>
            <w:r>
              <w:rPr>
                <w:rFonts w:ascii="Times New Roman" w:cs="Times New Roman" w:eastAsia="Times New Roman" w:hAnsi="Times New Roman"/>
                <w:sz w:val="13"/>
                <w:szCs w:val="13"/>
                <w:b w:val="1"/>
                <w:bCs w:val="1"/>
                <w:color w:val="auto"/>
              </w:rPr>
              <w:t>Basis</w:t>
            </w:r>
          </w:p>
        </w:tc>
        <w:tc>
          <w:tcPr>
            <w:tcW w:w="200" w:type="dxa"/>
            <w:vAlign w:val="bottom"/>
          </w:tcPr>
          <w:p>
            <w:pPr>
              <w:spacing w:after="0"/>
              <w:rPr>
                <w:sz w:val="16"/>
                <w:szCs w:val="16"/>
                <w:color w:val="auto"/>
              </w:rPr>
            </w:pPr>
          </w:p>
        </w:tc>
        <w:tc>
          <w:tcPr>
            <w:tcW w:w="820" w:type="dxa"/>
            <w:vAlign w:val="bottom"/>
            <w:gridSpan w:val="2"/>
          </w:tcPr>
          <w:p>
            <w:pPr>
              <w:jc w:val="center"/>
              <w:ind w:right="320"/>
              <w:spacing w:after="0"/>
              <w:rPr>
                <w:sz w:val="20"/>
                <w:szCs w:val="20"/>
                <w:color w:val="auto"/>
              </w:rPr>
            </w:pPr>
            <w:r>
              <w:rPr>
                <w:rFonts w:ascii="Times New Roman" w:cs="Times New Roman" w:eastAsia="Times New Roman" w:hAnsi="Times New Roman"/>
                <w:sz w:val="13"/>
                <w:szCs w:val="13"/>
                <w:b w:val="1"/>
                <w:bCs w:val="1"/>
                <w:color w:val="auto"/>
                <w:w w:val="92"/>
              </w:rPr>
              <w:t>Value</w:t>
            </w:r>
          </w:p>
        </w:tc>
        <w:tc>
          <w:tcPr>
            <w:tcW w:w="100" w:type="dxa"/>
            <w:vAlign w:val="bottom"/>
          </w:tcPr>
          <w:p>
            <w:pPr>
              <w:spacing w:after="0"/>
              <w:rPr>
                <w:sz w:val="16"/>
                <w:szCs w:val="16"/>
                <w:color w:val="auto"/>
              </w:rPr>
            </w:pPr>
          </w:p>
        </w:tc>
        <w:tc>
          <w:tcPr>
            <w:tcW w:w="1000" w:type="dxa"/>
            <w:vAlign w:val="bottom"/>
            <w:gridSpan w:val="2"/>
          </w:tcPr>
          <w:p>
            <w:pPr>
              <w:jc w:val="center"/>
              <w:ind w:right="260"/>
              <w:spacing w:after="0"/>
              <w:rPr>
                <w:sz w:val="20"/>
                <w:szCs w:val="20"/>
                <w:color w:val="auto"/>
              </w:rPr>
            </w:pPr>
            <w:r>
              <w:rPr>
                <w:rFonts w:ascii="Times New Roman" w:cs="Times New Roman" w:eastAsia="Times New Roman" w:hAnsi="Times New Roman"/>
                <w:sz w:val="13"/>
                <w:szCs w:val="13"/>
                <w:b w:val="1"/>
                <w:bCs w:val="1"/>
                <w:color w:val="auto"/>
                <w:w w:val="92"/>
              </w:rPr>
              <w:t xml:space="preserve">Value </w:t>
            </w:r>
            <w:r>
              <w:rPr>
                <w:rFonts w:ascii="Times New Roman" w:cs="Times New Roman" w:eastAsia="Times New Roman" w:hAnsi="Times New Roman"/>
                <w:sz w:val="16"/>
                <w:szCs w:val="16"/>
                <w:b w:val="1"/>
                <w:bCs w:val="1"/>
                <w:color w:val="auto"/>
                <w:w w:val="92"/>
                <w:vertAlign w:val="superscript"/>
              </w:rPr>
              <w:t>1</w:t>
            </w:r>
          </w:p>
        </w:tc>
        <w:tc>
          <w:tcPr>
            <w:tcW w:w="160" w:type="dxa"/>
            <w:vAlign w:val="bottom"/>
          </w:tcPr>
          <w:p>
            <w:pPr>
              <w:spacing w:after="0"/>
              <w:rPr>
                <w:sz w:val="16"/>
                <w:szCs w:val="16"/>
                <w:color w:val="auto"/>
              </w:rPr>
            </w:pPr>
          </w:p>
        </w:tc>
        <w:tc>
          <w:tcPr>
            <w:tcW w:w="1100" w:type="dxa"/>
            <w:vAlign w:val="bottom"/>
            <w:gridSpan w:val="2"/>
          </w:tcPr>
          <w:p>
            <w:pPr>
              <w:jc w:val="center"/>
              <w:ind w:right="260"/>
              <w:spacing w:after="0"/>
              <w:rPr>
                <w:sz w:val="20"/>
                <w:szCs w:val="20"/>
                <w:color w:val="auto"/>
              </w:rPr>
            </w:pPr>
            <w:r>
              <w:rPr>
                <w:rFonts w:ascii="Times New Roman" w:cs="Times New Roman" w:eastAsia="Times New Roman" w:hAnsi="Times New Roman"/>
                <w:sz w:val="13"/>
                <w:szCs w:val="13"/>
                <w:b w:val="1"/>
                <w:bCs w:val="1"/>
                <w:color w:val="auto"/>
                <w:w w:val="94"/>
              </w:rPr>
              <w:t>Long (Short)</w:t>
            </w:r>
          </w:p>
        </w:tc>
        <w:tc>
          <w:tcPr>
            <w:tcW w:w="200" w:type="dxa"/>
            <w:vAlign w:val="bottom"/>
          </w:tcPr>
          <w:p>
            <w:pPr>
              <w:spacing w:after="0"/>
              <w:rPr>
                <w:sz w:val="16"/>
                <w:szCs w:val="16"/>
                <w:color w:val="auto"/>
              </w:rPr>
            </w:pPr>
          </w:p>
        </w:tc>
        <w:tc>
          <w:tcPr>
            <w:tcW w:w="840" w:type="dxa"/>
            <w:vAlign w:val="bottom"/>
            <w:gridSpan w:val="2"/>
          </w:tcPr>
          <w:p>
            <w:pPr>
              <w:ind w:left="120"/>
              <w:spacing w:after="0"/>
              <w:rPr>
                <w:sz w:val="20"/>
                <w:szCs w:val="20"/>
                <w:color w:val="auto"/>
              </w:rPr>
            </w:pPr>
            <w:r>
              <w:rPr>
                <w:rFonts w:ascii="Times New Roman" w:cs="Times New Roman" w:eastAsia="Times New Roman" w:hAnsi="Times New Roman"/>
                <w:sz w:val="13"/>
                <w:szCs w:val="13"/>
                <w:b w:val="1"/>
                <w:bCs w:val="1"/>
                <w:color w:val="auto"/>
              </w:rPr>
              <w:t>Basis</w:t>
            </w:r>
          </w:p>
        </w:tc>
        <w:tc>
          <w:tcPr>
            <w:tcW w:w="200" w:type="dxa"/>
            <w:vAlign w:val="bottom"/>
          </w:tcPr>
          <w:p>
            <w:pPr>
              <w:spacing w:after="0"/>
              <w:rPr>
                <w:sz w:val="16"/>
                <w:szCs w:val="16"/>
                <w:color w:val="auto"/>
              </w:rPr>
            </w:pPr>
          </w:p>
        </w:tc>
        <w:tc>
          <w:tcPr>
            <w:tcW w:w="840" w:type="dxa"/>
            <w:vAlign w:val="bottom"/>
            <w:gridSpan w:val="2"/>
          </w:tcPr>
          <w:p>
            <w:pPr>
              <w:jc w:val="center"/>
              <w:ind w:right="300"/>
              <w:spacing w:after="0"/>
              <w:rPr>
                <w:sz w:val="20"/>
                <w:szCs w:val="20"/>
                <w:color w:val="auto"/>
              </w:rPr>
            </w:pPr>
            <w:r>
              <w:rPr>
                <w:rFonts w:ascii="Times New Roman" w:cs="Times New Roman" w:eastAsia="Times New Roman" w:hAnsi="Times New Roman"/>
                <w:sz w:val="13"/>
                <w:szCs w:val="13"/>
                <w:b w:val="1"/>
                <w:bCs w:val="1"/>
                <w:color w:val="auto"/>
                <w:w w:val="92"/>
              </w:rPr>
              <w:t>Value</w:t>
            </w:r>
          </w:p>
        </w:tc>
        <w:tc>
          <w:tcPr>
            <w:tcW w:w="100" w:type="dxa"/>
            <w:vAlign w:val="bottom"/>
          </w:tcPr>
          <w:p>
            <w:pPr>
              <w:spacing w:after="0"/>
              <w:rPr>
                <w:sz w:val="16"/>
                <w:szCs w:val="16"/>
                <w:color w:val="auto"/>
              </w:rPr>
            </w:pPr>
          </w:p>
        </w:tc>
        <w:tc>
          <w:tcPr>
            <w:tcW w:w="840" w:type="dxa"/>
            <w:vAlign w:val="bottom"/>
          </w:tcPr>
          <w:p>
            <w:pPr>
              <w:jc w:val="right"/>
              <w:ind w:right="209"/>
              <w:spacing w:after="0"/>
              <w:rPr>
                <w:sz w:val="20"/>
                <w:szCs w:val="20"/>
                <w:color w:val="auto"/>
              </w:rPr>
            </w:pPr>
            <w:r>
              <w:rPr>
                <w:rFonts w:ascii="Times New Roman" w:cs="Times New Roman" w:eastAsia="Times New Roman" w:hAnsi="Times New Roman"/>
                <w:sz w:val="13"/>
                <w:szCs w:val="13"/>
                <w:b w:val="1"/>
                <w:bCs w:val="1"/>
                <w:color w:val="auto"/>
              </w:rPr>
              <w:t xml:space="preserve">Value </w:t>
            </w:r>
            <w:r>
              <w:rPr>
                <w:rFonts w:ascii="Times New Roman" w:cs="Times New Roman" w:eastAsia="Times New Roman" w:hAnsi="Times New Roman"/>
                <w:sz w:val="16"/>
                <w:szCs w:val="16"/>
                <w:b w:val="1"/>
                <w:bCs w:val="1"/>
                <w:color w:val="auto"/>
                <w:vertAlign w:val="superscript"/>
              </w:rPr>
              <w:t>1</w:t>
            </w:r>
          </w:p>
        </w:tc>
        <w:tc>
          <w:tcPr>
            <w:tcW w:w="0" w:type="dxa"/>
            <w:vAlign w:val="bottom"/>
          </w:tcPr>
          <w:p>
            <w:pPr>
              <w:spacing w:after="0"/>
              <w:rPr>
                <w:sz w:val="1"/>
                <w:szCs w:val="1"/>
                <w:color w:val="auto"/>
              </w:rPr>
            </w:pPr>
          </w:p>
        </w:tc>
      </w:tr>
      <w:tr>
        <w:trPr>
          <w:trHeight w:val="196"/>
        </w:trPr>
        <w:tc>
          <w:tcPr>
            <w:tcW w:w="238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15-Year TBA securities:</w:t>
            </w: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spacing w:after="0"/>
              <w:rPr>
                <w:sz w:val="17"/>
                <w:szCs w:val="17"/>
                <w:color w:val="auto"/>
              </w:rPr>
            </w:pPr>
          </w:p>
        </w:tc>
        <w:tc>
          <w:tcPr>
            <w:tcW w:w="100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250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 2.0%</w:t>
            </w: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10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10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2,039</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2,056</w:t>
            </w:r>
          </w:p>
        </w:tc>
        <w:tc>
          <w:tcPr>
            <w:tcW w:w="100" w:type="dxa"/>
            <w:vAlign w:val="bottom"/>
          </w:tcPr>
          <w:p>
            <w:pPr>
              <w:spacing w:after="0"/>
              <w:rPr>
                <w:sz w:val="16"/>
                <w:szCs w:val="16"/>
                <w:color w:val="auto"/>
              </w:rPr>
            </w:pPr>
          </w:p>
        </w:tc>
        <w:tc>
          <w:tcPr>
            <w:tcW w:w="20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2,059</w:t>
            </w:r>
          </w:p>
        </w:tc>
        <w:tc>
          <w:tcPr>
            <w:tcW w:w="100" w:type="dxa"/>
            <w:vAlign w:val="bottom"/>
          </w:tcPr>
          <w:p>
            <w:pPr>
              <w:spacing w:after="0"/>
              <w:rPr>
                <w:sz w:val="16"/>
                <w:szCs w:val="16"/>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Pr>
          <w:p>
            <w:pPr>
              <w:jc w:val="right"/>
              <w:ind w:right="9"/>
              <w:spacing w:after="0"/>
              <w:rPr>
                <w:sz w:val="20"/>
                <w:szCs w:val="20"/>
                <w:color w:val="auto"/>
              </w:rPr>
            </w:pPr>
            <w:r>
              <w:rPr>
                <w:rFonts w:ascii="Times New Roman" w:cs="Times New Roman" w:eastAsia="Times New Roman" w:hAnsi="Times New Roman"/>
                <w:sz w:val="14"/>
                <w:szCs w:val="14"/>
                <w:color w:val="auto"/>
              </w:rPr>
              <w:t>3</w:t>
            </w:r>
          </w:p>
        </w:tc>
        <w:tc>
          <w:tcPr>
            <w:tcW w:w="0" w:type="dxa"/>
            <w:vAlign w:val="bottom"/>
          </w:tcPr>
          <w:p>
            <w:pPr>
              <w:spacing w:after="0"/>
              <w:rPr>
                <w:sz w:val="1"/>
                <w:szCs w:val="1"/>
                <w:color w:val="auto"/>
              </w:rPr>
            </w:pPr>
          </w:p>
        </w:tc>
      </w:tr>
      <w:tr>
        <w:trPr>
          <w:trHeight w:val="210"/>
        </w:trPr>
        <w:tc>
          <w:tcPr>
            <w:tcW w:w="23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3.0%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128</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124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6"/>
        </w:trPr>
        <w:tc>
          <w:tcPr>
            <w:tcW w:w="238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116</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118</w:t>
            </w:r>
          </w:p>
        </w:tc>
        <w:tc>
          <w:tcPr>
            <w:tcW w:w="1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20" w:type="dxa"/>
            <w:vAlign w:val="bottom"/>
          </w:tcPr>
          <w:p>
            <w:pPr>
              <w:jc w:val="right"/>
              <w:ind w:right="9"/>
              <w:spacing w:after="0"/>
              <w:rPr>
                <w:sz w:val="20"/>
                <w:szCs w:val="20"/>
                <w:color w:val="auto"/>
              </w:rPr>
            </w:pPr>
            <w:r>
              <w:rPr>
                <w:rFonts w:ascii="Times New Roman" w:cs="Times New Roman" w:eastAsia="Times New Roman" w:hAnsi="Times New Roman"/>
                <w:sz w:val="14"/>
                <w:szCs w:val="14"/>
                <w:color w:val="auto"/>
              </w:rPr>
              <w:t>118</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0" w:type="dxa"/>
            <w:vAlign w:val="bottom"/>
            <w:gridSpan w:val="2"/>
          </w:tcPr>
          <w:p>
            <w:pPr>
              <w:jc w:val="right"/>
              <w:ind w:right="24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7"/>
                <w:szCs w:val="17"/>
                <w:color w:val="auto"/>
              </w:rPr>
            </w:pPr>
          </w:p>
        </w:tc>
        <w:tc>
          <w:tcPr>
            <w:tcW w:w="11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7"/>
                <w:szCs w:val="17"/>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Pr>
          <w:p>
            <w:pPr>
              <w:spacing w:after="0"/>
              <w:rPr>
                <w:sz w:val="17"/>
                <w:szCs w:val="17"/>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840" w:type="dxa"/>
            <w:vAlign w:val="bottom"/>
          </w:tcPr>
          <w:p>
            <w:pPr>
              <w:jc w:val="right"/>
              <w:ind w:right="9"/>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03"/>
        </w:trPr>
        <w:tc>
          <w:tcPr>
            <w:tcW w:w="250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15-Year TBA securities</w:t>
            </w:r>
          </w:p>
        </w:tc>
        <w:tc>
          <w:tcPr>
            <w:tcW w:w="140" w:type="dxa"/>
            <w:vAlign w:val="bottom"/>
            <w:tcBorders>
              <w:top w:val="single" w:sz="8" w:color="auto"/>
              <w:bottom w:val="single" w:sz="8" w:color="auto"/>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239</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246</w:t>
            </w:r>
          </w:p>
        </w:tc>
        <w:tc>
          <w:tcPr>
            <w:tcW w:w="12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242</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6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bottom w:val="single" w:sz="8" w:color="auto"/>
            </w:tcBorders>
            <w:shd w:val="clear" w:color="auto" w:fill="CCEEFF"/>
          </w:tcPr>
          <w:p>
            <w:pPr>
              <w:spacing w:after="0"/>
              <w:rPr>
                <w:sz w:val="17"/>
                <w:szCs w:val="17"/>
                <w:color w:val="auto"/>
              </w:rPr>
            </w:pPr>
          </w:p>
        </w:tc>
        <w:tc>
          <w:tcPr>
            <w:tcW w:w="10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2,039</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2,056</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2,059</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3</w:t>
            </w:r>
          </w:p>
        </w:tc>
        <w:tc>
          <w:tcPr>
            <w:tcW w:w="0" w:type="dxa"/>
            <w:vAlign w:val="bottom"/>
          </w:tcPr>
          <w:p>
            <w:pPr>
              <w:spacing w:after="0"/>
              <w:rPr>
                <w:sz w:val="1"/>
                <w:szCs w:val="1"/>
                <w:color w:val="auto"/>
              </w:rPr>
            </w:pPr>
          </w:p>
        </w:tc>
      </w:tr>
      <w:tr>
        <w:trPr>
          <w:trHeight w:val="175"/>
        </w:trPr>
        <w:tc>
          <w:tcPr>
            <w:tcW w:w="25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30-Year TBA securities:</w:t>
            </w:r>
          </w:p>
        </w:tc>
        <w:tc>
          <w:tcPr>
            <w:tcW w:w="140" w:type="dxa"/>
            <w:vAlign w:val="bottom"/>
          </w:tcPr>
          <w:p>
            <w:pPr>
              <w:spacing w:after="0"/>
              <w:rPr>
                <w:sz w:val="15"/>
                <w:szCs w:val="15"/>
                <w:color w:val="auto"/>
              </w:rPr>
            </w:pPr>
          </w:p>
        </w:tc>
        <w:tc>
          <w:tcPr>
            <w:tcW w:w="9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50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 2.0%</w:t>
            </w: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(3,041)</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(2,863)</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(2,821)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42</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2,892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2,872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2,874</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2</w:t>
            </w:r>
          </w:p>
        </w:tc>
        <w:tc>
          <w:tcPr>
            <w:tcW w:w="0" w:type="dxa"/>
            <w:vAlign w:val="bottom"/>
          </w:tcPr>
          <w:p>
            <w:pPr>
              <w:spacing w:after="0"/>
              <w:rPr>
                <w:sz w:val="1"/>
                <w:szCs w:val="1"/>
                <w:color w:val="auto"/>
              </w:rPr>
            </w:pPr>
          </w:p>
        </w:tc>
      </w:tr>
      <w:tr>
        <w:trPr>
          <w:trHeight w:val="195"/>
        </w:trPr>
        <w:tc>
          <w:tcPr>
            <w:tcW w:w="238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2.5%</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2,413</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2,474</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9"/>
              <w:spacing w:after="0"/>
              <w:rPr>
                <w:sz w:val="20"/>
                <w:szCs w:val="20"/>
                <w:color w:val="auto"/>
              </w:rPr>
            </w:pPr>
            <w:r>
              <w:rPr>
                <w:rFonts w:ascii="Times New Roman" w:cs="Times New Roman" w:eastAsia="Times New Roman" w:hAnsi="Times New Roman"/>
                <w:sz w:val="14"/>
                <w:szCs w:val="14"/>
                <w:color w:val="auto"/>
              </w:rPr>
              <w:t>2,299</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(175)</w:t>
            </w: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17,602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17,953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17,914</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(39)</w:t>
            </w:r>
          </w:p>
        </w:tc>
        <w:tc>
          <w:tcPr>
            <w:tcW w:w="0" w:type="dxa"/>
            <w:vAlign w:val="bottom"/>
          </w:tcPr>
          <w:p>
            <w:pPr>
              <w:spacing w:after="0"/>
              <w:rPr>
                <w:sz w:val="1"/>
                <w:szCs w:val="1"/>
                <w:color w:val="auto"/>
              </w:rPr>
            </w:pPr>
          </w:p>
        </w:tc>
      </w:tr>
      <w:tr>
        <w:trPr>
          <w:trHeight w:val="210"/>
        </w:trPr>
        <w:tc>
          <w:tcPr>
            <w:tcW w:w="23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3.0%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8,125</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8,360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7,930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(430)</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3,559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3,692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3,682</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w:t>
            </w:r>
          </w:p>
        </w:tc>
        <w:tc>
          <w:tcPr>
            <w:tcW w:w="0" w:type="dxa"/>
            <w:vAlign w:val="bottom"/>
          </w:tcPr>
          <w:p>
            <w:pPr>
              <w:spacing w:after="0"/>
              <w:rPr>
                <w:sz w:val="1"/>
                <w:szCs w:val="1"/>
                <w:color w:val="auto"/>
              </w:rPr>
            </w:pPr>
          </w:p>
        </w:tc>
      </w:tr>
      <w:tr>
        <w:trPr>
          <w:trHeight w:val="195"/>
        </w:trPr>
        <w:tc>
          <w:tcPr>
            <w:tcW w:w="238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8,921</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8,947</w:t>
            </w:r>
          </w:p>
        </w:tc>
        <w:tc>
          <w:tcPr>
            <w:tcW w:w="1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20" w:type="dxa"/>
            <w:vAlign w:val="bottom"/>
          </w:tcPr>
          <w:p>
            <w:pPr>
              <w:jc w:val="right"/>
              <w:ind w:right="9"/>
              <w:spacing w:after="0"/>
              <w:rPr>
                <w:sz w:val="20"/>
                <w:szCs w:val="20"/>
                <w:color w:val="auto"/>
              </w:rPr>
            </w:pPr>
            <w:r>
              <w:rPr>
                <w:rFonts w:ascii="Times New Roman" w:cs="Times New Roman" w:eastAsia="Times New Roman" w:hAnsi="Times New Roman"/>
                <w:sz w:val="14"/>
                <w:szCs w:val="14"/>
                <w:color w:val="auto"/>
              </w:rPr>
              <w:t>8,898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w:t>
            </w:r>
          </w:p>
        </w:tc>
        <w:tc>
          <w:tcPr>
            <w:tcW w:w="1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581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611</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611</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840" w:type="dxa"/>
            <w:vAlign w:val="bottom"/>
          </w:tcPr>
          <w:p>
            <w:pPr>
              <w:jc w:val="right"/>
              <w:ind w:right="9"/>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10"/>
        </w:trPr>
        <w:tc>
          <w:tcPr>
            <w:tcW w:w="238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4.0%</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2,950</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2,988</w:t>
            </w:r>
          </w:p>
        </w:tc>
        <w:tc>
          <w:tcPr>
            <w:tcW w:w="1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2,995</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7</w:t>
            </w:r>
          </w:p>
        </w:tc>
        <w:tc>
          <w:tcPr>
            <w:tcW w:w="1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840" w:type="dxa"/>
            <w:vAlign w:val="bottom"/>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0"/>
        </w:trPr>
        <w:tc>
          <w:tcPr>
            <w:tcW w:w="250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4"/>
                <w:szCs w:val="14"/>
                <w:color w:val="auto"/>
              </w:rPr>
              <w:t>Total 30-Year TBA securities, net</w:t>
            </w:r>
          </w:p>
        </w:tc>
        <w:tc>
          <w:tcPr>
            <w:tcW w:w="140" w:type="dxa"/>
            <w:vAlign w:val="bottom"/>
            <w:tcBorders>
              <w:top w:val="single" w:sz="8" w:color="auto"/>
              <w:bottom w:val="single" w:sz="8" w:color="auto"/>
            </w:tcBorders>
          </w:tcPr>
          <w:p>
            <w:pPr>
              <w:spacing w:after="0"/>
              <w:rPr>
                <w:sz w:val="16"/>
                <w:szCs w:val="16"/>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19,368</w:t>
            </w:r>
          </w:p>
        </w:tc>
        <w:tc>
          <w:tcPr>
            <w:tcW w:w="12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19,906</w:t>
            </w:r>
          </w:p>
        </w:tc>
        <w:tc>
          <w:tcPr>
            <w:tcW w:w="12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20" w:type="dxa"/>
            <w:vAlign w:val="bottom"/>
            <w:tcBorders>
              <w:top w:val="single" w:sz="8" w:color="auto"/>
              <w:bottom w:val="single" w:sz="8" w:color="auto"/>
            </w:tcBorders>
          </w:tcPr>
          <w:p>
            <w:pPr>
              <w:jc w:val="right"/>
              <w:ind w:right="9"/>
              <w:spacing w:after="0"/>
              <w:rPr>
                <w:sz w:val="20"/>
                <w:szCs w:val="20"/>
                <w:color w:val="auto"/>
              </w:rPr>
            </w:pPr>
            <w:r>
              <w:rPr>
                <w:rFonts w:ascii="Times New Roman" w:cs="Times New Roman" w:eastAsia="Times New Roman" w:hAnsi="Times New Roman"/>
                <w:sz w:val="14"/>
                <w:szCs w:val="14"/>
                <w:color w:val="auto"/>
              </w:rPr>
              <w:t>19,301</w:t>
            </w:r>
          </w:p>
        </w:tc>
        <w:tc>
          <w:tcPr>
            <w:tcW w:w="100" w:type="dxa"/>
            <w:vAlign w:val="bottom"/>
            <w:tcBorders>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(605)</w:t>
            </w:r>
          </w:p>
        </w:tc>
        <w:tc>
          <w:tcPr>
            <w:tcW w:w="160" w:type="dxa"/>
            <w:vAlign w:val="bottom"/>
            <w:tcBorders>
              <w:bottom w:val="single" w:sz="8" w:color="CCEEFF"/>
            </w:tcBorders>
          </w:tcPr>
          <w:p>
            <w:pPr>
              <w:spacing w:after="0"/>
              <w:rPr>
                <w:sz w:val="16"/>
                <w:szCs w:val="16"/>
                <w:color w:val="auto"/>
              </w:rPr>
            </w:pPr>
          </w:p>
        </w:tc>
        <w:tc>
          <w:tcPr>
            <w:tcW w:w="160" w:type="dxa"/>
            <w:vAlign w:val="bottom"/>
            <w:tcBorders>
              <w:top w:val="single" w:sz="8" w:color="auto"/>
              <w:bottom w:val="single" w:sz="8" w:color="auto"/>
            </w:tcBorders>
          </w:tcPr>
          <w:p>
            <w:pPr>
              <w:spacing w:after="0"/>
              <w:rPr>
                <w:sz w:val="16"/>
                <w:szCs w:val="16"/>
                <w:color w:val="auto"/>
              </w:rPr>
            </w:pP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24,634</w:t>
            </w:r>
          </w:p>
        </w:tc>
        <w:tc>
          <w:tcPr>
            <w:tcW w:w="10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25,128</w:t>
            </w:r>
          </w:p>
        </w:tc>
        <w:tc>
          <w:tcPr>
            <w:tcW w:w="10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7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25,081</w:t>
            </w:r>
          </w:p>
        </w:tc>
        <w:tc>
          <w:tcPr>
            <w:tcW w:w="100" w:type="dxa"/>
            <w:vAlign w:val="bottom"/>
            <w:tcBorders>
              <w:bottom w:val="single" w:sz="8" w:color="CCEEFF"/>
            </w:tcBorders>
          </w:tcPr>
          <w:p>
            <w:pPr>
              <w:spacing w:after="0"/>
              <w:rPr>
                <w:sz w:val="16"/>
                <w:szCs w:val="16"/>
                <w:color w:val="auto"/>
              </w:rPr>
            </w:pPr>
          </w:p>
        </w:tc>
        <w:tc>
          <w:tcPr>
            <w:tcW w:w="100" w:type="dxa"/>
            <w:vAlign w:val="bottom"/>
            <w:tcBorders>
              <w:top w:val="single" w:sz="8" w:color="auto"/>
              <w:bottom w:val="single" w:sz="8" w:color="auto"/>
            </w:tcBorders>
          </w:tcPr>
          <w:p>
            <w:pPr>
              <w:spacing w:after="0"/>
              <w:rPr>
                <w:sz w:val="16"/>
                <w:szCs w:val="16"/>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(47)</w:t>
            </w:r>
          </w:p>
        </w:tc>
        <w:tc>
          <w:tcPr>
            <w:tcW w:w="0" w:type="dxa"/>
            <w:vAlign w:val="bottom"/>
          </w:tcPr>
          <w:p>
            <w:pPr>
              <w:spacing w:after="0"/>
              <w:rPr>
                <w:sz w:val="1"/>
                <w:szCs w:val="1"/>
                <w:color w:val="auto"/>
              </w:rPr>
            </w:pPr>
          </w:p>
        </w:tc>
      </w:tr>
      <w:tr>
        <w:trPr>
          <w:trHeight w:val="228"/>
        </w:trPr>
        <w:tc>
          <w:tcPr>
            <w:tcW w:w="25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TBA securities, net</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19,607</w:t>
            </w:r>
          </w:p>
        </w:tc>
        <w:tc>
          <w:tcPr>
            <w:tcW w:w="1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20,152</w:t>
            </w:r>
          </w:p>
        </w:tc>
        <w:tc>
          <w:tcPr>
            <w:tcW w:w="12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20" w:type="dxa"/>
            <w:vAlign w:val="bottom"/>
            <w:tcBorders>
              <w:bottom w:val="single" w:sz="8" w:color="auto"/>
            </w:tcBorders>
            <w:shd w:val="clear" w:color="auto" w:fill="CCEEFF"/>
          </w:tcPr>
          <w:p>
            <w:pPr>
              <w:jc w:val="right"/>
              <w:ind w:right="9"/>
              <w:spacing w:after="0"/>
              <w:rPr>
                <w:sz w:val="20"/>
                <w:szCs w:val="20"/>
                <w:color w:val="auto"/>
              </w:rPr>
            </w:pPr>
            <w:r>
              <w:rPr>
                <w:rFonts w:ascii="Times New Roman" w:cs="Times New Roman" w:eastAsia="Times New Roman" w:hAnsi="Times New Roman"/>
                <w:sz w:val="14"/>
                <w:szCs w:val="14"/>
                <w:color w:val="auto"/>
              </w:rPr>
              <w:t>19,543</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(609)</w:t>
            </w:r>
          </w:p>
        </w:tc>
        <w:tc>
          <w:tcPr>
            <w:tcW w:w="16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26,673</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27,184</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27,140</w:t>
            </w:r>
          </w:p>
        </w:tc>
        <w:tc>
          <w:tcPr>
            <w:tcW w:w="10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w:t>
            </w:r>
          </w:p>
        </w:tc>
        <w:tc>
          <w:tcPr>
            <w:tcW w:w="0" w:type="dxa"/>
            <w:vAlign w:val="bottom"/>
          </w:tcPr>
          <w:p>
            <w:pPr>
              <w:spacing w:after="0"/>
              <w:rPr>
                <w:sz w:val="1"/>
                <w:szCs w:val="1"/>
                <w:color w:val="auto"/>
              </w:rPr>
            </w:pPr>
          </w:p>
        </w:tc>
      </w:tr>
      <w:tr>
        <w:trPr>
          <w:trHeight w:val="20"/>
        </w:trPr>
        <w:tc>
          <w:tcPr>
            <w:tcW w:w="23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line="250" w:lineRule="auto"/>
        <w:tabs>
          <w:tab w:leader="none" w:pos="660" w:val="left"/>
        </w:tabs>
        <w:numPr>
          <w:ilvl w:val="0"/>
          <w:numId w:val="1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Net carrying value represents the difference between the fair market value and the cost basis (or the forward price to be paid/(received) for the underlying Agency security) of the TBA contract as of period-end and is reported in derivative assets/(liabilities), at fair value in our consolidated balance sheets.</w:t>
      </w:r>
    </w:p>
    <w:p>
      <w:pPr>
        <w:ind w:left="660" w:hanging="328"/>
        <w:spacing w:after="0"/>
        <w:tabs>
          <w:tab w:leader="none" w:pos="660" w:val="left"/>
        </w:tabs>
        <w:numPr>
          <w:ilvl w:val="0"/>
          <w:numId w:val="1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Table excludes forward settling non-Agency securities totaling $0.4 billion fair value and $0.2 million net carrying value as of December 31, 2021.</w:t>
      </w:r>
    </w:p>
    <w:p>
      <w:pPr>
        <w:spacing w:after="0" w:line="236" w:lineRule="exact"/>
        <w:rPr>
          <w:sz w:val="20"/>
          <w:szCs w:val="20"/>
          <w:color w:val="auto"/>
        </w:rPr>
      </w:pPr>
    </w:p>
    <w:p>
      <w:pPr>
        <w:jc w:val="both"/>
        <w:ind w:firstLine="445"/>
        <w:spacing w:after="0" w:line="242" w:lineRule="auto"/>
        <w:rPr>
          <w:sz w:val="20"/>
          <w:szCs w:val="20"/>
          <w:color w:val="auto"/>
        </w:rPr>
      </w:pPr>
      <w:r>
        <w:rPr>
          <w:rFonts w:ascii="Times New Roman" w:cs="Times New Roman" w:eastAsia="Times New Roman" w:hAnsi="Times New Roman"/>
          <w:sz w:val="18"/>
          <w:szCs w:val="18"/>
          <w:color w:val="auto"/>
        </w:rPr>
        <w:t>As of March 31, 2022, we had $2.6 billion notional value of centrally cleared credit default swaps ("CDS") outstanding that reference the Markit CDX Investment Grade Index, maturing in June 2027. Under the terms of our CDS, we pay fixed periodic payments equal to 1% of the notional value and we are entitled to receive payments for qualified credit events. As of March 31, 2022, the CDS had an amortized cost basis of $(35) million, a market value of $(42) million, and a carrying value of zero dollars, net of variation margin settlements posted by us. Pursuant to rules governing central clearing activities, we recognize variation margin settlements as a direct reduction of the carrying value of the CDS asset or liability.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Gain (Loss) From Derivative Instruments and Other Securities, Net</w:t>
      </w:r>
    </w:p>
    <w:p>
      <w:pPr>
        <w:spacing w:after="0" w:line="175" w:lineRule="exact"/>
        <w:rPr>
          <w:sz w:val="20"/>
          <w:szCs w:val="20"/>
          <w:color w:val="auto"/>
        </w:rPr>
      </w:pPr>
    </w:p>
    <w:p>
      <w:pPr>
        <w:jc w:val="both"/>
        <w:ind w:firstLine="405"/>
        <w:spacing w:after="0" w:line="270" w:lineRule="auto"/>
        <w:rPr>
          <w:sz w:val="20"/>
          <w:szCs w:val="20"/>
          <w:color w:val="auto"/>
        </w:rPr>
      </w:pPr>
      <w:r>
        <w:rPr>
          <w:rFonts w:ascii="Times New Roman" w:cs="Times New Roman" w:eastAsia="Times New Roman" w:hAnsi="Times New Roman"/>
          <w:sz w:val="18"/>
          <w:szCs w:val="18"/>
          <w:color w:val="auto"/>
        </w:rPr>
        <w:t>The following table summarizes changes in our derivative and other hedge portfolio and their effect on our consolidated statements of comprehensive income for the three months ended March 31, 2022 and 2021 (in millions):</w:t>
      </w:r>
    </w:p>
    <w:tbl>
      <w:tblPr>
        <w:tblLayout w:type="fixed"/>
        <w:tblInd w:w="0" w:type="dxa"/>
        <w:tblCellMar>
          <w:top w:w="0" w:type="dxa"/>
          <w:left w:w="0" w:type="dxa"/>
          <w:bottom w:w="0" w:type="dxa"/>
          <w:right w:w="0" w:type="dxa"/>
        </w:tblCellMar>
      </w:tblPr>
      <w:tr>
        <w:trPr>
          <w:trHeight w:val="147"/>
        </w:trPr>
        <w:tc>
          <w:tcPr>
            <w:tcW w:w="38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160" w:type="dxa"/>
            <w:vAlign w:val="bottom"/>
          </w:tcPr>
          <w:p>
            <w:pPr>
              <w:spacing w:after="0"/>
              <w:rPr>
                <w:sz w:val="12"/>
                <w:szCs w:val="12"/>
                <w:color w:val="auto"/>
              </w:rPr>
            </w:pPr>
          </w:p>
        </w:tc>
        <w:tc>
          <w:tcPr>
            <w:tcW w:w="1240" w:type="dxa"/>
            <w:vAlign w:val="bottom"/>
          </w:tcPr>
          <w:p>
            <w:pPr>
              <w:spacing w:after="0"/>
              <w:rPr>
                <w:sz w:val="12"/>
                <w:szCs w:val="12"/>
                <w:color w:val="auto"/>
              </w:rPr>
            </w:pPr>
          </w:p>
        </w:tc>
        <w:tc>
          <w:tcPr>
            <w:tcW w:w="1200" w:type="dxa"/>
            <w:vAlign w:val="bottom"/>
            <w:vMerge w:val="restart"/>
          </w:tcPr>
          <w:p>
            <w:pPr>
              <w:jc w:val="center"/>
              <w:ind w:right="2"/>
              <w:spacing w:after="0"/>
              <w:rPr>
                <w:sz w:val="20"/>
                <w:szCs w:val="20"/>
                <w:color w:val="auto"/>
              </w:rPr>
            </w:pPr>
            <w:r>
              <w:rPr>
                <w:rFonts w:ascii="Times New Roman" w:cs="Times New Roman" w:eastAsia="Times New Roman" w:hAnsi="Times New Roman"/>
                <w:sz w:val="14"/>
                <w:szCs w:val="14"/>
                <w:b w:val="1"/>
                <w:bCs w:val="1"/>
                <w:color w:val="auto"/>
              </w:rPr>
              <w:t>Settlement,</w:t>
            </w:r>
          </w:p>
        </w:tc>
        <w:tc>
          <w:tcPr>
            <w:tcW w:w="300" w:type="dxa"/>
            <w:vAlign w:val="bottom"/>
          </w:tcPr>
          <w:p>
            <w:pPr>
              <w:spacing w:after="0"/>
              <w:rPr>
                <w:sz w:val="12"/>
                <w:szCs w:val="12"/>
                <w:color w:val="auto"/>
              </w:rPr>
            </w:pPr>
          </w:p>
        </w:tc>
        <w:tc>
          <w:tcPr>
            <w:tcW w:w="10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tcPr>
          <w:p>
            <w:pPr>
              <w:jc w:val="center"/>
              <w:ind w:right="42"/>
              <w:spacing w:after="0" w:line="147" w:lineRule="exact"/>
              <w:rPr>
                <w:sz w:val="20"/>
                <w:szCs w:val="20"/>
                <w:color w:val="auto"/>
              </w:rPr>
            </w:pPr>
            <w:r>
              <w:rPr>
                <w:rFonts w:ascii="Times New Roman" w:cs="Times New Roman" w:eastAsia="Times New Roman" w:hAnsi="Times New Roman"/>
                <w:sz w:val="14"/>
                <w:szCs w:val="14"/>
                <w:b w:val="1"/>
                <w:bCs w:val="1"/>
                <w:color w:val="auto"/>
              </w:rPr>
              <w:t>Gain/(Loss)</w:t>
            </w:r>
          </w:p>
        </w:tc>
        <w:tc>
          <w:tcPr>
            <w:tcW w:w="0" w:type="dxa"/>
            <w:vAlign w:val="bottom"/>
          </w:tcPr>
          <w:p>
            <w:pPr>
              <w:spacing w:after="0"/>
              <w:rPr>
                <w:sz w:val="1"/>
                <w:szCs w:val="1"/>
                <w:color w:val="auto"/>
              </w:rPr>
            </w:pPr>
          </w:p>
        </w:tc>
      </w:tr>
      <w:tr>
        <w:trPr>
          <w:trHeight w:val="135"/>
        </w:trPr>
        <w:tc>
          <w:tcPr>
            <w:tcW w:w="388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1160" w:type="dxa"/>
            <w:vAlign w:val="bottom"/>
          </w:tcPr>
          <w:p>
            <w:pPr>
              <w:spacing w:after="0"/>
              <w:rPr>
                <w:sz w:val="11"/>
                <w:szCs w:val="11"/>
                <w:color w:val="auto"/>
              </w:rPr>
            </w:pPr>
          </w:p>
        </w:tc>
        <w:tc>
          <w:tcPr>
            <w:tcW w:w="1240" w:type="dxa"/>
            <w:vAlign w:val="bottom"/>
          </w:tcPr>
          <w:p>
            <w:pPr>
              <w:spacing w:after="0"/>
              <w:rPr>
                <w:sz w:val="11"/>
                <w:szCs w:val="11"/>
                <w:color w:val="auto"/>
              </w:rPr>
            </w:pPr>
          </w:p>
        </w:tc>
        <w:tc>
          <w:tcPr>
            <w:tcW w:w="1200" w:type="dxa"/>
            <w:vAlign w:val="bottom"/>
            <w:vMerge w:val="continue"/>
          </w:tcPr>
          <w:p>
            <w:pPr>
              <w:spacing w:after="0"/>
              <w:rPr>
                <w:sz w:val="11"/>
                <w:szCs w:val="11"/>
                <w:color w:val="auto"/>
              </w:rPr>
            </w:pPr>
          </w:p>
        </w:tc>
        <w:tc>
          <w:tcPr>
            <w:tcW w:w="30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0" w:type="dxa"/>
            <w:vAlign w:val="bottom"/>
          </w:tcPr>
          <w:p>
            <w:pPr>
              <w:jc w:val="center"/>
              <w:ind w:right="42"/>
              <w:spacing w:after="0" w:line="135" w:lineRule="exact"/>
              <w:rPr>
                <w:sz w:val="20"/>
                <w:szCs w:val="20"/>
                <w:color w:val="auto"/>
              </w:rPr>
            </w:pPr>
            <w:r>
              <w:rPr>
                <w:rFonts w:ascii="Times New Roman" w:cs="Times New Roman" w:eastAsia="Times New Roman" w:hAnsi="Times New Roman"/>
                <w:sz w:val="14"/>
                <w:szCs w:val="14"/>
                <w:b w:val="1"/>
                <w:bCs w:val="1"/>
                <w:color w:val="auto"/>
              </w:rPr>
              <w:t>on Derivative</w:t>
            </w:r>
          </w:p>
        </w:tc>
        <w:tc>
          <w:tcPr>
            <w:tcW w:w="0" w:type="dxa"/>
            <w:vAlign w:val="bottom"/>
          </w:tcPr>
          <w:p>
            <w:pPr>
              <w:spacing w:after="0"/>
              <w:rPr>
                <w:sz w:val="1"/>
                <w:szCs w:val="1"/>
                <w:color w:val="auto"/>
              </w:rPr>
            </w:pPr>
          </w:p>
        </w:tc>
      </w:tr>
      <w:tr>
        <w:trPr>
          <w:trHeight w:val="149"/>
        </w:trPr>
        <w:tc>
          <w:tcPr>
            <w:tcW w:w="388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1160" w:type="dxa"/>
            <w:vAlign w:val="bottom"/>
            <w:vMerge w:val="restart"/>
          </w:tcPr>
          <w:p>
            <w:pPr>
              <w:jc w:val="right"/>
              <w:ind w:right="380"/>
              <w:spacing w:after="0"/>
              <w:rPr>
                <w:sz w:val="20"/>
                <w:szCs w:val="20"/>
                <w:color w:val="auto"/>
              </w:rPr>
            </w:pPr>
            <w:r>
              <w:rPr>
                <w:rFonts w:ascii="Times New Roman" w:cs="Times New Roman" w:eastAsia="Times New Roman" w:hAnsi="Times New Roman"/>
                <w:sz w:val="14"/>
                <w:szCs w:val="14"/>
                <w:b w:val="1"/>
                <w:bCs w:val="1"/>
                <w:color w:val="auto"/>
              </w:rPr>
              <w:t>Beginning</w:t>
            </w:r>
          </w:p>
        </w:tc>
        <w:tc>
          <w:tcPr>
            <w:tcW w:w="1240" w:type="dxa"/>
            <w:vAlign w:val="bottom"/>
          </w:tcPr>
          <w:p>
            <w:pPr>
              <w:spacing w:after="0"/>
              <w:rPr>
                <w:sz w:val="12"/>
                <w:szCs w:val="12"/>
                <w:color w:val="auto"/>
              </w:rPr>
            </w:pPr>
          </w:p>
        </w:tc>
        <w:tc>
          <w:tcPr>
            <w:tcW w:w="1200" w:type="dxa"/>
            <w:vAlign w:val="bottom"/>
          </w:tcPr>
          <w:p>
            <w:pPr>
              <w:jc w:val="center"/>
              <w:ind w:right="2"/>
              <w:spacing w:after="0" w:line="149" w:lineRule="exact"/>
              <w:rPr>
                <w:sz w:val="20"/>
                <w:szCs w:val="20"/>
                <w:color w:val="auto"/>
              </w:rPr>
            </w:pPr>
            <w:r>
              <w:rPr>
                <w:rFonts w:ascii="Times New Roman" w:cs="Times New Roman" w:eastAsia="Times New Roman" w:hAnsi="Times New Roman"/>
                <w:sz w:val="14"/>
                <w:szCs w:val="14"/>
                <w:b w:val="1"/>
                <w:bCs w:val="1"/>
                <w:color w:val="auto"/>
              </w:rPr>
              <w:t>Termination,</w:t>
            </w:r>
          </w:p>
        </w:tc>
        <w:tc>
          <w:tcPr>
            <w:tcW w:w="300" w:type="dxa"/>
            <w:vAlign w:val="bottom"/>
          </w:tcPr>
          <w:p>
            <w:pPr>
              <w:spacing w:after="0"/>
              <w:rPr>
                <w:sz w:val="12"/>
                <w:szCs w:val="12"/>
                <w:color w:val="auto"/>
              </w:rPr>
            </w:pPr>
          </w:p>
        </w:tc>
        <w:tc>
          <w:tcPr>
            <w:tcW w:w="1160" w:type="dxa"/>
            <w:vAlign w:val="bottom"/>
            <w:gridSpan w:val="2"/>
            <w:vMerge w:val="restart"/>
          </w:tcPr>
          <w:p>
            <w:pPr>
              <w:jc w:val="center"/>
              <w:ind w:right="460"/>
              <w:spacing w:after="0"/>
              <w:rPr>
                <w:sz w:val="20"/>
                <w:szCs w:val="20"/>
                <w:color w:val="auto"/>
              </w:rPr>
            </w:pPr>
            <w:r>
              <w:rPr>
                <w:rFonts w:ascii="Times New Roman" w:cs="Times New Roman" w:eastAsia="Times New Roman" w:hAnsi="Times New Roman"/>
                <w:sz w:val="14"/>
                <w:szCs w:val="14"/>
                <w:b w:val="1"/>
                <w:bCs w:val="1"/>
                <w:color w:val="auto"/>
              </w:rPr>
              <w:t>Ending</w:t>
            </w:r>
          </w:p>
        </w:tc>
        <w:tc>
          <w:tcPr>
            <w:tcW w:w="120" w:type="dxa"/>
            <w:vAlign w:val="bottom"/>
          </w:tcPr>
          <w:p>
            <w:pPr>
              <w:spacing w:after="0"/>
              <w:rPr>
                <w:sz w:val="12"/>
                <w:szCs w:val="12"/>
                <w:color w:val="auto"/>
              </w:rPr>
            </w:pPr>
          </w:p>
        </w:tc>
        <w:tc>
          <w:tcPr>
            <w:tcW w:w="1200" w:type="dxa"/>
            <w:vAlign w:val="bottom"/>
          </w:tcPr>
          <w:p>
            <w:pPr>
              <w:jc w:val="center"/>
              <w:ind w:right="62"/>
              <w:spacing w:after="0" w:line="149" w:lineRule="exact"/>
              <w:rPr>
                <w:sz w:val="20"/>
                <w:szCs w:val="20"/>
                <w:color w:val="auto"/>
              </w:rPr>
            </w:pPr>
            <w:r>
              <w:rPr>
                <w:rFonts w:ascii="Times New Roman" w:cs="Times New Roman" w:eastAsia="Times New Roman" w:hAnsi="Times New Roman"/>
                <w:sz w:val="14"/>
                <w:szCs w:val="14"/>
                <w:b w:val="1"/>
                <w:bCs w:val="1"/>
                <w:color w:val="auto"/>
              </w:rPr>
              <w:t>Instruments and</w:t>
            </w:r>
          </w:p>
        </w:tc>
        <w:tc>
          <w:tcPr>
            <w:tcW w:w="0" w:type="dxa"/>
            <w:vAlign w:val="bottom"/>
          </w:tcPr>
          <w:p>
            <w:pPr>
              <w:spacing w:after="0"/>
              <w:rPr>
                <w:sz w:val="1"/>
                <w:szCs w:val="1"/>
                <w:color w:val="auto"/>
              </w:rPr>
            </w:pPr>
          </w:p>
        </w:tc>
      </w:tr>
      <w:tr>
        <w:trPr>
          <w:trHeight w:val="148"/>
        </w:trPr>
        <w:tc>
          <w:tcPr>
            <w:tcW w:w="388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Derivative and Other Hedging Instruments</w:t>
            </w:r>
          </w:p>
        </w:tc>
        <w:tc>
          <w:tcPr>
            <w:tcW w:w="940" w:type="dxa"/>
            <w:vAlign w:val="bottom"/>
          </w:tcPr>
          <w:p>
            <w:pPr>
              <w:spacing w:after="0"/>
              <w:rPr>
                <w:sz w:val="12"/>
                <w:szCs w:val="12"/>
                <w:color w:val="auto"/>
              </w:rPr>
            </w:pPr>
          </w:p>
        </w:tc>
        <w:tc>
          <w:tcPr>
            <w:tcW w:w="1160" w:type="dxa"/>
            <w:vAlign w:val="bottom"/>
            <w:vMerge w:val="continue"/>
          </w:tcPr>
          <w:p>
            <w:pPr>
              <w:spacing w:after="0"/>
              <w:rPr>
                <w:sz w:val="12"/>
                <w:szCs w:val="12"/>
                <w:color w:val="auto"/>
              </w:rPr>
            </w:pPr>
          </w:p>
        </w:tc>
        <w:tc>
          <w:tcPr>
            <w:tcW w:w="1240" w:type="dxa"/>
            <w:vAlign w:val="bottom"/>
            <w:vMerge w:val="restart"/>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Additions</w:t>
            </w:r>
          </w:p>
        </w:tc>
        <w:tc>
          <w:tcPr>
            <w:tcW w:w="1200" w:type="dxa"/>
            <w:vAlign w:val="bottom"/>
          </w:tcPr>
          <w:p>
            <w:pPr>
              <w:jc w:val="center"/>
              <w:ind w:right="2"/>
              <w:spacing w:after="0" w:line="149" w:lineRule="exact"/>
              <w:rPr>
                <w:sz w:val="20"/>
                <w:szCs w:val="20"/>
                <w:color w:val="auto"/>
              </w:rPr>
            </w:pPr>
            <w:r>
              <w:rPr>
                <w:rFonts w:ascii="Times New Roman" w:cs="Times New Roman" w:eastAsia="Times New Roman" w:hAnsi="Times New Roman"/>
                <w:sz w:val="14"/>
                <w:szCs w:val="14"/>
                <w:b w:val="1"/>
                <w:bCs w:val="1"/>
                <w:color w:val="auto"/>
              </w:rPr>
              <w:t>Expiration or</w:t>
            </w:r>
          </w:p>
        </w:tc>
        <w:tc>
          <w:tcPr>
            <w:tcW w:w="300" w:type="dxa"/>
            <w:vAlign w:val="bottom"/>
          </w:tcPr>
          <w:p>
            <w:pPr>
              <w:spacing w:after="0"/>
              <w:rPr>
                <w:sz w:val="12"/>
                <w:szCs w:val="12"/>
                <w:color w:val="auto"/>
              </w:rPr>
            </w:pPr>
          </w:p>
        </w:tc>
        <w:tc>
          <w:tcPr>
            <w:tcW w:w="116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1200" w:type="dxa"/>
            <w:vAlign w:val="bottom"/>
          </w:tcPr>
          <w:p>
            <w:pPr>
              <w:jc w:val="center"/>
              <w:ind w:right="42"/>
              <w:spacing w:after="0" w:line="149" w:lineRule="exact"/>
              <w:rPr>
                <w:sz w:val="20"/>
                <w:szCs w:val="20"/>
                <w:color w:val="auto"/>
              </w:rPr>
            </w:pPr>
            <w:r>
              <w:rPr>
                <w:rFonts w:ascii="Times New Roman" w:cs="Times New Roman" w:eastAsia="Times New Roman" w:hAnsi="Times New Roman"/>
                <w:sz w:val="14"/>
                <w:szCs w:val="14"/>
                <w:b w:val="1"/>
                <w:bCs w:val="1"/>
                <w:color w:val="auto"/>
              </w:rPr>
              <w:t>Other Securities,</w:t>
            </w:r>
          </w:p>
        </w:tc>
        <w:tc>
          <w:tcPr>
            <w:tcW w:w="0" w:type="dxa"/>
            <w:vAlign w:val="bottom"/>
          </w:tcPr>
          <w:p>
            <w:pPr>
              <w:spacing w:after="0"/>
              <w:rPr>
                <w:sz w:val="1"/>
                <w:szCs w:val="1"/>
                <w:color w:val="auto"/>
              </w:rPr>
            </w:pPr>
          </w:p>
        </w:tc>
      </w:tr>
      <w:tr>
        <w:trPr>
          <w:trHeight w:val="203"/>
        </w:trPr>
        <w:tc>
          <w:tcPr>
            <w:tcW w:w="3880" w:type="dxa"/>
            <w:vAlign w:val="bottom"/>
            <w:vMerge w:val="continue"/>
          </w:tcPr>
          <w:p>
            <w:pPr>
              <w:spacing w:after="0"/>
              <w:rPr>
                <w:sz w:val="17"/>
                <w:szCs w:val="17"/>
                <w:color w:val="auto"/>
              </w:rPr>
            </w:pPr>
          </w:p>
        </w:tc>
        <w:tc>
          <w:tcPr>
            <w:tcW w:w="21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b w:val="1"/>
                <w:bCs w:val="1"/>
                <w:color w:val="auto"/>
              </w:rPr>
              <w:t>Notional Amount</w:t>
            </w:r>
          </w:p>
        </w:tc>
        <w:tc>
          <w:tcPr>
            <w:tcW w:w="1240" w:type="dxa"/>
            <w:vAlign w:val="bottom"/>
            <w:vMerge w:val="continue"/>
          </w:tcPr>
          <w:p>
            <w:pPr>
              <w:spacing w:after="0"/>
              <w:rPr>
                <w:sz w:val="17"/>
                <w:szCs w:val="17"/>
                <w:color w:val="auto"/>
              </w:rPr>
            </w:pPr>
          </w:p>
        </w:tc>
        <w:tc>
          <w:tcPr>
            <w:tcW w:w="1200" w:type="dxa"/>
            <w:vAlign w:val="bottom"/>
          </w:tcPr>
          <w:p>
            <w:pPr>
              <w:jc w:val="center"/>
              <w:ind w:right="2"/>
              <w:spacing w:after="0"/>
              <w:rPr>
                <w:sz w:val="20"/>
                <w:szCs w:val="20"/>
                <w:color w:val="auto"/>
              </w:rPr>
            </w:pPr>
            <w:r>
              <w:rPr>
                <w:rFonts w:ascii="Times New Roman" w:cs="Times New Roman" w:eastAsia="Times New Roman" w:hAnsi="Times New Roman"/>
                <w:sz w:val="14"/>
                <w:szCs w:val="14"/>
                <w:b w:val="1"/>
                <w:bCs w:val="1"/>
                <w:color w:val="auto"/>
              </w:rPr>
              <w:t>Exercise</w:t>
            </w:r>
          </w:p>
        </w:tc>
        <w:tc>
          <w:tcPr>
            <w:tcW w:w="1460" w:type="dxa"/>
            <w:vAlign w:val="bottom"/>
            <w:gridSpan w:val="3"/>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Notional Amount</w:t>
            </w:r>
          </w:p>
        </w:tc>
        <w:tc>
          <w:tcPr>
            <w:tcW w:w="120" w:type="dxa"/>
            <w:vAlign w:val="bottom"/>
          </w:tcPr>
          <w:p>
            <w:pPr>
              <w:spacing w:after="0"/>
              <w:rPr>
                <w:sz w:val="17"/>
                <w:szCs w:val="17"/>
                <w:color w:val="auto"/>
              </w:rPr>
            </w:pPr>
          </w:p>
        </w:tc>
        <w:tc>
          <w:tcPr>
            <w:tcW w:w="1200" w:type="dxa"/>
            <w:vAlign w:val="bottom"/>
          </w:tcPr>
          <w:p>
            <w:pPr>
              <w:jc w:val="center"/>
              <w:ind w:right="62"/>
              <w:spacing w:after="0" w:line="202" w:lineRule="exact"/>
              <w:rPr>
                <w:sz w:val="20"/>
                <w:szCs w:val="20"/>
                <w:color w:val="auto"/>
              </w:rPr>
            </w:pPr>
            <w:r>
              <w:rPr>
                <w:rFonts w:ascii="Times New Roman" w:cs="Times New Roman" w:eastAsia="Times New Roman" w:hAnsi="Times New Roman"/>
                <w:sz w:val="14"/>
                <w:szCs w:val="14"/>
                <w:b w:val="1"/>
                <w:bCs w:val="1"/>
                <w:color w:val="auto"/>
                <w:w w:val="98"/>
              </w:rPr>
              <w:t xml:space="preserve">Net </w:t>
            </w:r>
            <w:r>
              <w:rPr>
                <w:rFonts w:ascii="Times New Roman" w:cs="Times New Roman" w:eastAsia="Times New Roman" w:hAnsi="Times New Roman"/>
                <w:sz w:val="18"/>
                <w:szCs w:val="18"/>
                <w:b w:val="1"/>
                <w:bCs w:val="1"/>
                <w:color w:val="auto"/>
                <w:w w:val="98"/>
                <w:vertAlign w:val="superscript"/>
              </w:rPr>
              <w:t>1</w:t>
            </w:r>
          </w:p>
        </w:tc>
        <w:tc>
          <w:tcPr>
            <w:tcW w:w="0" w:type="dxa"/>
            <w:vAlign w:val="bottom"/>
          </w:tcPr>
          <w:p>
            <w:pPr>
              <w:spacing w:after="0"/>
              <w:rPr>
                <w:sz w:val="1"/>
                <w:szCs w:val="1"/>
                <w:color w:val="auto"/>
              </w:rPr>
            </w:pPr>
          </w:p>
        </w:tc>
      </w:tr>
      <w:tr>
        <w:trPr>
          <w:trHeight w:val="216"/>
        </w:trPr>
        <w:tc>
          <w:tcPr>
            <w:tcW w:w="3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b w:val="1"/>
                <w:bCs w:val="1"/>
                <w:color w:val="auto"/>
              </w:rPr>
              <w:t>Three months ended March 31, 2022:</w:t>
            </w:r>
          </w:p>
        </w:tc>
        <w:tc>
          <w:tcPr>
            <w:tcW w:w="94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0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TBA securities, net</w:t>
            </w:r>
          </w:p>
        </w:tc>
        <w:tc>
          <w:tcPr>
            <w:tcW w:w="94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Pr>
          <w:p>
            <w:pPr>
              <w:jc w:val="right"/>
              <w:ind w:right="160"/>
              <w:spacing w:after="0"/>
              <w:rPr>
                <w:sz w:val="20"/>
                <w:szCs w:val="20"/>
                <w:color w:val="auto"/>
              </w:rPr>
            </w:pPr>
            <w:r>
              <w:rPr>
                <w:rFonts w:ascii="Times New Roman" w:cs="Times New Roman" w:eastAsia="Times New Roman" w:hAnsi="Times New Roman"/>
                <w:sz w:val="16"/>
                <w:szCs w:val="16"/>
                <w:color w:val="auto"/>
              </w:rPr>
              <w:t>26,673</w:t>
            </w:r>
          </w:p>
        </w:tc>
        <w:tc>
          <w:tcPr>
            <w:tcW w:w="124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78,634</w:t>
            </w: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(85,700)</w:t>
            </w:r>
          </w:p>
        </w:tc>
        <w:tc>
          <w:tcPr>
            <w:tcW w:w="3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16"/>
                <w:szCs w:val="16"/>
                <w:color w:val="auto"/>
              </w:rPr>
              <w:t>19,607</w:t>
            </w:r>
          </w:p>
        </w:tc>
        <w:tc>
          <w:tcPr>
            <w:tcW w:w="10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(1,234)</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Forward settling non-Agency securities</w:t>
            </w:r>
          </w:p>
        </w:tc>
        <w:tc>
          <w:tcPr>
            <w:tcW w:w="940" w:type="dxa"/>
            <w:vAlign w:val="bottom"/>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450</w:t>
            </w:r>
          </w:p>
        </w:tc>
        <w:tc>
          <w:tcPr>
            <w:tcW w:w="124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(450)</w:t>
            </w:r>
          </w:p>
        </w:tc>
        <w:tc>
          <w:tcPr>
            <w:tcW w:w="300" w:type="dxa"/>
            <w:vAlign w:val="bottom"/>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Borders>
              <w:right w:val="single" w:sz="8" w:color="auto"/>
            </w:tcBorders>
            <w:shd w:val="clear" w:color="auto" w:fill="CCEEFF"/>
          </w:tcPr>
          <w:p>
            <w:pPr>
              <w:jc w:val="right"/>
              <w:ind w:right="100"/>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Interest rate swaps - payer</w:t>
            </w:r>
          </w:p>
        </w:tc>
        <w:tc>
          <w:tcPr>
            <w:tcW w:w="94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Pr>
          <w:p>
            <w:pPr>
              <w:jc w:val="right"/>
              <w:ind w:right="160"/>
              <w:spacing w:after="0"/>
              <w:rPr>
                <w:sz w:val="20"/>
                <w:szCs w:val="20"/>
                <w:color w:val="auto"/>
              </w:rPr>
            </w:pPr>
            <w:r>
              <w:rPr>
                <w:rFonts w:ascii="Times New Roman" w:cs="Times New Roman" w:eastAsia="Times New Roman" w:hAnsi="Times New Roman"/>
                <w:sz w:val="16"/>
                <w:szCs w:val="16"/>
                <w:color w:val="auto"/>
              </w:rPr>
              <w:t>51,225</w:t>
            </w:r>
          </w:p>
        </w:tc>
        <w:tc>
          <w:tcPr>
            <w:tcW w:w="124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2,400</w:t>
            </w: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(2,500)</w:t>
            </w:r>
          </w:p>
        </w:tc>
        <w:tc>
          <w:tcPr>
            <w:tcW w:w="3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16"/>
                <w:szCs w:val="16"/>
                <w:color w:val="auto"/>
              </w:rPr>
              <w:t>51,125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1,957</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Credit default swaps - CDX IG - buy protection</w:t>
            </w:r>
          </w:p>
        </w:tc>
        <w:tc>
          <w:tcPr>
            <w:tcW w:w="940" w:type="dxa"/>
            <w:vAlign w:val="bottom"/>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shd w:val="clear" w:color="auto" w:fill="CCEEFF"/>
          </w:tcPr>
          <w:p>
            <w:pPr>
              <w:jc w:val="right"/>
              <w:ind w:right="160"/>
              <w:spacing w:after="0"/>
              <w:rPr>
                <w:sz w:val="20"/>
                <w:szCs w:val="20"/>
                <w:color w:val="auto"/>
              </w:rPr>
            </w:pPr>
            <w:r>
              <w:rPr>
                <w:rFonts w:ascii="Times New Roman" w:cs="Times New Roman" w:eastAsia="Times New Roman" w:hAnsi="Times New Roman"/>
                <w:sz w:val="16"/>
                <w:szCs w:val="16"/>
                <w:color w:val="auto"/>
              </w:rPr>
              <w:t>—</w:t>
            </w:r>
          </w:p>
        </w:tc>
        <w:tc>
          <w:tcPr>
            <w:tcW w:w="1240" w:type="dxa"/>
            <w:vAlign w:val="bottom"/>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(5,470)</w:t>
            </w:r>
          </w:p>
        </w:tc>
        <w:tc>
          <w:tcPr>
            <w:tcW w:w="1200" w:type="dxa"/>
            <w:vAlign w:val="bottom"/>
            <w:shd w:val="clear" w:color="auto" w:fill="CCEEFF"/>
          </w:tcPr>
          <w:p>
            <w:pPr>
              <w:jc w:val="right"/>
              <w:ind w:right="22"/>
              <w:spacing w:after="0"/>
              <w:rPr>
                <w:sz w:val="20"/>
                <w:szCs w:val="20"/>
                <w:color w:val="auto"/>
              </w:rPr>
            </w:pPr>
            <w:r>
              <w:rPr>
                <w:rFonts w:ascii="Times New Roman" w:cs="Times New Roman" w:eastAsia="Times New Roman" w:hAnsi="Times New Roman"/>
                <w:sz w:val="16"/>
                <w:szCs w:val="16"/>
                <w:color w:val="auto"/>
              </w:rPr>
              <w:t>2,860</w:t>
            </w:r>
          </w:p>
        </w:tc>
        <w:tc>
          <w:tcPr>
            <w:tcW w:w="300" w:type="dxa"/>
            <w:vAlign w:val="bottom"/>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Borders>
              <w:right w:val="single" w:sz="8" w:color="auto"/>
            </w:tcBorders>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(2,610)</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Payer swaptions</w:t>
            </w:r>
          </w:p>
        </w:tc>
        <w:tc>
          <w:tcPr>
            <w:tcW w:w="94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Pr>
          <w:p>
            <w:pPr>
              <w:jc w:val="right"/>
              <w:ind w:right="160"/>
              <w:spacing w:after="0"/>
              <w:rPr>
                <w:sz w:val="20"/>
                <w:szCs w:val="20"/>
                <w:color w:val="auto"/>
              </w:rPr>
            </w:pPr>
            <w:r>
              <w:rPr>
                <w:rFonts w:ascii="Times New Roman" w:cs="Times New Roman" w:eastAsia="Times New Roman" w:hAnsi="Times New Roman"/>
                <w:sz w:val="16"/>
                <w:szCs w:val="16"/>
                <w:color w:val="auto"/>
              </w:rPr>
              <w:t>13,000</w:t>
            </w:r>
          </w:p>
        </w:tc>
        <w:tc>
          <w:tcPr>
            <w:tcW w:w="124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1,500</w:t>
            </w: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(4,250)</w:t>
            </w:r>
          </w:p>
        </w:tc>
        <w:tc>
          <w:tcPr>
            <w:tcW w:w="3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16"/>
                <w:szCs w:val="16"/>
                <w:color w:val="auto"/>
              </w:rPr>
              <w:t>10,250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363</w:t>
            </w:r>
          </w:p>
        </w:tc>
        <w:tc>
          <w:tcPr>
            <w:tcW w:w="0" w:type="dxa"/>
            <w:vAlign w:val="bottom"/>
          </w:tcPr>
          <w:p>
            <w:pPr>
              <w:spacing w:after="0"/>
              <w:rPr>
                <w:sz w:val="1"/>
                <w:szCs w:val="1"/>
                <w:color w:val="auto"/>
              </w:rPr>
            </w:pPr>
          </w:p>
        </w:tc>
      </w:tr>
      <w:tr>
        <w:trPr>
          <w:trHeight w:val="219"/>
        </w:trPr>
        <w:tc>
          <w:tcPr>
            <w:tcW w:w="3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U.S. Treasury securities - short position</w:t>
            </w:r>
          </w:p>
        </w:tc>
        <w:tc>
          <w:tcPr>
            <w:tcW w:w="940" w:type="dxa"/>
            <w:vAlign w:val="bottom"/>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(9,590)</w:t>
            </w:r>
          </w:p>
        </w:tc>
        <w:tc>
          <w:tcPr>
            <w:tcW w:w="1240" w:type="dxa"/>
            <w:vAlign w:val="bottom"/>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(4,133)</w:t>
            </w:r>
          </w:p>
        </w:tc>
        <w:tc>
          <w:tcPr>
            <w:tcW w:w="1200" w:type="dxa"/>
            <w:vAlign w:val="bottom"/>
            <w:shd w:val="clear" w:color="auto" w:fill="CCEEFF"/>
          </w:tcPr>
          <w:p>
            <w:pPr>
              <w:jc w:val="right"/>
              <w:ind w:right="22"/>
              <w:spacing w:after="0"/>
              <w:rPr>
                <w:sz w:val="20"/>
                <w:szCs w:val="20"/>
                <w:color w:val="auto"/>
              </w:rPr>
            </w:pPr>
            <w:r>
              <w:rPr>
                <w:rFonts w:ascii="Times New Roman" w:cs="Times New Roman" w:eastAsia="Times New Roman" w:hAnsi="Times New Roman"/>
                <w:sz w:val="16"/>
                <w:szCs w:val="16"/>
                <w:color w:val="auto"/>
              </w:rPr>
              <w:t>2,861</w:t>
            </w:r>
          </w:p>
        </w:tc>
        <w:tc>
          <w:tcPr>
            <w:tcW w:w="300" w:type="dxa"/>
            <w:vAlign w:val="bottom"/>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Borders>
              <w:right w:val="single" w:sz="8" w:color="auto"/>
            </w:tcBorders>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(10,862)</w:t>
            </w:r>
          </w:p>
        </w:tc>
        <w:tc>
          <w:tcPr>
            <w:tcW w:w="1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605</w:t>
            </w:r>
          </w:p>
        </w:tc>
        <w:tc>
          <w:tcPr>
            <w:tcW w:w="0" w:type="dxa"/>
            <w:vAlign w:val="bottom"/>
          </w:tcPr>
          <w:p>
            <w:pPr>
              <w:spacing w:after="0"/>
              <w:rPr>
                <w:sz w:val="1"/>
                <w:szCs w:val="1"/>
                <w:color w:val="auto"/>
              </w:rPr>
            </w:pPr>
          </w:p>
        </w:tc>
      </w:tr>
      <w:tr>
        <w:trPr>
          <w:trHeight w:val="213"/>
        </w:trPr>
        <w:tc>
          <w:tcPr>
            <w:tcW w:w="38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U.S. Treasury securities - long position</w:t>
            </w:r>
          </w:p>
        </w:tc>
        <w:tc>
          <w:tcPr>
            <w:tcW w:w="940" w:type="dxa"/>
            <w:vAlign w:val="bottom"/>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Pr>
          <w:p>
            <w:pPr>
              <w:jc w:val="right"/>
              <w:ind w:right="160"/>
              <w:spacing w:after="0"/>
              <w:rPr>
                <w:sz w:val="20"/>
                <w:szCs w:val="20"/>
                <w:color w:val="auto"/>
              </w:rPr>
            </w:pPr>
            <w:r>
              <w:rPr>
                <w:rFonts w:ascii="Times New Roman" w:cs="Times New Roman" w:eastAsia="Times New Roman" w:hAnsi="Times New Roman"/>
                <w:sz w:val="16"/>
                <w:szCs w:val="16"/>
                <w:color w:val="auto"/>
              </w:rPr>
              <w:t>472</w:t>
            </w:r>
          </w:p>
        </w:tc>
        <w:tc>
          <w:tcPr>
            <w:tcW w:w="124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2,251</w:t>
            </w: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(2,020)</w:t>
            </w:r>
          </w:p>
        </w:tc>
        <w:tc>
          <w:tcPr>
            <w:tcW w:w="300" w:type="dxa"/>
            <w:vAlign w:val="bottom"/>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16"/>
                <w:szCs w:val="16"/>
                <w:color w:val="auto"/>
              </w:rPr>
              <w:t>703</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(54)</w:t>
            </w:r>
          </w:p>
        </w:tc>
        <w:tc>
          <w:tcPr>
            <w:tcW w:w="0" w:type="dxa"/>
            <w:vAlign w:val="bottom"/>
          </w:tcPr>
          <w:p>
            <w:pPr>
              <w:spacing w:after="0"/>
              <w:rPr>
                <w:sz w:val="1"/>
                <w:szCs w:val="1"/>
                <w:color w:val="auto"/>
              </w:rPr>
            </w:pPr>
          </w:p>
        </w:tc>
      </w:tr>
      <w:tr>
        <w:trPr>
          <w:trHeight w:val="216"/>
        </w:trPr>
        <w:tc>
          <w:tcPr>
            <w:tcW w:w="3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U.S. Treasury futures contracts - short position</w:t>
            </w:r>
          </w:p>
        </w:tc>
        <w:tc>
          <w:tcPr>
            <w:tcW w:w="940" w:type="dxa"/>
            <w:vAlign w:val="bottom"/>
            <w:shd w:val="clear" w:color="auto" w:fill="CCEEFF"/>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(1,500)</w:t>
            </w:r>
          </w:p>
        </w:tc>
        <w:tc>
          <w:tcPr>
            <w:tcW w:w="1240" w:type="dxa"/>
            <w:vAlign w:val="bottom"/>
            <w:shd w:val="clear" w:color="auto" w:fill="CCEEFF"/>
          </w:tcPr>
          <w:p>
            <w:pPr>
              <w:jc w:val="right"/>
              <w:ind w:right="80"/>
              <w:spacing w:after="0"/>
              <w:rPr>
                <w:sz w:val="20"/>
                <w:szCs w:val="20"/>
                <w:color w:val="auto"/>
              </w:rPr>
            </w:pPr>
            <w:r>
              <w:rPr>
                <w:rFonts w:ascii="Times New Roman" w:cs="Times New Roman" w:eastAsia="Times New Roman" w:hAnsi="Times New Roman"/>
                <w:sz w:val="16"/>
                <w:szCs w:val="16"/>
                <w:color w:val="auto"/>
              </w:rPr>
              <w:t>(6,870)</w:t>
            </w:r>
          </w:p>
        </w:tc>
        <w:tc>
          <w:tcPr>
            <w:tcW w:w="1200" w:type="dxa"/>
            <w:vAlign w:val="bottom"/>
            <w:shd w:val="clear" w:color="auto" w:fill="CCEEFF"/>
          </w:tcPr>
          <w:p>
            <w:pPr>
              <w:jc w:val="right"/>
              <w:ind w:right="22"/>
              <w:spacing w:after="0"/>
              <w:rPr>
                <w:sz w:val="20"/>
                <w:szCs w:val="20"/>
                <w:color w:val="auto"/>
              </w:rPr>
            </w:pPr>
            <w:r>
              <w:rPr>
                <w:rFonts w:ascii="Times New Roman" w:cs="Times New Roman" w:eastAsia="Times New Roman" w:hAnsi="Times New Roman"/>
                <w:sz w:val="16"/>
                <w:szCs w:val="16"/>
                <w:color w:val="auto"/>
              </w:rPr>
              <w:t>2,985</w:t>
            </w:r>
          </w:p>
        </w:tc>
        <w:tc>
          <w:tcPr>
            <w:tcW w:w="300" w:type="dxa"/>
            <w:vAlign w:val="bottom"/>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60" w:type="dxa"/>
            <w:vAlign w:val="bottom"/>
            <w:tcBorders>
              <w:right w:val="single" w:sz="8" w:color="auto"/>
            </w:tcBorders>
            <w:shd w:val="clear" w:color="auto" w:fill="CCEEFF"/>
          </w:tcPr>
          <w:p>
            <w:pPr>
              <w:jc w:val="right"/>
              <w:ind w:right="60"/>
              <w:spacing w:after="0"/>
              <w:rPr>
                <w:sz w:val="20"/>
                <w:szCs w:val="20"/>
                <w:color w:val="auto"/>
              </w:rPr>
            </w:pPr>
            <w:r>
              <w:rPr>
                <w:rFonts w:ascii="Times New Roman" w:cs="Times New Roman" w:eastAsia="Times New Roman" w:hAnsi="Times New Roman"/>
                <w:sz w:val="16"/>
                <w:szCs w:val="16"/>
                <w:color w:val="auto"/>
              </w:rPr>
              <w:t>(5,385)</w:t>
            </w:r>
          </w:p>
        </w:tc>
        <w:tc>
          <w:tcPr>
            <w:tcW w:w="1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196</w:t>
            </w:r>
          </w:p>
        </w:tc>
        <w:tc>
          <w:tcPr>
            <w:tcW w:w="0" w:type="dxa"/>
            <w:vAlign w:val="bottom"/>
          </w:tcPr>
          <w:p>
            <w:pPr>
              <w:spacing w:after="0"/>
              <w:rPr>
                <w:sz w:val="1"/>
                <w:szCs w:val="1"/>
                <w:color w:val="auto"/>
              </w:rPr>
            </w:pPr>
          </w:p>
        </w:tc>
      </w:tr>
      <w:tr>
        <w:trPr>
          <w:trHeight w:val="250"/>
        </w:trPr>
        <w:tc>
          <w:tcPr>
            <w:tcW w:w="388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24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6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w w:val="99"/>
              </w:rPr>
              <w:t>$</w:t>
            </w:r>
          </w:p>
        </w:tc>
        <w:tc>
          <w:tcPr>
            <w:tcW w:w="12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1,833</w:t>
            </w:r>
          </w:p>
        </w:tc>
        <w:tc>
          <w:tcPr>
            <w:tcW w:w="0" w:type="dxa"/>
            <w:vAlign w:val="bottom"/>
          </w:tcPr>
          <w:p>
            <w:pPr>
              <w:spacing w:after="0"/>
              <w:rPr>
                <w:sz w:val="1"/>
                <w:szCs w:val="1"/>
                <w:color w:val="auto"/>
              </w:rPr>
            </w:pPr>
          </w:p>
        </w:tc>
      </w:tr>
      <w:tr>
        <w:trPr>
          <w:trHeight w:val="226"/>
        </w:trPr>
        <w:tc>
          <w:tcPr>
            <w:tcW w:w="3880" w:type="dxa"/>
            <w:vAlign w:val="bottom"/>
            <w:tcBorders>
              <w:top w:val="single" w:sz="8" w:color="CCEEFF"/>
            </w:tcBorders>
            <w:shd w:val="clear" w:color="auto" w:fill="CCEEFF"/>
          </w:tcPr>
          <w:p>
            <w:pPr>
              <w:spacing w:after="0"/>
              <w:rPr>
                <w:sz w:val="19"/>
                <w:szCs w:val="19"/>
                <w:color w:val="auto"/>
              </w:rPr>
            </w:pPr>
          </w:p>
        </w:tc>
        <w:tc>
          <w:tcPr>
            <w:tcW w:w="940" w:type="dxa"/>
            <w:vAlign w:val="bottom"/>
            <w:tcBorders>
              <w:top w:val="single" w:sz="8" w:color="CCEEFF"/>
            </w:tcBorders>
            <w:shd w:val="clear" w:color="auto" w:fill="CCEEFF"/>
          </w:tcPr>
          <w:p>
            <w:pPr>
              <w:spacing w:after="0"/>
              <w:rPr>
                <w:sz w:val="19"/>
                <w:szCs w:val="19"/>
                <w:color w:val="auto"/>
              </w:rPr>
            </w:pPr>
          </w:p>
        </w:tc>
        <w:tc>
          <w:tcPr>
            <w:tcW w:w="1160" w:type="dxa"/>
            <w:vAlign w:val="bottom"/>
            <w:tcBorders>
              <w:top w:val="single" w:sz="8" w:color="CCEEFF"/>
            </w:tcBorders>
            <w:shd w:val="clear" w:color="auto" w:fill="CCEEFF"/>
          </w:tcPr>
          <w:p>
            <w:pPr>
              <w:spacing w:after="0"/>
              <w:rPr>
                <w:sz w:val="19"/>
                <w:szCs w:val="19"/>
                <w:color w:val="auto"/>
              </w:rPr>
            </w:pPr>
          </w:p>
        </w:tc>
        <w:tc>
          <w:tcPr>
            <w:tcW w:w="1240" w:type="dxa"/>
            <w:vAlign w:val="bottom"/>
            <w:tcBorders>
              <w:top w:val="single" w:sz="8" w:color="CCEEFF"/>
            </w:tcBorders>
            <w:shd w:val="clear" w:color="auto" w:fill="CCEEFF"/>
          </w:tcPr>
          <w:p>
            <w:pPr>
              <w:spacing w:after="0"/>
              <w:rPr>
                <w:sz w:val="19"/>
                <w:szCs w:val="19"/>
                <w:color w:val="auto"/>
              </w:rPr>
            </w:pPr>
          </w:p>
        </w:tc>
        <w:tc>
          <w:tcPr>
            <w:tcW w:w="1200" w:type="dxa"/>
            <w:vAlign w:val="bottom"/>
            <w:tcBorders>
              <w:top w:val="single" w:sz="8" w:color="CCEEFF"/>
            </w:tcBorders>
            <w:shd w:val="clear" w:color="auto" w:fill="CCEEFF"/>
          </w:tcPr>
          <w:p>
            <w:pPr>
              <w:spacing w:after="0"/>
              <w:rPr>
                <w:sz w:val="19"/>
                <w:szCs w:val="19"/>
                <w:color w:val="auto"/>
              </w:rPr>
            </w:pPr>
          </w:p>
        </w:tc>
        <w:tc>
          <w:tcPr>
            <w:tcW w:w="300" w:type="dxa"/>
            <w:vAlign w:val="bottom"/>
            <w:tcBorders>
              <w:top w:val="single" w:sz="8" w:color="CCEEFF"/>
            </w:tcBorders>
            <w:shd w:val="clear" w:color="auto" w:fill="CCEEFF"/>
          </w:tcPr>
          <w:p>
            <w:pPr>
              <w:spacing w:after="0"/>
              <w:rPr>
                <w:sz w:val="19"/>
                <w:szCs w:val="19"/>
                <w:color w:val="auto"/>
              </w:rPr>
            </w:pPr>
          </w:p>
        </w:tc>
        <w:tc>
          <w:tcPr>
            <w:tcW w:w="1060" w:type="dxa"/>
            <w:vAlign w:val="bottom"/>
            <w:tcBorders>
              <w:top w:val="single" w:sz="8" w:color="CCEEFF"/>
              <w:right w:val="single" w:sz="8" w:color="CCEEFF"/>
            </w:tcBorders>
            <w:shd w:val="clear" w:color="auto" w:fill="CCEEFF"/>
          </w:tcPr>
          <w:p>
            <w:pPr>
              <w:spacing w:after="0"/>
              <w:rPr>
                <w:sz w:val="19"/>
                <w:szCs w:val="19"/>
                <w:color w:val="auto"/>
              </w:rPr>
            </w:pPr>
          </w:p>
        </w:tc>
        <w:tc>
          <w:tcPr>
            <w:tcW w:w="100" w:type="dxa"/>
            <w:vAlign w:val="bottom"/>
            <w:tcBorders>
              <w:top w:val="single" w:sz="8" w:color="CCEEFF"/>
            </w:tcBorders>
            <w:shd w:val="clear" w:color="auto" w:fill="CCEEFF"/>
          </w:tcPr>
          <w:p>
            <w:pPr>
              <w:spacing w:after="0"/>
              <w:rPr>
                <w:sz w:val="19"/>
                <w:szCs w:val="19"/>
                <w:color w:val="auto"/>
              </w:rPr>
            </w:pPr>
          </w:p>
        </w:tc>
        <w:tc>
          <w:tcPr>
            <w:tcW w:w="120" w:type="dxa"/>
            <w:vAlign w:val="bottom"/>
            <w:tcBorders>
              <w:top w:val="single" w:sz="8" w:color="auto"/>
            </w:tcBorders>
            <w:shd w:val="clear" w:color="auto" w:fill="CCEEFF"/>
          </w:tcPr>
          <w:p>
            <w:pPr>
              <w:spacing w:after="0"/>
              <w:rPr>
                <w:sz w:val="19"/>
                <w:szCs w:val="19"/>
                <w:color w:val="auto"/>
              </w:rPr>
            </w:pPr>
          </w:p>
        </w:tc>
        <w:tc>
          <w:tcPr>
            <w:tcW w:w="1200" w:type="dxa"/>
            <w:vAlign w:val="bottom"/>
            <w:tcBorders>
              <w:top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87" w:right="339" w:bottom="1440" w:gutter="0" w:footer="0" w:header="0"/>
        </w:sectPr>
      </w:pPr>
    </w:p>
    <w:bookmarkStart w:id="18" w:name="page19"/>
    <w:bookmarkEnd w:id="18"/>
    <w:tbl>
      <w:tblPr>
        <w:tblLayout w:type="fixed"/>
        <w:tblInd w:w="0" w:type="dxa"/>
        <w:tblCellMar>
          <w:top w:w="0" w:type="dxa"/>
          <w:left w:w="0" w:type="dxa"/>
          <w:bottom w:w="0" w:type="dxa"/>
          <w:right w:w="0" w:type="dxa"/>
        </w:tblCellMar>
      </w:tblPr>
      <w:tr>
        <w:trPr>
          <w:trHeight w:val="215"/>
        </w:trPr>
        <w:tc>
          <w:tcPr>
            <w:tcW w:w="3860" w:type="dxa"/>
            <w:vAlign w:val="bottom"/>
          </w:tcPr>
          <w:p>
            <w:pPr>
              <w:ind w:left="20"/>
              <w:spacing w:after="0"/>
              <w:rPr>
                <w:sz w:val="20"/>
                <w:szCs w:val="20"/>
                <w:color w:val="auto"/>
              </w:rPr>
            </w:pPr>
            <w:r>
              <w:rPr>
                <w:rFonts w:ascii="Times New Roman" w:cs="Times New Roman" w:eastAsia="Times New Roman" w:hAnsi="Times New Roman"/>
                <w:sz w:val="16"/>
                <w:szCs w:val="16"/>
                <w:b w:val="1"/>
                <w:bCs w:val="1"/>
                <w:color w:val="auto"/>
              </w:rPr>
              <w:t>Three months ended March 31, 2021:</w:t>
            </w:r>
          </w:p>
        </w:tc>
        <w:tc>
          <w:tcPr>
            <w:tcW w:w="11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20" w:type="dxa"/>
            <w:vAlign w:val="bottom"/>
          </w:tcPr>
          <w:p>
            <w:pPr>
              <w:spacing w:after="0"/>
              <w:rPr>
                <w:sz w:val="18"/>
                <w:szCs w:val="18"/>
                <w:color w:val="auto"/>
              </w:rPr>
            </w:pPr>
          </w:p>
        </w:tc>
      </w:tr>
      <w:tr>
        <w:trPr>
          <w:trHeight w:val="219"/>
        </w:trPr>
        <w:tc>
          <w:tcPr>
            <w:tcW w:w="3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TBA securities, net</w:t>
            </w:r>
          </w:p>
        </w:tc>
        <w:tc>
          <w:tcPr>
            <w:tcW w:w="1120" w:type="dxa"/>
            <w:vAlign w:val="bottom"/>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shd w:val="clear" w:color="auto" w:fill="CCEEFF"/>
          </w:tcPr>
          <w:p>
            <w:pPr>
              <w:jc w:val="right"/>
              <w:ind w:right="359"/>
              <w:spacing w:after="0"/>
              <w:rPr>
                <w:sz w:val="20"/>
                <w:szCs w:val="20"/>
                <w:color w:val="auto"/>
              </w:rPr>
            </w:pPr>
            <w:r>
              <w:rPr>
                <w:rFonts w:ascii="Times New Roman" w:cs="Times New Roman" w:eastAsia="Times New Roman" w:hAnsi="Times New Roman"/>
                <w:sz w:val="16"/>
                <w:szCs w:val="16"/>
                <w:color w:val="auto"/>
              </w:rPr>
              <w:t>30,364</w:t>
            </w:r>
          </w:p>
        </w:tc>
        <w:tc>
          <w:tcPr>
            <w:tcW w:w="1260" w:type="dxa"/>
            <w:vAlign w:val="bottom"/>
            <w:shd w:val="clear" w:color="auto" w:fill="CCEEFF"/>
          </w:tcPr>
          <w:p>
            <w:pPr>
              <w:jc w:val="right"/>
              <w:ind w:right="339"/>
              <w:spacing w:after="0"/>
              <w:rPr>
                <w:sz w:val="20"/>
                <w:szCs w:val="20"/>
                <w:color w:val="auto"/>
              </w:rPr>
            </w:pPr>
            <w:r>
              <w:rPr>
                <w:rFonts w:ascii="Times New Roman" w:cs="Times New Roman" w:eastAsia="Times New Roman" w:hAnsi="Times New Roman"/>
                <w:sz w:val="16"/>
                <w:szCs w:val="16"/>
                <w:color w:val="auto"/>
              </w:rPr>
              <w:t>93,336</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(99,182)</w:t>
            </w:r>
          </w:p>
        </w:tc>
        <w:tc>
          <w:tcPr>
            <w:tcW w:w="420" w:type="dxa"/>
            <w:vAlign w:val="bottom"/>
            <w:shd w:val="clear" w:color="auto" w:fill="CCEEFF"/>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24,518</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jc w:val="right"/>
              <w:ind w:right="319"/>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(926)</w:t>
            </w:r>
          </w:p>
        </w:tc>
      </w:tr>
      <w:tr>
        <w:trPr>
          <w:trHeight w:val="213"/>
        </w:trPr>
        <w:tc>
          <w:tcPr>
            <w:tcW w:w="386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Interest rate swaps - payer</w:t>
            </w:r>
          </w:p>
        </w:tc>
        <w:tc>
          <w:tcPr>
            <w:tcW w:w="112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tcPr>
          <w:p>
            <w:pPr>
              <w:jc w:val="right"/>
              <w:ind w:right="359"/>
              <w:spacing w:after="0"/>
              <w:rPr>
                <w:sz w:val="20"/>
                <w:szCs w:val="20"/>
                <w:color w:val="auto"/>
              </w:rPr>
            </w:pPr>
            <w:r>
              <w:rPr>
                <w:rFonts w:ascii="Times New Roman" w:cs="Times New Roman" w:eastAsia="Times New Roman" w:hAnsi="Times New Roman"/>
                <w:sz w:val="16"/>
                <w:szCs w:val="16"/>
                <w:color w:val="auto"/>
              </w:rPr>
              <w:t>43,225</w:t>
            </w:r>
          </w:p>
        </w:tc>
        <w:tc>
          <w:tcPr>
            <w:tcW w:w="1260" w:type="dxa"/>
            <w:vAlign w:val="bottom"/>
          </w:tcPr>
          <w:p>
            <w:pPr>
              <w:jc w:val="right"/>
              <w:ind w:right="339"/>
              <w:spacing w:after="0"/>
              <w:rPr>
                <w:sz w:val="20"/>
                <w:szCs w:val="20"/>
                <w:color w:val="auto"/>
              </w:rPr>
            </w:pPr>
            <w:r>
              <w:rPr>
                <w:rFonts w:ascii="Times New Roman" w:cs="Times New Roman" w:eastAsia="Times New Roman" w:hAnsi="Times New Roman"/>
                <w:sz w:val="16"/>
                <w:szCs w:val="16"/>
                <w:color w:val="auto"/>
              </w:rPr>
              <w:t>7,000</w:t>
            </w:r>
          </w:p>
        </w:tc>
        <w:tc>
          <w:tcPr>
            <w:tcW w:w="98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(500)</w:t>
            </w:r>
          </w:p>
        </w:tc>
        <w:tc>
          <w:tcPr>
            <w:tcW w:w="420" w:type="dxa"/>
            <w:vAlign w:val="bottom"/>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Borders>
              <w:right w:val="single" w:sz="8" w:color="auto"/>
            </w:tcBorders>
          </w:tcPr>
          <w:p>
            <w:pPr>
              <w:jc w:val="right"/>
              <w:ind w:right="99"/>
              <w:spacing w:after="0"/>
              <w:rPr>
                <w:sz w:val="20"/>
                <w:szCs w:val="20"/>
                <w:color w:val="auto"/>
              </w:rPr>
            </w:pPr>
            <w:r>
              <w:rPr>
                <w:rFonts w:ascii="Times New Roman" w:cs="Times New Roman" w:eastAsia="Times New Roman" w:hAnsi="Times New Roman"/>
                <w:sz w:val="16"/>
                <w:szCs w:val="16"/>
                <w:color w:val="auto"/>
              </w:rPr>
              <w:t>49,725</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1,124</w:t>
            </w:r>
          </w:p>
        </w:tc>
      </w:tr>
      <w:tr>
        <w:trPr>
          <w:trHeight w:val="219"/>
        </w:trPr>
        <w:tc>
          <w:tcPr>
            <w:tcW w:w="3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Payer swaptions</w:t>
            </w:r>
          </w:p>
        </w:tc>
        <w:tc>
          <w:tcPr>
            <w:tcW w:w="1120" w:type="dxa"/>
            <w:vAlign w:val="bottom"/>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shd w:val="clear" w:color="auto" w:fill="CCEEFF"/>
          </w:tcPr>
          <w:p>
            <w:pPr>
              <w:jc w:val="right"/>
              <w:ind w:right="359"/>
              <w:spacing w:after="0"/>
              <w:rPr>
                <w:sz w:val="20"/>
                <w:szCs w:val="20"/>
                <w:color w:val="auto"/>
              </w:rPr>
            </w:pPr>
            <w:r>
              <w:rPr>
                <w:rFonts w:ascii="Times New Roman" w:cs="Times New Roman" w:eastAsia="Times New Roman" w:hAnsi="Times New Roman"/>
                <w:sz w:val="16"/>
                <w:szCs w:val="16"/>
                <w:color w:val="auto"/>
              </w:rPr>
              <w:t>10,400</w:t>
            </w:r>
          </w:p>
        </w:tc>
        <w:tc>
          <w:tcPr>
            <w:tcW w:w="1260" w:type="dxa"/>
            <w:vAlign w:val="bottom"/>
            <w:shd w:val="clear" w:color="auto" w:fill="CCEEFF"/>
          </w:tcPr>
          <w:p>
            <w:pPr>
              <w:jc w:val="right"/>
              <w:ind w:right="339"/>
              <w:spacing w:after="0"/>
              <w:rPr>
                <w:sz w:val="20"/>
                <w:szCs w:val="20"/>
                <w:color w:val="auto"/>
              </w:rPr>
            </w:pPr>
            <w:r>
              <w:rPr>
                <w:rFonts w:ascii="Times New Roman" w:cs="Times New Roman" w:eastAsia="Times New Roman" w:hAnsi="Times New Roman"/>
                <w:sz w:val="16"/>
                <w:szCs w:val="16"/>
                <w:color w:val="auto"/>
              </w:rPr>
              <w:t>4,250</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(1,500)</w:t>
            </w:r>
          </w:p>
        </w:tc>
        <w:tc>
          <w:tcPr>
            <w:tcW w:w="420" w:type="dxa"/>
            <w:vAlign w:val="bottom"/>
            <w:shd w:val="clear" w:color="auto" w:fill="CCEEFF"/>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13,150</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387</w:t>
            </w:r>
          </w:p>
        </w:tc>
      </w:tr>
      <w:tr>
        <w:trPr>
          <w:trHeight w:val="213"/>
        </w:trPr>
        <w:tc>
          <w:tcPr>
            <w:tcW w:w="386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U.S. Treasury securities - short position</w:t>
            </w:r>
          </w:p>
        </w:tc>
        <w:tc>
          <w:tcPr>
            <w:tcW w:w="112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tcPr>
          <w:p>
            <w:pPr>
              <w:jc w:val="right"/>
              <w:ind w:right="319"/>
              <w:spacing w:after="0"/>
              <w:rPr>
                <w:sz w:val="20"/>
                <w:szCs w:val="20"/>
                <w:color w:val="auto"/>
              </w:rPr>
            </w:pPr>
            <w:r>
              <w:rPr>
                <w:rFonts w:ascii="Times New Roman" w:cs="Times New Roman" w:eastAsia="Times New Roman" w:hAnsi="Times New Roman"/>
                <w:sz w:val="16"/>
                <w:szCs w:val="16"/>
                <w:color w:val="auto"/>
              </w:rPr>
              <w:t>(11,287)</w:t>
            </w:r>
          </w:p>
        </w:tc>
        <w:tc>
          <w:tcPr>
            <w:tcW w:w="1260" w:type="dxa"/>
            <w:vAlign w:val="bottom"/>
          </w:tcPr>
          <w:p>
            <w:pPr>
              <w:jc w:val="right"/>
              <w:ind w:right="299"/>
              <w:spacing w:after="0"/>
              <w:rPr>
                <w:sz w:val="20"/>
                <w:szCs w:val="20"/>
                <w:color w:val="auto"/>
              </w:rPr>
            </w:pPr>
            <w:r>
              <w:rPr>
                <w:rFonts w:ascii="Times New Roman" w:cs="Times New Roman" w:eastAsia="Times New Roman" w:hAnsi="Times New Roman"/>
                <w:sz w:val="16"/>
                <w:szCs w:val="16"/>
                <w:color w:val="auto"/>
              </w:rPr>
              <w:t>(7,261)</w:t>
            </w:r>
          </w:p>
        </w:tc>
        <w:tc>
          <w:tcPr>
            <w:tcW w:w="98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3,021</w:t>
            </w:r>
          </w:p>
        </w:tc>
        <w:tc>
          <w:tcPr>
            <w:tcW w:w="420" w:type="dxa"/>
            <w:vAlign w:val="bottom"/>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Borders>
              <w:right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color w:val="auto"/>
              </w:rPr>
              <w:t>(15,527)</w:t>
            </w:r>
          </w:p>
        </w:tc>
        <w:tc>
          <w:tcPr>
            <w:tcW w:w="10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807</w:t>
            </w:r>
          </w:p>
        </w:tc>
      </w:tr>
      <w:tr>
        <w:trPr>
          <w:trHeight w:val="219"/>
        </w:trPr>
        <w:tc>
          <w:tcPr>
            <w:tcW w:w="38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U.S. Treasury securities - long position</w:t>
            </w:r>
          </w:p>
        </w:tc>
        <w:tc>
          <w:tcPr>
            <w:tcW w:w="1120" w:type="dxa"/>
            <w:vAlign w:val="bottom"/>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shd w:val="clear" w:color="auto" w:fill="CCEEFF"/>
          </w:tcPr>
          <w:p>
            <w:pPr>
              <w:jc w:val="right"/>
              <w:ind w:right="359"/>
              <w:spacing w:after="0"/>
              <w:rPr>
                <w:sz w:val="20"/>
                <w:szCs w:val="20"/>
                <w:color w:val="auto"/>
              </w:rPr>
            </w:pPr>
            <w:r>
              <w:rPr>
                <w:rFonts w:ascii="Times New Roman" w:cs="Times New Roman" w:eastAsia="Times New Roman" w:hAnsi="Times New Roman"/>
                <w:sz w:val="16"/>
                <w:szCs w:val="16"/>
                <w:color w:val="auto"/>
              </w:rPr>
              <w:t>—</w:t>
            </w:r>
          </w:p>
        </w:tc>
        <w:tc>
          <w:tcPr>
            <w:tcW w:w="1260" w:type="dxa"/>
            <w:vAlign w:val="bottom"/>
            <w:shd w:val="clear" w:color="auto" w:fill="CCEEFF"/>
          </w:tcPr>
          <w:p>
            <w:pPr>
              <w:jc w:val="right"/>
              <w:ind w:right="339"/>
              <w:spacing w:after="0"/>
              <w:rPr>
                <w:sz w:val="20"/>
                <w:szCs w:val="20"/>
                <w:color w:val="auto"/>
              </w:rPr>
            </w:pPr>
            <w:r>
              <w:rPr>
                <w:rFonts w:ascii="Times New Roman" w:cs="Times New Roman" w:eastAsia="Times New Roman" w:hAnsi="Times New Roman"/>
                <w:sz w:val="16"/>
                <w:szCs w:val="16"/>
                <w:color w:val="auto"/>
              </w:rPr>
              <w:t>1,315</w:t>
            </w: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(1,315)</w:t>
            </w:r>
          </w:p>
        </w:tc>
        <w:tc>
          <w:tcPr>
            <w:tcW w:w="420" w:type="dxa"/>
            <w:vAlign w:val="bottom"/>
            <w:shd w:val="clear" w:color="auto" w:fill="CCEEFF"/>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Borders>
              <w:right w:val="single" w:sz="8" w:color="auto"/>
            </w:tcBorders>
            <w:shd w:val="clear" w:color="auto" w:fill="CCEEFF"/>
          </w:tcPr>
          <w:p>
            <w:pPr>
              <w:jc w:val="right"/>
              <w:ind w:right="99"/>
              <w:spacing w:after="0"/>
              <w:rPr>
                <w:sz w:val="20"/>
                <w:szCs w:val="20"/>
                <w:color w:val="auto"/>
              </w:rPr>
            </w:pPr>
            <w:r>
              <w:rPr>
                <w:rFonts w:ascii="Times New Roman" w:cs="Times New Roman" w:eastAsia="Times New Roman" w:hAnsi="Times New Roman"/>
                <w:sz w:val="16"/>
                <w:szCs w:val="16"/>
                <w:color w:val="auto"/>
              </w:rPr>
              <w:t>—</w:t>
            </w:r>
          </w:p>
        </w:tc>
        <w:tc>
          <w:tcPr>
            <w:tcW w:w="100" w:type="dxa"/>
            <w:vAlign w:val="bottom"/>
            <w:shd w:val="clear" w:color="auto" w:fill="CCEEFF"/>
          </w:tcPr>
          <w:p>
            <w:pPr>
              <w:spacing w:after="0"/>
              <w:rPr>
                <w:sz w:val="19"/>
                <w:szCs w:val="19"/>
                <w:color w:val="auto"/>
              </w:rPr>
            </w:pPr>
          </w:p>
        </w:tc>
        <w:tc>
          <w:tcPr>
            <w:tcW w:w="5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(10)</w:t>
            </w:r>
          </w:p>
        </w:tc>
      </w:tr>
      <w:tr>
        <w:trPr>
          <w:trHeight w:val="213"/>
        </w:trPr>
        <w:tc>
          <w:tcPr>
            <w:tcW w:w="38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6"/>
                <w:szCs w:val="16"/>
                <w:color w:val="auto"/>
              </w:rPr>
              <w:t>U.S. Treasury futures contracts - short position</w:t>
            </w:r>
          </w:p>
        </w:tc>
        <w:tc>
          <w:tcPr>
            <w:tcW w:w="1120" w:type="dxa"/>
            <w:vAlign w:val="bottom"/>
            <w:tcBorders>
              <w:bottom w:val="single" w:sz="8" w:color="CCEEFF"/>
            </w:tcBorders>
          </w:tcPr>
          <w:p>
            <w:pPr>
              <w:jc w:val="right"/>
              <w:ind w:right="159"/>
              <w:spacing w:after="0"/>
              <w:rPr>
                <w:sz w:val="20"/>
                <w:szCs w:val="20"/>
                <w:color w:val="auto"/>
              </w:rPr>
            </w:pPr>
            <w:r>
              <w:rPr>
                <w:rFonts w:ascii="Times New Roman" w:cs="Times New Roman" w:eastAsia="Times New Roman" w:hAnsi="Times New Roman"/>
                <w:sz w:val="16"/>
                <w:szCs w:val="16"/>
                <w:color w:val="auto"/>
              </w:rPr>
              <w:t>$</w:t>
            </w:r>
          </w:p>
        </w:tc>
        <w:tc>
          <w:tcPr>
            <w:tcW w:w="1200" w:type="dxa"/>
            <w:vAlign w:val="bottom"/>
            <w:tcBorders>
              <w:bottom w:val="single" w:sz="8" w:color="CCEEFF"/>
            </w:tcBorders>
          </w:tcPr>
          <w:p>
            <w:pPr>
              <w:jc w:val="right"/>
              <w:ind w:right="319"/>
              <w:spacing w:after="0"/>
              <w:rPr>
                <w:sz w:val="20"/>
                <w:szCs w:val="20"/>
                <w:color w:val="auto"/>
              </w:rPr>
            </w:pPr>
            <w:r>
              <w:rPr>
                <w:rFonts w:ascii="Times New Roman" w:cs="Times New Roman" w:eastAsia="Times New Roman" w:hAnsi="Times New Roman"/>
                <w:sz w:val="16"/>
                <w:szCs w:val="16"/>
                <w:color w:val="auto"/>
              </w:rPr>
              <w:t>(1,000)</w:t>
            </w:r>
          </w:p>
        </w:tc>
        <w:tc>
          <w:tcPr>
            <w:tcW w:w="1260" w:type="dxa"/>
            <w:vAlign w:val="bottom"/>
            <w:tcBorders>
              <w:bottom w:val="single" w:sz="8" w:color="CCEEFF"/>
            </w:tcBorders>
          </w:tcPr>
          <w:p>
            <w:pPr>
              <w:jc w:val="right"/>
              <w:ind w:right="299"/>
              <w:spacing w:after="0"/>
              <w:rPr>
                <w:sz w:val="20"/>
                <w:szCs w:val="20"/>
                <w:color w:val="auto"/>
              </w:rPr>
            </w:pPr>
            <w:r>
              <w:rPr>
                <w:rFonts w:ascii="Times New Roman" w:cs="Times New Roman" w:eastAsia="Times New Roman" w:hAnsi="Times New Roman"/>
                <w:sz w:val="16"/>
                <w:szCs w:val="16"/>
                <w:color w:val="auto"/>
              </w:rPr>
              <w:t>(1,000)</w:t>
            </w:r>
          </w:p>
        </w:tc>
        <w:tc>
          <w:tcPr>
            <w:tcW w:w="980" w:type="dxa"/>
            <w:vAlign w:val="bottom"/>
            <w:tcBorders>
              <w:bottom w:val="single" w:sz="8" w:color="CCEEFF"/>
            </w:tcBorders>
          </w:tcPr>
          <w:p>
            <w:pPr>
              <w:jc w:val="right"/>
              <w:ind w:right="19"/>
              <w:spacing w:after="0"/>
              <w:rPr>
                <w:sz w:val="20"/>
                <w:szCs w:val="20"/>
                <w:color w:val="auto"/>
              </w:rPr>
            </w:pPr>
            <w:r>
              <w:rPr>
                <w:rFonts w:ascii="Times New Roman" w:cs="Times New Roman" w:eastAsia="Times New Roman" w:hAnsi="Times New Roman"/>
                <w:sz w:val="16"/>
                <w:szCs w:val="16"/>
                <w:color w:val="auto"/>
              </w:rPr>
              <w:t>1,000</w:t>
            </w:r>
          </w:p>
        </w:tc>
        <w:tc>
          <w:tcPr>
            <w:tcW w:w="420" w:type="dxa"/>
            <w:vAlign w:val="bottom"/>
            <w:tcBorders>
              <w:bottom w:val="single" w:sz="8" w:color="CCEEFF"/>
            </w:tcBorders>
          </w:tcPr>
          <w:p>
            <w:pPr>
              <w:jc w:val="right"/>
              <w:ind w:right="179"/>
              <w:spacing w:after="0"/>
              <w:rPr>
                <w:sz w:val="20"/>
                <w:szCs w:val="20"/>
                <w:color w:val="auto"/>
              </w:rPr>
            </w:pPr>
            <w:r>
              <w:rPr>
                <w:rFonts w:ascii="Times New Roman" w:cs="Times New Roman" w:eastAsia="Times New Roman" w:hAnsi="Times New Roman"/>
                <w:sz w:val="16"/>
                <w:szCs w:val="16"/>
                <w:color w:val="auto"/>
              </w:rPr>
              <w:t>$</w:t>
            </w:r>
          </w:p>
        </w:tc>
        <w:tc>
          <w:tcPr>
            <w:tcW w:w="940" w:type="dxa"/>
            <w:vAlign w:val="bottom"/>
            <w:tcBorders>
              <w:bottom w:val="single" w:sz="8" w:color="CCEEFF"/>
              <w:right w:val="single" w:sz="8" w:color="auto"/>
            </w:tcBorders>
          </w:tcPr>
          <w:p>
            <w:pPr>
              <w:jc w:val="right"/>
              <w:ind w:right="59"/>
              <w:spacing w:after="0"/>
              <w:rPr>
                <w:sz w:val="20"/>
                <w:szCs w:val="20"/>
                <w:color w:val="auto"/>
              </w:rPr>
            </w:pPr>
            <w:r>
              <w:rPr>
                <w:rFonts w:ascii="Times New Roman" w:cs="Times New Roman" w:eastAsia="Times New Roman" w:hAnsi="Times New Roman"/>
                <w:sz w:val="16"/>
                <w:szCs w:val="16"/>
                <w:color w:val="auto"/>
              </w:rPr>
              <w:t>(1,000)</w:t>
            </w:r>
          </w:p>
        </w:tc>
        <w:tc>
          <w:tcPr>
            <w:tcW w:w="100" w:type="dxa"/>
            <w:vAlign w:val="bottom"/>
            <w:tcBorders>
              <w:bottom w:val="single" w:sz="8" w:color="CCEEFF"/>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61</w:t>
            </w:r>
          </w:p>
        </w:tc>
      </w:tr>
      <w:tr>
        <w:trPr>
          <w:trHeight w:val="235"/>
        </w:trPr>
        <w:tc>
          <w:tcPr>
            <w:tcW w:w="386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spacing w:after="0"/>
              <w:rPr>
                <w:sz w:val="19"/>
                <w:szCs w:val="19"/>
                <w:color w:val="auto"/>
              </w:rPr>
            </w:pPr>
          </w:p>
        </w:tc>
        <w:tc>
          <w:tcPr>
            <w:tcW w:w="1260" w:type="dxa"/>
            <w:vAlign w:val="bottom"/>
            <w:tcBorders>
              <w:bottom w:val="single" w:sz="8" w:color="CCEEFF"/>
            </w:tcBorders>
            <w:shd w:val="clear" w:color="auto" w:fill="CCEEFF"/>
          </w:tcPr>
          <w:p>
            <w:pPr>
              <w:spacing w:after="0"/>
              <w:rPr>
                <w:sz w:val="19"/>
                <w:szCs w:val="19"/>
                <w:color w:val="auto"/>
              </w:rPr>
            </w:pPr>
          </w:p>
        </w:tc>
        <w:tc>
          <w:tcPr>
            <w:tcW w:w="980" w:type="dxa"/>
            <w:vAlign w:val="bottom"/>
            <w:tcBorders>
              <w:bottom w:val="single" w:sz="8" w:color="CCEEFF"/>
            </w:tcBorders>
            <w:shd w:val="clear" w:color="auto" w:fill="CCEEFF"/>
          </w:tcPr>
          <w:p>
            <w:pPr>
              <w:spacing w:after="0"/>
              <w:rPr>
                <w:sz w:val="19"/>
                <w:szCs w:val="19"/>
                <w:color w:val="auto"/>
              </w:rPr>
            </w:pPr>
          </w:p>
        </w:tc>
        <w:tc>
          <w:tcPr>
            <w:tcW w:w="420" w:type="dxa"/>
            <w:vAlign w:val="bottom"/>
            <w:tcBorders>
              <w:bottom w:val="single" w:sz="8" w:color="CCEEFF"/>
            </w:tcBorders>
            <w:shd w:val="clear" w:color="auto" w:fill="CCEEFF"/>
          </w:tcPr>
          <w:p>
            <w:pPr>
              <w:spacing w:after="0"/>
              <w:rPr>
                <w:sz w:val="19"/>
                <w:szCs w:val="19"/>
                <w:color w:val="auto"/>
              </w:rPr>
            </w:pPr>
          </w:p>
        </w:tc>
        <w:tc>
          <w:tcPr>
            <w:tcW w:w="940" w:type="dxa"/>
            <w:vAlign w:val="bottom"/>
            <w:tcBorders>
              <w:bottom w:val="single" w:sz="8" w:color="CCEEFF"/>
              <w:right w:val="single" w:sz="8" w:color="auto"/>
            </w:tcBorders>
            <w:shd w:val="clear" w:color="auto" w:fill="CCEEFF"/>
          </w:tcPr>
          <w:p>
            <w:pPr>
              <w:spacing w:after="0"/>
              <w:rPr>
                <w:sz w:val="19"/>
                <w:szCs w:val="19"/>
                <w:color w:val="auto"/>
              </w:rPr>
            </w:pPr>
          </w:p>
        </w:tc>
        <w:tc>
          <w:tcPr>
            <w:tcW w:w="100" w:type="dxa"/>
            <w:vAlign w:val="bottom"/>
            <w:tcBorders>
              <w:bottom w:val="single" w:sz="8" w:color="CCEEFF"/>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ind w:right="319"/>
              <w:spacing w:after="0"/>
              <w:rPr>
                <w:sz w:val="20"/>
                <w:szCs w:val="20"/>
                <w:color w:val="auto"/>
              </w:rPr>
            </w:pPr>
            <w:r>
              <w:rPr>
                <w:rFonts w:ascii="Times New Roman" w:cs="Times New Roman" w:eastAsia="Times New Roman" w:hAnsi="Times New Roman"/>
                <w:sz w:val="16"/>
                <w:szCs w:val="16"/>
                <w:color w:val="auto"/>
                <w:w w:val="9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1,443</w:t>
            </w:r>
          </w:p>
        </w:tc>
      </w:tr>
      <w:tr>
        <w:trPr>
          <w:trHeight w:val="20"/>
        </w:trPr>
        <w:tc>
          <w:tcPr>
            <w:tcW w:w="386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200" w:type="dxa"/>
            <w:vAlign w:val="bottom"/>
            <w:tcBorders>
              <w:top w:val="single" w:sz="8" w:color="CCEEFF"/>
            </w:tcBorders>
          </w:tcPr>
          <w:p>
            <w:pPr>
              <w:spacing w:after="0" w:line="20" w:lineRule="exact"/>
              <w:rPr>
                <w:sz w:val="1"/>
                <w:szCs w:val="1"/>
                <w:color w:val="auto"/>
              </w:rPr>
            </w:pPr>
          </w:p>
        </w:tc>
        <w:tc>
          <w:tcPr>
            <w:tcW w:w="1260" w:type="dxa"/>
            <w:vAlign w:val="bottom"/>
            <w:tcBorders>
              <w:top w:val="single" w:sz="8" w:color="CCEEFF"/>
            </w:tcBorders>
          </w:tcPr>
          <w:p>
            <w:pPr>
              <w:spacing w:after="0" w:line="20" w:lineRule="exact"/>
              <w:rPr>
                <w:sz w:val="1"/>
                <w:szCs w:val="1"/>
                <w:color w:val="auto"/>
              </w:rPr>
            </w:pPr>
          </w:p>
        </w:tc>
        <w:tc>
          <w:tcPr>
            <w:tcW w:w="980" w:type="dxa"/>
            <w:vAlign w:val="bottom"/>
            <w:tcBorders>
              <w:top w:val="single" w:sz="8" w:color="CCEEFF"/>
            </w:tcBorders>
          </w:tcPr>
          <w:p>
            <w:pPr>
              <w:spacing w:after="0" w:line="20" w:lineRule="exact"/>
              <w:rPr>
                <w:sz w:val="1"/>
                <w:szCs w:val="1"/>
                <w:color w:val="auto"/>
              </w:rPr>
            </w:pPr>
          </w:p>
        </w:tc>
        <w:tc>
          <w:tcPr>
            <w:tcW w:w="420" w:type="dxa"/>
            <w:vAlign w:val="bottom"/>
            <w:tcBorders>
              <w:top w:val="single" w:sz="8" w:color="CCEEFF"/>
            </w:tcBorders>
          </w:tcPr>
          <w:p>
            <w:pPr>
              <w:spacing w:after="0" w:line="20" w:lineRule="exact"/>
              <w:rPr>
                <w:sz w:val="1"/>
                <w:szCs w:val="1"/>
                <w:color w:val="auto"/>
              </w:rPr>
            </w:pPr>
          </w:p>
        </w:tc>
        <w:tc>
          <w:tcPr>
            <w:tcW w:w="94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bl>
    <w:p>
      <w:pPr>
        <w:spacing w:after="0" w:line="67"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right="20" w:hanging="328"/>
        <w:spacing w:after="0" w:line="260" w:lineRule="auto"/>
        <w:tabs>
          <w:tab w:leader="none" w:pos="660" w:val="left"/>
        </w:tabs>
        <w:numPr>
          <w:ilvl w:val="0"/>
          <w:numId w:val="1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Amounts exclude other miscellaneous gains and losses recognized in gain (loss) on derivative instruments and other securities, net in our consolidated statements of comprehensive income.</w:t>
      </w:r>
    </w:p>
    <w:p>
      <w:pPr>
        <w:spacing w:after="0" w:line="200" w:lineRule="exact"/>
        <w:rPr>
          <w:sz w:val="20"/>
          <w:szCs w:val="20"/>
          <w:color w:val="auto"/>
        </w:rPr>
      </w:pPr>
    </w:p>
    <w:p>
      <w:pPr>
        <w:spacing w:after="0" w:line="26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6. Pledged Assets</w:t>
      </w:r>
    </w:p>
    <w:p>
      <w:pPr>
        <w:spacing w:after="0" w:line="175" w:lineRule="exact"/>
        <w:rPr>
          <w:sz w:val="20"/>
          <w:szCs w:val="20"/>
          <w:color w:val="auto"/>
        </w:rPr>
      </w:pPr>
    </w:p>
    <w:p>
      <w:pPr>
        <w:jc w:val="both"/>
        <w:ind w:firstLine="405"/>
        <w:spacing w:after="0" w:line="254" w:lineRule="auto"/>
        <w:rPr>
          <w:sz w:val="20"/>
          <w:szCs w:val="20"/>
          <w:color w:val="auto"/>
        </w:rPr>
      </w:pPr>
      <w:r>
        <w:rPr>
          <w:rFonts w:ascii="Times New Roman" w:cs="Times New Roman" w:eastAsia="Times New Roman" w:hAnsi="Times New Roman"/>
          <w:sz w:val="18"/>
          <w:szCs w:val="18"/>
          <w:color w:val="auto"/>
        </w:rPr>
        <w:t>Our funding agreements require us to fully collateralize our obligations under the agreements based upon our counterparties' collateral requirements and their determination of the fair value of the securities pledged as collateral, which fluctuates with changes in interest rates, credit quality and liquidity conditions within the investment banking, mortgage finance and real estate industries. Our derivative contracts similarly require us to fully collateralize our obligations under such agreements, which will vary over time based on similar factors as well as our counterparties' determination of the value of the derivative contract. We are typically required to post initial margin upon execution of derivative transactions, such as under our interest rate swap agreements and TBA contracts, and subsequently post or receive variation margin based on daily fluctuations in fair value. Our brokerage and custody agreements and the clearing organizations utilized by our wholly-owned captive broker-dealer subsidiary, Bethesda Securities, LLC, also require that we post minimum daily clearing deposits. If we breach our collateral requirements, we will be required to fully settle our obligations under the agreements, which could include a forced liquidation of our pledged collateral.</w:t>
      </w:r>
    </w:p>
    <w:p>
      <w:pPr>
        <w:spacing w:after="0" w:line="134" w:lineRule="exact"/>
        <w:rPr>
          <w:sz w:val="20"/>
          <w:szCs w:val="20"/>
          <w:color w:val="auto"/>
        </w:rPr>
      </w:pPr>
    </w:p>
    <w:p>
      <w:pPr>
        <w:jc w:val="both"/>
        <w:ind w:firstLine="405"/>
        <w:spacing w:after="0" w:line="253" w:lineRule="auto"/>
        <w:rPr>
          <w:sz w:val="20"/>
          <w:szCs w:val="20"/>
          <w:color w:val="auto"/>
        </w:rPr>
      </w:pPr>
      <w:r>
        <w:rPr>
          <w:rFonts w:ascii="Times New Roman" w:cs="Times New Roman" w:eastAsia="Times New Roman" w:hAnsi="Times New Roman"/>
          <w:sz w:val="18"/>
          <w:szCs w:val="18"/>
          <w:color w:val="auto"/>
        </w:rPr>
        <w:t>Our counterparties also apply a "haircut" to our pledged collateral, which means our collateral is valued at slightly less than market value and limits the amount we can borrow against our securities. This haircut reflects the underlying risk of the specific collateral and protects our counterparty against a change in its value. Our agreements do not specify the haircut; rather, haircuts are determined on an individual transaction basis. Consequently, our funding agreements and derivative contracts expose us to credit risk relating to potential losses that could be recognized if our counterparties fail to perform their obligations under such agreements. We minimize this risk by limiting our counterparties to major financial institutions with acceptable credit ratings or to registered clearinghouses and U.S. government agencies, and we monitor our positions with individual counterparties. In the event of a default by a counterparty, we may have difficulty obtaining our assets pledged as collateral to such counterparty and may not receive payments as and when due to us under the terms of our derivative agreements. In the case of centrally cleared instruments, we could be exposed to credit risk if the central clearing agency or a clearing member defaults on its respective obligation to perform under the contract. However, we believe that the risk is minimal due to the clearing exchanges' initial and daily mark-to-market margin requirements, clearinghouse guarantee funds and other resources that are available in the event of a clearing member default.</w:t>
      </w:r>
    </w:p>
    <w:p>
      <w:pPr>
        <w:spacing w:after="0" w:line="138"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As of March 31, 2022, our maximum amount at risk with any counterparty related to our repurchase agreements, excluding the Fixed Income Clearing Corporation, was less than 2% of our tangible stockholders' equity (or the excess/shortfall of the value of collateral pledged/received over our repurchase agreement liabilities/reverse repurchase agreement receivables). As of March 31, 2022, approximately 8% of our tangible stockholder's equity was at risk with the Fixed Income Clearing Corporation.</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34" w:right="339" w:bottom="1440" w:gutter="0" w:footer="0" w:header="0"/>
        </w:sectPr>
      </w:pPr>
    </w:p>
    <w:bookmarkStart w:id="19" w:name="page20"/>
    <w:bookmarkEnd w:id="19"/>
    <w:p>
      <w:pPr>
        <w:spacing w:after="0"/>
        <w:rPr>
          <w:sz w:val="20"/>
          <w:szCs w:val="20"/>
          <w:color w:val="auto"/>
        </w:rPr>
      </w:pPr>
      <w:r>
        <w:rPr>
          <w:rFonts w:ascii="Times New Roman" w:cs="Times New Roman" w:eastAsia="Times New Roman" w:hAnsi="Times New Roman"/>
          <w:sz w:val="18"/>
          <w:szCs w:val="18"/>
          <w:b w:val="1"/>
          <w:bCs w:val="1"/>
          <w:i w:val="1"/>
          <w:iCs w:val="1"/>
          <w:color w:val="auto"/>
        </w:rPr>
        <w:t>Assets Pledged to Counterparties</w:t>
      </w:r>
    </w:p>
    <w:p>
      <w:pPr>
        <w:spacing w:after="0" w:line="175" w:lineRule="exact"/>
        <w:rPr>
          <w:sz w:val="20"/>
          <w:szCs w:val="20"/>
          <w:color w:val="auto"/>
        </w:rPr>
      </w:pPr>
    </w:p>
    <w:p>
      <w:pPr>
        <w:ind w:firstLine="445"/>
        <w:spacing w:after="0" w:line="270" w:lineRule="auto"/>
        <w:rPr>
          <w:sz w:val="20"/>
          <w:szCs w:val="20"/>
          <w:color w:val="auto"/>
        </w:rPr>
      </w:pPr>
      <w:r>
        <w:rPr>
          <w:rFonts w:ascii="Times New Roman" w:cs="Times New Roman" w:eastAsia="Times New Roman" w:hAnsi="Times New Roman"/>
          <w:sz w:val="18"/>
          <w:szCs w:val="18"/>
          <w:color w:val="auto"/>
        </w:rPr>
        <w:t>The following tables summarize our assets pledged as collateral under our funding, derivative and brokerage and clearing agreements by type, including securities pledged related to securities sold but not yet settled, as of March 31, 2022 and December 31, 2021 (in millions):</w:t>
      </w:r>
    </w:p>
    <w:tbl>
      <w:tblPr>
        <w:tblLayout w:type="fixed"/>
        <w:tblInd w:w="0" w:type="dxa"/>
        <w:tblCellMar>
          <w:top w:w="0" w:type="dxa"/>
          <w:left w:w="0" w:type="dxa"/>
          <w:bottom w:w="0" w:type="dxa"/>
          <w:right w:w="0" w:type="dxa"/>
        </w:tblCellMar>
      </w:tblPr>
      <w:tr>
        <w:trPr>
          <w:trHeight w:val="190"/>
        </w:trPr>
        <w:tc>
          <w:tcPr>
            <w:tcW w:w="44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0" w:type="dxa"/>
            <w:vAlign w:val="bottom"/>
            <w:gridSpan w:val="6"/>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36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4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4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tcPr>
          <w:p>
            <w:pPr>
              <w:jc w:val="center"/>
              <w:ind w:left="248"/>
              <w:spacing w:after="0" w:line="131" w:lineRule="exact"/>
              <w:rPr>
                <w:sz w:val="20"/>
                <w:szCs w:val="20"/>
                <w:color w:val="auto"/>
              </w:rPr>
            </w:pPr>
            <w:r>
              <w:rPr>
                <w:rFonts w:ascii="Times New Roman" w:cs="Times New Roman" w:eastAsia="Times New Roman" w:hAnsi="Times New Roman"/>
                <w:sz w:val="14"/>
                <w:szCs w:val="14"/>
                <w:b w:val="1"/>
                <w:bCs w:val="1"/>
                <w:color w:val="auto"/>
              </w:rPr>
              <w:t>Debt of</w:t>
            </w: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Derivative Agreements</w:t>
            </w:r>
          </w:p>
        </w:tc>
        <w:tc>
          <w:tcPr>
            <w:tcW w:w="36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45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 xml:space="preserve">Assets Pledged to Counterparties </w:t>
            </w:r>
            <w:r>
              <w:rPr>
                <w:rFonts w:ascii="Times New Roman" w:cs="Times New Roman" w:eastAsia="Times New Roman" w:hAnsi="Times New Roman"/>
                <w:sz w:val="18"/>
                <w:szCs w:val="18"/>
                <w:b w:val="1"/>
                <w:bCs w:val="1"/>
                <w:color w:val="auto"/>
                <w:vertAlign w:val="superscript"/>
              </w:rPr>
              <w:t>1</w:t>
            </w:r>
          </w:p>
        </w:tc>
        <w:tc>
          <w:tcPr>
            <w:tcW w:w="1680" w:type="dxa"/>
            <w:vAlign w:val="bottom"/>
            <w:gridSpan w:val="3"/>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Repurchase</w:t>
            </w:r>
            <w:r>
              <w:rPr>
                <w:rFonts w:ascii="Times New Roman" w:cs="Times New Roman" w:eastAsia="Times New Roman" w:hAnsi="Times New Roman"/>
                <w:sz w:val="18"/>
                <w:szCs w:val="18"/>
                <w:b w:val="1"/>
                <w:bCs w:val="1"/>
                <w:color w:val="auto"/>
                <w:vertAlign w:val="subscript"/>
              </w:rPr>
              <w:t>2</w:t>
            </w:r>
            <w:r>
              <w:rPr>
                <w:rFonts w:ascii="Times New Roman" w:cs="Times New Roman" w:eastAsia="Times New Roman" w:hAnsi="Times New Roman"/>
                <w:sz w:val="14"/>
                <w:szCs w:val="14"/>
                <w:b w:val="1"/>
                <w:bCs w:val="1"/>
                <w:color w:val="auto"/>
              </w:rPr>
              <w:t>Agreements</w:t>
            </w:r>
          </w:p>
        </w:tc>
        <w:tc>
          <w:tcPr>
            <w:tcW w:w="1240" w:type="dxa"/>
            <w:vAlign w:val="bottom"/>
          </w:tcPr>
          <w:p>
            <w:pPr>
              <w:jc w:val="center"/>
              <w:ind w:left="248"/>
              <w:spacing w:after="0" w:line="146" w:lineRule="exact"/>
              <w:rPr>
                <w:sz w:val="20"/>
                <w:szCs w:val="20"/>
                <w:color w:val="auto"/>
              </w:rPr>
            </w:pPr>
            <w:r>
              <w:rPr>
                <w:rFonts w:ascii="Times New Roman" w:cs="Times New Roman" w:eastAsia="Times New Roman" w:hAnsi="Times New Roman"/>
                <w:sz w:val="14"/>
                <w:szCs w:val="14"/>
                <w:b w:val="1"/>
                <w:bCs w:val="1"/>
                <w:color w:val="auto"/>
              </w:rPr>
              <w:t>Consolidated</w:t>
            </w: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360" w:type="dxa"/>
            <w:vAlign w:val="bottom"/>
          </w:tcPr>
          <w:p>
            <w:pPr>
              <w:spacing w:after="0"/>
              <w:rPr>
                <w:sz w:val="12"/>
                <w:szCs w:val="12"/>
                <w:color w:val="auto"/>
              </w:rPr>
            </w:pPr>
          </w:p>
        </w:tc>
        <w:tc>
          <w:tcPr>
            <w:tcW w:w="1220" w:type="dxa"/>
            <w:vAlign w:val="bottom"/>
            <w:vMerge w:val="restart"/>
          </w:tcPr>
          <w:p>
            <w:pPr>
              <w:jc w:val="right"/>
              <w:ind w:right="56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203"/>
        </w:trPr>
        <w:tc>
          <w:tcPr>
            <w:tcW w:w="4580" w:type="dxa"/>
            <w:vAlign w:val="bottom"/>
            <w:gridSpan w:val="2"/>
            <w:vMerge w:val="continue"/>
          </w:tcPr>
          <w:p>
            <w:pPr>
              <w:spacing w:after="0"/>
              <w:rPr>
                <w:sz w:val="17"/>
                <w:szCs w:val="17"/>
                <w:color w:val="auto"/>
              </w:rPr>
            </w:pPr>
          </w:p>
        </w:tc>
        <w:tc>
          <w:tcPr>
            <w:tcW w:w="1680" w:type="dxa"/>
            <w:vAlign w:val="bottom"/>
            <w:gridSpan w:val="3"/>
            <w:vMerge w:val="continue"/>
          </w:tcPr>
          <w:p>
            <w:pPr>
              <w:spacing w:after="0"/>
              <w:rPr>
                <w:sz w:val="17"/>
                <w:szCs w:val="17"/>
                <w:color w:val="auto"/>
              </w:rPr>
            </w:pPr>
          </w:p>
        </w:tc>
        <w:tc>
          <w:tcPr>
            <w:tcW w:w="1240" w:type="dxa"/>
            <w:vAlign w:val="bottom"/>
          </w:tcPr>
          <w:p>
            <w:pPr>
              <w:jc w:val="center"/>
              <w:ind w:left="288"/>
              <w:spacing w:after="0"/>
              <w:rPr>
                <w:sz w:val="20"/>
                <w:szCs w:val="20"/>
                <w:color w:val="auto"/>
              </w:rPr>
            </w:pPr>
            <w:r>
              <w:rPr>
                <w:rFonts w:ascii="Times New Roman" w:cs="Times New Roman" w:eastAsia="Times New Roman" w:hAnsi="Times New Roman"/>
                <w:sz w:val="14"/>
                <w:szCs w:val="14"/>
                <w:b w:val="1"/>
                <w:bCs w:val="1"/>
                <w:color w:val="auto"/>
              </w:rPr>
              <w:t>VIEs</w:t>
            </w: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gridSpan w:val="2"/>
          </w:tcPr>
          <w:p>
            <w:pPr>
              <w:jc w:val="center"/>
              <w:ind w:right="200"/>
              <w:spacing w:after="0" w:line="202" w:lineRule="exact"/>
              <w:rPr>
                <w:sz w:val="20"/>
                <w:szCs w:val="20"/>
                <w:color w:val="auto"/>
              </w:rPr>
            </w:pPr>
            <w:r>
              <w:rPr>
                <w:rFonts w:ascii="Times New Roman" w:cs="Times New Roman" w:eastAsia="Times New Roman" w:hAnsi="Times New Roman"/>
                <w:sz w:val="14"/>
                <w:szCs w:val="14"/>
                <w:b w:val="1"/>
                <w:bCs w:val="1"/>
                <w:color w:val="auto"/>
              </w:rPr>
              <w:t xml:space="preserve">and Other </w:t>
            </w:r>
            <w:r>
              <w:rPr>
                <w:rFonts w:ascii="Times New Roman" w:cs="Times New Roman" w:eastAsia="Times New Roman" w:hAnsi="Times New Roman"/>
                <w:sz w:val="18"/>
                <w:szCs w:val="18"/>
                <w:b w:val="1"/>
                <w:bCs w:val="1"/>
                <w:color w:val="auto"/>
                <w:vertAlign w:val="superscript"/>
              </w:rPr>
              <w:t>3</w:t>
            </w:r>
          </w:p>
        </w:tc>
        <w:tc>
          <w:tcPr>
            <w:tcW w:w="360" w:type="dxa"/>
            <w:vAlign w:val="bottom"/>
          </w:tcPr>
          <w:p>
            <w:pPr>
              <w:spacing w:after="0"/>
              <w:rPr>
                <w:sz w:val="17"/>
                <w:szCs w:val="17"/>
                <w:color w:val="auto"/>
              </w:rPr>
            </w:pPr>
          </w:p>
        </w:tc>
        <w:tc>
          <w:tcPr>
            <w:tcW w:w="12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4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Agency RMBS - fair value</w:t>
            </w:r>
          </w:p>
        </w:tc>
        <w:tc>
          <w:tcPr>
            <w:tcW w:w="12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jc w:val="right"/>
              <w:ind w:right="44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44,509</w:t>
            </w:r>
          </w:p>
        </w:tc>
        <w:tc>
          <w:tcPr>
            <w:tcW w:w="100" w:type="dxa"/>
            <w:vAlign w:val="bottom"/>
            <w:tcBorders>
              <w:top w:val="single" w:sz="8" w:color="CCEEFF"/>
            </w:tcBorders>
            <w:shd w:val="clear" w:color="auto" w:fill="CCEEFF"/>
          </w:tcPr>
          <w:p>
            <w:pPr>
              <w:spacing w:after="0"/>
              <w:rPr>
                <w:sz w:val="17"/>
                <w:szCs w:val="17"/>
                <w:color w:val="auto"/>
              </w:rPr>
            </w:pPr>
          </w:p>
        </w:tc>
        <w:tc>
          <w:tcPr>
            <w:tcW w:w="1240" w:type="dxa"/>
            <w:vAlign w:val="bottom"/>
            <w:tcBorders>
              <w:top w:val="single" w:sz="8" w:color="auto"/>
            </w:tcBorders>
            <w:shd w:val="clear" w:color="auto" w:fill="CCEEFF"/>
          </w:tcPr>
          <w:p>
            <w:pPr>
              <w:jc w:val="right"/>
              <w:ind w:right="1088"/>
              <w:spacing w:after="0"/>
              <w:rPr>
                <w:sz w:val="20"/>
                <w:szCs w:val="20"/>
                <w:color w:val="auto"/>
              </w:rPr>
            </w:pPr>
            <w:r>
              <w:rPr>
                <w:rFonts w:ascii="Times New Roman" w:cs="Times New Roman" w:eastAsia="Times New Roman" w:hAnsi="Times New Roman"/>
                <w:sz w:val="14"/>
                <w:szCs w:val="14"/>
                <w:color w:val="auto"/>
                <w:w w:val="85"/>
              </w:rPr>
              <w:t>$</w:t>
            </w:r>
          </w:p>
        </w:tc>
        <w:tc>
          <w:tcPr>
            <w:tcW w:w="36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184</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50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963</w:t>
            </w:r>
          </w:p>
        </w:tc>
        <w:tc>
          <w:tcPr>
            <w:tcW w:w="10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jc w:val="right"/>
              <w:ind w:right="188"/>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45,656</w:t>
            </w:r>
          </w:p>
        </w:tc>
        <w:tc>
          <w:tcPr>
            <w:tcW w:w="0" w:type="dxa"/>
            <w:vAlign w:val="bottom"/>
          </w:tcPr>
          <w:p>
            <w:pPr>
              <w:spacing w:after="0"/>
              <w:rPr>
                <w:sz w:val="1"/>
                <w:szCs w:val="1"/>
                <w:color w:val="auto"/>
              </w:rPr>
            </w:pPr>
          </w:p>
        </w:tc>
      </w:tr>
      <w:tr>
        <w:trPr>
          <w:trHeight w:val="195"/>
        </w:trPr>
        <w:tc>
          <w:tcPr>
            <w:tcW w:w="45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CRT - fair value</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489</w:t>
            </w: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4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160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489</w:t>
            </w:r>
          </w:p>
        </w:tc>
        <w:tc>
          <w:tcPr>
            <w:tcW w:w="0" w:type="dxa"/>
            <w:vAlign w:val="bottom"/>
          </w:tcPr>
          <w:p>
            <w:pPr>
              <w:spacing w:after="0"/>
              <w:rPr>
                <w:sz w:val="1"/>
                <w:szCs w:val="1"/>
                <w:color w:val="auto"/>
              </w:rPr>
            </w:pPr>
          </w:p>
        </w:tc>
      </w:tr>
      <w:tr>
        <w:trPr>
          <w:trHeight w:val="210"/>
        </w:trPr>
        <w:tc>
          <w:tcPr>
            <w:tcW w:w="45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Non-Agency - fair value</w:t>
            </w:r>
          </w:p>
        </w:tc>
        <w:tc>
          <w:tcPr>
            <w:tcW w:w="6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466</w:t>
            </w: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466</w:t>
            </w:r>
          </w:p>
        </w:tc>
        <w:tc>
          <w:tcPr>
            <w:tcW w:w="0" w:type="dxa"/>
            <w:vAlign w:val="bottom"/>
          </w:tcPr>
          <w:p>
            <w:pPr>
              <w:spacing w:after="0"/>
              <w:rPr>
                <w:sz w:val="1"/>
                <w:szCs w:val="1"/>
                <w:color w:val="auto"/>
              </w:rPr>
            </w:pPr>
          </w:p>
        </w:tc>
      </w:tr>
      <w:tr>
        <w:trPr>
          <w:trHeight w:val="195"/>
        </w:trPr>
        <w:tc>
          <w:tcPr>
            <w:tcW w:w="45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U.S. Treasury securities - fair value</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922</w:t>
            </w: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4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133</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1,055</w:t>
            </w:r>
          </w:p>
        </w:tc>
        <w:tc>
          <w:tcPr>
            <w:tcW w:w="0" w:type="dxa"/>
            <w:vAlign w:val="bottom"/>
          </w:tcPr>
          <w:p>
            <w:pPr>
              <w:spacing w:after="0"/>
              <w:rPr>
                <w:sz w:val="1"/>
                <w:szCs w:val="1"/>
                <w:color w:val="auto"/>
              </w:rPr>
            </w:pPr>
          </w:p>
        </w:tc>
      </w:tr>
      <w:tr>
        <w:trPr>
          <w:trHeight w:val="210"/>
        </w:trPr>
        <w:tc>
          <w:tcPr>
            <w:tcW w:w="45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Accrued interest on pledged securities</w:t>
            </w:r>
          </w:p>
        </w:tc>
        <w:tc>
          <w:tcPr>
            <w:tcW w:w="6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116</w:t>
            </w: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119</w:t>
            </w:r>
          </w:p>
        </w:tc>
        <w:tc>
          <w:tcPr>
            <w:tcW w:w="0" w:type="dxa"/>
            <w:vAlign w:val="bottom"/>
          </w:tcPr>
          <w:p>
            <w:pPr>
              <w:spacing w:after="0"/>
              <w:rPr>
                <w:sz w:val="1"/>
                <w:szCs w:val="1"/>
                <w:color w:val="auto"/>
              </w:rPr>
            </w:pPr>
          </w:p>
        </w:tc>
      </w:tr>
      <w:tr>
        <w:trPr>
          <w:trHeight w:val="196"/>
        </w:trPr>
        <w:tc>
          <w:tcPr>
            <w:tcW w:w="45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Restricted cash</w:t>
            </w:r>
          </w:p>
        </w:tc>
        <w:tc>
          <w:tcPr>
            <w:tcW w:w="600" w:type="dxa"/>
            <w:vAlign w:val="bottom"/>
          </w:tcPr>
          <w:p>
            <w:pPr>
              <w:spacing w:after="0"/>
              <w:rPr>
                <w:sz w:val="17"/>
                <w:szCs w:val="17"/>
                <w:color w:val="auto"/>
              </w:rPr>
            </w:pPr>
          </w:p>
        </w:tc>
        <w:tc>
          <w:tcPr>
            <w:tcW w:w="9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45</w:t>
            </w:r>
          </w:p>
        </w:tc>
        <w:tc>
          <w:tcPr>
            <w:tcW w:w="1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4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5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1,042</w:t>
            </w: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1,087</w:t>
            </w:r>
          </w:p>
        </w:tc>
        <w:tc>
          <w:tcPr>
            <w:tcW w:w="0" w:type="dxa"/>
            <w:vAlign w:val="bottom"/>
          </w:tcPr>
          <w:p>
            <w:pPr>
              <w:spacing w:after="0"/>
              <w:rPr>
                <w:sz w:val="1"/>
                <w:szCs w:val="1"/>
                <w:color w:val="auto"/>
              </w:rPr>
            </w:pPr>
          </w:p>
        </w:tc>
      </w:tr>
      <w:tr>
        <w:trPr>
          <w:trHeight w:val="228"/>
        </w:trPr>
        <w:tc>
          <w:tcPr>
            <w:tcW w:w="45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Total</w:t>
            </w:r>
          </w:p>
        </w:tc>
        <w:tc>
          <w:tcPr>
            <w:tcW w:w="600" w:type="dxa"/>
            <w:vAlign w:val="bottom"/>
            <w:tcBorders>
              <w:top w:val="single" w:sz="8" w:color="auto"/>
              <w:bottom w:val="single" w:sz="8" w:color="auto"/>
            </w:tcBorders>
            <w:shd w:val="clear" w:color="auto" w:fill="CCEEFF"/>
          </w:tcPr>
          <w:p>
            <w:pPr>
              <w:jc w:val="right"/>
              <w:ind w:right="44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46,547</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40" w:type="dxa"/>
            <w:vAlign w:val="bottom"/>
            <w:tcBorders>
              <w:top w:val="single" w:sz="8" w:color="auto"/>
              <w:bottom w:val="single" w:sz="8" w:color="auto"/>
            </w:tcBorders>
            <w:shd w:val="clear" w:color="auto" w:fill="CCEEFF"/>
          </w:tcPr>
          <w:p>
            <w:pPr>
              <w:jc w:val="right"/>
              <w:ind w:right="1088"/>
              <w:spacing w:after="0"/>
              <w:rPr>
                <w:sz w:val="20"/>
                <w:szCs w:val="20"/>
                <w:color w:val="auto"/>
              </w:rPr>
            </w:pPr>
            <w:r>
              <w:rPr>
                <w:rFonts w:ascii="Times New Roman" w:cs="Times New Roman" w:eastAsia="Times New Roman" w:hAnsi="Times New Roman"/>
                <w:sz w:val="14"/>
                <w:szCs w:val="14"/>
                <w:color w:val="auto"/>
                <w:w w:val="85"/>
              </w:rPr>
              <w:t>$</w:t>
            </w:r>
          </w:p>
        </w:tc>
        <w:tc>
          <w:tcPr>
            <w:tcW w:w="36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185</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5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2,140</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36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48,872</w:t>
            </w:r>
          </w:p>
        </w:tc>
        <w:tc>
          <w:tcPr>
            <w:tcW w:w="0" w:type="dxa"/>
            <w:vAlign w:val="bottom"/>
          </w:tcPr>
          <w:p>
            <w:pPr>
              <w:spacing w:after="0"/>
              <w:rPr>
                <w:sz w:val="1"/>
                <w:szCs w:val="1"/>
                <w:color w:val="auto"/>
              </w:rPr>
            </w:pPr>
          </w:p>
        </w:tc>
      </w:tr>
      <w:tr>
        <w:trPr>
          <w:trHeight w:val="20"/>
        </w:trPr>
        <w:tc>
          <w:tcPr>
            <w:tcW w:w="44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8"/>
        </w:trPr>
        <w:tc>
          <w:tcPr>
            <w:tcW w:w="4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400" w:type="dxa"/>
            <w:vAlign w:val="bottom"/>
            <w:gridSpan w:val="6"/>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3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4460" w:type="dxa"/>
            <w:vAlign w:val="bottom"/>
          </w:tcPr>
          <w:p>
            <w:pPr>
              <w:spacing w:after="0"/>
              <w:rPr>
                <w:sz w:val="2"/>
                <w:szCs w:val="2"/>
                <w:color w:val="auto"/>
              </w:rPr>
            </w:pPr>
          </w:p>
        </w:tc>
        <w:tc>
          <w:tcPr>
            <w:tcW w:w="120" w:type="dxa"/>
            <w:vAlign w:val="bottom"/>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44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9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40" w:type="dxa"/>
            <w:vAlign w:val="bottom"/>
          </w:tcPr>
          <w:p>
            <w:pPr>
              <w:jc w:val="center"/>
              <w:ind w:left="248"/>
              <w:spacing w:after="0" w:line="131" w:lineRule="exact"/>
              <w:rPr>
                <w:sz w:val="20"/>
                <w:szCs w:val="20"/>
                <w:color w:val="auto"/>
              </w:rPr>
            </w:pPr>
            <w:r>
              <w:rPr>
                <w:rFonts w:ascii="Times New Roman" w:cs="Times New Roman" w:eastAsia="Times New Roman" w:hAnsi="Times New Roman"/>
                <w:sz w:val="14"/>
                <w:szCs w:val="14"/>
                <w:b w:val="1"/>
                <w:bCs w:val="1"/>
                <w:color w:val="auto"/>
              </w:rPr>
              <w:t>Debt of</w:t>
            </w:r>
          </w:p>
        </w:tc>
        <w:tc>
          <w:tcPr>
            <w:tcW w:w="3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Derivative Agreements</w:t>
            </w:r>
          </w:p>
        </w:tc>
        <w:tc>
          <w:tcPr>
            <w:tcW w:w="360" w:type="dxa"/>
            <w:vAlign w:val="bottom"/>
          </w:tcPr>
          <w:p>
            <w:pPr>
              <w:spacing w:after="0"/>
              <w:rPr>
                <w:sz w:val="11"/>
                <w:szCs w:val="11"/>
                <w:color w:val="auto"/>
              </w:rPr>
            </w:pPr>
          </w:p>
        </w:tc>
        <w:tc>
          <w:tcPr>
            <w:tcW w:w="12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45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 xml:space="preserve">Assets Pledged to Counterparties </w:t>
            </w:r>
            <w:r>
              <w:rPr>
                <w:rFonts w:ascii="Times New Roman" w:cs="Times New Roman" w:eastAsia="Times New Roman" w:hAnsi="Times New Roman"/>
                <w:sz w:val="18"/>
                <w:szCs w:val="18"/>
                <w:b w:val="1"/>
                <w:bCs w:val="1"/>
                <w:color w:val="auto"/>
                <w:vertAlign w:val="superscript"/>
              </w:rPr>
              <w:t>1</w:t>
            </w:r>
          </w:p>
        </w:tc>
        <w:tc>
          <w:tcPr>
            <w:tcW w:w="1680" w:type="dxa"/>
            <w:vAlign w:val="bottom"/>
            <w:gridSpan w:val="3"/>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Repurchase</w:t>
            </w:r>
            <w:r>
              <w:rPr>
                <w:rFonts w:ascii="Times New Roman" w:cs="Times New Roman" w:eastAsia="Times New Roman" w:hAnsi="Times New Roman"/>
                <w:sz w:val="18"/>
                <w:szCs w:val="18"/>
                <w:b w:val="1"/>
                <w:bCs w:val="1"/>
                <w:color w:val="auto"/>
                <w:vertAlign w:val="subscript"/>
              </w:rPr>
              <w:t>2</w:t>
            </w:r>
            <w:r>
              <w:rPr>
                <w:rFonts w:ascii="Times New Roman" w:cs="Times New Roman" w:eastAsia="Times New Roman" w:hAnsi="Times New Roman"/>
                <w:sz w:val="14"/>
                <w:szCs w:val="14"/>
                <w:b w:val="1"/>
                <w:bCs w:val="1"/>
                <w:color w:val="auto"/>
              </w:rPr>
              <w:t>Agreements</w:t>
            </w:r>
          </w:p>
        </w:tc>
        <w:tc>
          <w:tcPr>
            <w:tcW w:w="1240" w:type="dxa"/>
            <w:vAlign w:val="bottom"/>
          </w:tcPr>
          <w:p>
            <w:pPr>
              <w:jc w:val="center"/>
              <w:ind w:left="248"/>
              <w:spacing w:after="0" w:line="146" w:lineRule="exact"/>
              <w:rPr>
                <w:sz w:val="20"/>
                <w:szCs w:val="20"/>
                <w:color w:val="auto"/>
              </w:rPr>
            </w:pPr>
            <w:r>
              <w:rPr>
                <w:rFonts w:ascii="Times New Roman" w:cs="Times New Roman" w:eastAsia="Times New Roman" w:hAnsi="Times New Roman"/>
                <w:sz w:val="14"/>
                <w:szCs w:val="14"/>
                <w:b w:val="1"/>
                <w:bCs w:val="1"/>
                <w:color w:val="auto"/>
              </w:rPr>
              <w:t>Consolidated</w:t>
            </w:r>
          </w:p>
        </w:tc>
        <w:tc>
          <w:tcPr>
            <w:tcW w:w="3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0" w:type="dxa"/>
            <w:vAlign w:val="bottom"/>
            <w:gridSpan w:val="2"/>
            <w:vMerge w:val="continue"/>
          </w:tcPr>
          <w:p>
            <w:pPr>
              <w:spacing w:after="0"/>
              <w:rPr>
                <w:sz w:val="12"/>
                <w:szCs w:val="12"/>
                <w:color w:val="auto"/>
              </w:rPr>
            </w:pPr>
          </w:p>
        </w:tc>
        <w:tc>
          <w:tcPr>
            <w:tcW w:w="360" w:type="dxa"/>
            <w:vAlign w:val="bottom"/>
          </w:tcPr>
          <w:p>
            <w:pPr>
              <w:spacing w:after="0"/>
              <w:rPr>
                <w:sz w:val="12"/>
                <w:szCs w:val="12"/>
                <w:color w:val="auto"/>
              </w:rPr>
            </w:pPr>
          </w:p>
        </w:tc>
        <w:tc>
          <w:tcPr>
            <w:tcW w:w="1220" w:type="dxa"/>
            <w:vAlign w:val="bottom"/>
            <w:vMerge w:val="restart"/>
          </w:tcPr>
          <w:p>
            <w:pPr>
              <w:jc w:val="right"/>
              <w:ind w:right="56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203"/>
        </w:trPr>
        <w:tc>
          <w:tcPr>
            <w:tcW w:w="4580" w:type="dxa"/>
            <w:vAlign w:val="bottom"/>
            <w:gridSpan w:val="2"/>
            <w:vMerge w:val="continue"/>
          </w:tcPr>
          <w:p>
            <w:pPr>
              <w:spacing w:after="0"/>
              <w:rPr>
                <w:sz w:val="17"/>
                <w:szCs w:val="17"/>
                <w:color w:val="auto"/>
              </w:rPr>
            </w:pPr>
          </w:p>
        </w:tc>
        <w:tc>
          <w:tcPr>
            <w:tcW w:w="1680" w:type="dxa"/>
            <w:vAlign w:val="bottom"/>
            <w:gridSpan w:val="3"/>
            <w:vMerge w:val="continue"/>
          </w:tcPr>
          <w:p>
            <w:pPr>
              <w:spacing w:after="0"/>
              <w:rPr>
                <w:sz w:val="17"/>
                <w:szCs w:val="17"/>
                <w:color w:val="auto"/>
              </w:rPr>
            </w:pPr>
          </w:p>
        </w:tc>
        <w:tc>
          <w:tcPr>
            <w:tcW w:w="1240" w:type="dxa"/>
            <w:vAlign w:val="bottom"/>
          </w:tcPr>
          <w:p>
            <w:pPr>
              <w:jc w:val="center"/>
              <w:ind w:left="288"/>
              <w:spacing w:after="0"/>
              <w:rPr>
                <w:sz w:val="20"/>
                <w:szCs w:val="20"/>
                <w:color w:val="auto"/>
              </w:rPr>
            </w:pPr>
            <w:r>
              <w:rPr>
                <w:rFonts w:ascii="Times New Roman" w:cs="Times New Roman" w:eastAsia="Times New Roman" w:hAnsi="Times New Roman"/>
                <w:sz w:val="14"/>
                <w:szCs w:val="14"/>
                <w:b w:val="1"/>
                <w:bCs w:val="1"/>
                <w:color w:val="auto"/>
              </w:rPr>
              <w:t>VIEs</w:t>
            </w:r>
          </w:p>
        </w:tc>
        <w:tc>
          <w:tcPr>
            <w:tcW w:w="3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gridSpan w:val="2"/>
          </w:tcPr>
          <w:p>
            <w:pPr>
              <w:jc w:val="center"/>
              <w:ind w:right="200"/>
              <w:spacing w:after="0" w:line="202" w:lineRule="exact"/>
              <w:rPr>
                <w:sz w:val="20"/>
                <w:szCs w:val="20"/>
                <w:color w:val="auto"/>
              </w:rPr>
            </w:pPr>
            <w:r>
              <w:rPr>
                <w:rFonts w:ascii="Times New Roman" w:cs="Times New Roman" w:eastAsia="Times New Roman" w:hAnsi="Times New Roman"/>
                <w:sz w:val="14"/>
                <w:szCs w:val="14"/>
                <w:b w:val="1"/>
                <w:bCs w:val="1"/>
                <w:color w:val="auto"/>
              </w:rPr>
              <w:t xml:space="preserve">and Other </w:t>
            </w:r>
            <w:r>
              <w:rPr>
                <w:rFonts w:ascii="Times New Roman" w:cs="Times New Roman" w:eastAsia="Times New Roman" w:hAnsi="Times New Roman"/>
                <w:sz w:val="18"/>
                <w:szCs w:val="18"/>
                <w:b w:val="1"/>
                <w:bCs w:val="1"/>
                <w:color w:val="auto"/>
                <w:vertAlign w:val="superscript"/>
              </w:rPr>
              <w:t>3</w:t>
            </w:r>
          </w:p>
        </w:tc>
        <w:tc>
          <w:tcPr>
            <w:tcW w:w="360" w:type="dxa"/>
            <w:vAlign w:val="bottom"/>
          </w:tcPr>
          <w:p>
            <w:pPr>
              <w:spacing w:after="0"/>
              <w:rPr>
                <w:sz w:val="17"/>
                <w:szCs w:val="17"/>
                <w:color w:val="auto"/>
              </w:rPr>
            </w:pPr>
          </w:p>
        </w:tc>
        <w:tc>
          <w:tcPr>
            <w:tcW w:w="122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44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Agency RMBS - fair value</w:t>
            </w:r>
          </w:p>
        </w:tc>
        <w:tc>
          <w:tcPr>
            <w:tcW w:w="120" w:type="dxa"/>
            <w:vAlign w:val="bottom"/>
            <w:tcBorders>
              <w:top w:val="single" w:sz="8" w:color="CCEEFF"/>
            </w:tcBorders>
            <w:shd w:val="clear" w:color="auto" w:fill="CCEEFF"/>
          </w:tcPr>
          <w:p>
            <w:pPr>
              <w:spacing w:after="0"/>
              <w:rPr>
                <w:sz w:val="17"/>
                <w:szCs w:val="17"/>
                <w:color w:val="auto"/>
              </w:rPr>
            </w:pPr>
          </w:p>
        </w:tc>
        <w:tc>
          <w:tcPr>
            <w:tcW w:w="600" w:type="dxa"/>
            <w:vAlign w:val="bottom"/>
            <w:tcBorders>
              <w:top w:val="single" w:sz="8" w:color="auto"/>
            </w:tcBorders>
            <w:shd w:val="clear" w:color="auto" w:fill="CCEEFF"/>
          </w:tcPr>
          <w:p>
            <w:pPr>
              <w:jc w:val="right"/>
              <w:ind w:right="44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46,943</w:t>
            </w:r>
          </w:p>
        </w:tc>
        <w:tc>
          <w:tcPr>
            <w:tcW w:w="100" w:type="dxa"/>
            <w:vAlign w:val="bottom"/>
            <w:tcBorders>
              <w:top w:val="single" w:sz="8" w:color="CCEEFF"/>
            </w:tcBorders>
            <w:shd w:val="clear" w:color="auto" w:fill="CCEEFF"/>
          </w:tcPr>
          <w:p>
            <w:pPr>
              <w:spacing w:after="0"/>
              <w:rPr>
                <w:sz w:val="17"/>
                <w:szCs w:val="17"/>
                <w:color w:val="auto"/>
              </w:rPr>
            </w:pPr>
          </w:p>
        </w:tc>
        <w:tc>
          <w:tcPr>
            <w:tcW w:w="1240" w:type="dxa"/>
            <w:vAlign w:val="bottom"/>
            <w:tcBorders>
              <w:top w:val="single" w:sz="8" w:color="auto"/>
            </w:tcBorders>
            <w:shd w:val="clear" w:color="auto" w:fill="CCEEFF"/>
          </w:tcPr>
          <w:p>
            <w:pPr>
              <w:jc w:val="right"/>
              <w:ind w:right="1088"/>
              <w:spacing w:after="0"/>
              <w:rPr>
                <w:sz w:val="20"/>
                <w:szCs w:val="20"/>
                <w:color w:val="auto"/>
              </w:rPr>
            </w:pPr>
            <w:r>
              <w:rPr>
                <w:rFonts w:ascii="Times New Roman" w:cs="Times New Roman" w:eastAsia="Times New Roman" w:hAnsi="Times New Roman"/>
                <w:sz w:val="14"/>
                <w:szCs w:val="14"/>
                <w:color w:val="auto"/>
                <w:w w:val="85"/>
              </w:rPr>
              <w:t>$</w:t>
            </w:r>
          </w:p>
        </w:tc>
        <w:tc>
          <w:tcPr>
            <w:tcW w:w="36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208</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50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739</w:t>
            </w:r>
          </w:p>
        </w:tc>
        <w:tc>
          <w:tcPr>
            <w:tcW w:w="100" w:type="dxa"/>
            <w:vAlign w:val="bottom"/>
            <w:tcBorders>
              <w:top w:val="single" w:sz="8" w:color="CCEEFF"/>
            </w:tcBorders>
            <w:shd w:val="clear" w:color="auto" w:fill="CCEEFF"/>
          </w:tcPr>
          <w:p>
            <w:pPr>
              <w:spacing w:after="0"/>
              <w:rPr>
                <w:sz w:val="17"/>
                <w:szCs w:val="17"/>
                <w:color w:val="auto"/>
              </w:rPr>
            </w:pPr>
          </w:p>
        </w:tc>
        <w:tc>
          <w:tcPr>
            <w:tcW w:w="360" w:type="dxa"/>
            <w:vAlign w:val="bottom"/>
            <w:tcBorders>
              <w:top w:val="single" w:sz="8" w:color="auto"/>
            </w:tcBorders>
            <w:shd w:val="clear" w:color="auto" w:fill="CCEEFF"/>
          </w:tcPr>
          <w:p>
            <w:pPr>
              <w:jc w:val="right"/>
              <w:ind w:right="188"/>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47,890</w:t>
            </w:r>
          </w:p>
        </w:tc>
        <w:tc>
          <w:tcPr>
            <w:tcW w:w="0" w:type="dxa"/>
            <w:vAlign w:val="bottom"/>
          </w:tcPr>
          <w:p>
            <w:pPr>
              <w:spacing w:after="0"/>
              <w:rPr>
                <w:sz w:val="1"/>
                <w:szCs w:val="1"/>
                <w:color w:val="auto"/>
              </w:rPr>
            </w:pPr>
          </w:p>
        </w:tc>
      </w:tr>
      <w:tr>
        <w:trPr>
          <w:trHeight w:val="195"/>
        </w:trPr>
        <w:tc>
          <w:tcPr>
            <w:tcW w:w="45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CRT - fair value</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510</w:t>
            </w: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4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160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510</w:t>
            </w:r>
          </w:p>
        </w:tc>
        <w:tc>
          <w:tcPr>
            <w:tcW w:w="0" w:type="dxa"/>
            <w:vAlign w:val="bottom"/>
          </w:tcPr>
          <w:p>
            <w:pPr>
              <w:spacing w:after="0"/>
              <w:rPr>
                <w:sz w:val="1"/>
                <w:szCs w:val="1"/>
                <w:color w:val="auto"/>
              </w:rPr>
            </w:pPr>
          </w:p>
        </w:tc>
      </w:tr>
      <w:tr>
        <w:trPr>
          <w:trHeight w:val="210"/>
        </w:trPr>
        <w:tc>
          <w:tcPr>
            <w:tcW w:w="45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Non-Agency - fair value</w:t>
            </w:r>
          </w:p>
        </w:tc>
        <w:tc>
          <w:tcPr>
            <w:tcW w:w="6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571</w:t>
            </w: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46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160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571</w:t>
            </w:r>
          </w:p>
        </w:tc>
        <w:tc>
          <w:tcPr>
            <w:tcW w:w="0" w:type="dxa"/>
            <w:vAlign w:val="bottom"/>
          </w:tcPr>
          <w:p>
            <w:pPr>
              <w:spacing w:after="0"/>
              <w:rPr>
                <w:sz w:val="1"/>
                <w:szCs w:val="1"/>
                <w:color w:val="auto"/>
              </w:rPr>
            </w:pPr>
          </w:p>
        </w:tc>
      </w:tr>
      <w:tr>
        <w:trPr>
          <w:trHeight w:val="195"/>
        </w:trPr>
        <w:tc>
          <w:tcPr>
            <w:tcW w:w="45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U.S. Treasury securities - fair value</w:t>
            </w:r>
          </w:p>
        </w:tc>
        <w:tc>
          <w:tcPr>
            <w:tcW w:w="600" w:type="dxa"/>
            <w:vAlign w:val="bottom"/>
          </w:tcPr>
          <w:p>
            <w:pPr>
              <w:spacing w:after="0"/>
              <w:rPr>
                <w:sz w:val="16"/>
                <w:szCs w:val="16"/>
                <w:color w:val="auto"/>
              </w:rPr>
            </w:pPr>
          </w:p>
        </w:tc>
        <w:tc>
          <w:tcPr>
            <w:tcW w:w="9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1,084</w:t>
            </w:r>
          </w:p>
        </w:tc>
        <w:tc>
          <w:tcPr>
            <w:tcW w:w="100" w:type="dxa"/>
            <w:vAlign w:val="bottom"/>
          </w:tcPr>
          <w:p>
            <w:pPr>
              <w:spacing w:after="0"/>
              <w:rPr>
                <w:sz w:val="16"/>
                <w:szCs w:val="16"/>
                <w:color w:val="auto"/>
              </w:rPr>
            </w:pPr>
          </w:p>
        </w:tc>
        <w:tc>
          <w:tcPr>
            <w:tcW w:w="1240" w:type="dxa"/>
            <w:vAlign w:val="bottom"/>
          </w:tcPr>
          <w:p>
            <w:pPr>
              <w:spacing w:after="0"/>
              <w:rPr>
                <w:sz w:val="16"/>
                <w:szCs w:val="16"/>
                <w:color w:val="auto"/>
              </w:rPr>
            </w:pPr>
          </w:p>
        </w:tc>
        <w:tc>
          <w:tcPr>
            <w:tcW w:w="4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15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208</w:t>
            </w:r>
          </w:p>
        </w:tc>
        <w:tc>
          <w:tcPr>
            <w:tcW w:w="10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1,292</w:t>
            </w:r>
          </w:p>
        </w:tc>
        <w:tc>
          <w:tcPr>
            <w:tcW w:w="0" w:type="dxa"/>
            <w:vAlign w:val="bottom"/>
          </w:tcPr>
          <w:p>
            <w:pPr>
              <w:spacing w:after="0"/>
              <w:rPr>
                <w:sz w:val="1"/>
                <w:szCs w:val="1"/>
                <w:color w:val="auto"/>
              </w:rPr>
            </w:pPr>
          </w:p>
        </w:tc>
      </w:tr>
      <w:tr>
        <w:trPr>
          <w:trHeight w:val="210"/>
        </w:trPr>
        <w:tc>
          <w:tcPr>
            <w:tcW w:w="45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Accrued interest on pledged securities</w:t>
            </w:r>
          </w:p>
        </w:tc>
        <w:tc>
          <w:tcPr>
            <w:tcW w:w="600" w:type="dxa"/>
            <w:vAlign w:val="bottom"/>
            <w:shd w:val="clear" w:color="auto" w:fill="CCEEFF"/>
          </w:tcPr>
          <w:p>
            <w:pPr>
              <w:spacing w:after="0"/>
              <w:rPr>
                <w:sz w:val="18"/>
                <w:szCs w:val="18"/>
                <w:color w:val="auto"/>
              </w:rPr>
            </w:pPr>
          </w:p>
        </w:tc>
        <w:tc>
          <w:tcPr>
            <w:tcW w:w="98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117</w:t>
            </w:r>
          </w:p>
        </w:tc>
        <w:tc>
          <w:tcPr>
            <w:tcW w:w="10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c>
          <w:tcPr>
            <w:tcW w:w="36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50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shd w:val="clear" w:color="auto" w:fill="CCEEFF"/>
          </w:tcPr>
          <w:p>
            <w:pPr>
              <w:spacing w:after="0"/>
              <w:rPr>
                <w:sz w:val="18"/>
                <w:szCs w:val="18"/>
                <w:color w:val="auto"/>
              </w:rPr>
            </w:pPr>
          </w:p>
        </w:tc>
        <w:tc>
          <w:tcPr>
            <w:tcW w:w="36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120</w:t>
            </w:r>
          </w:p>
        </w:tc>
        <w:tc>
          <w:tcPr>
            <w:tcW w:w="0" w:type="dxa"/>
            <w:vAlign w:val="bottom"/>
          </w:tcPr>
          <w:p>
            <w:pPr>
              <w:spacing w:after="0"/>
              <w:rPr>
                <w:sz w:val="1"/>
                <w:szCs w:val="1"/>
                <w:color w:val="auto"/>
              </w:rPr>
            </w:pPr>
          </w:p>
        </w:tc>
      </w:tr>
      <w:tr>
        <w:trPr>
          <w:trHeight w:val="196"/>
        </w:trPr>
        <w:tc>
          <w:tcPr>
            <w:tcW w:w="45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Restricted cash</w:t>
            </w:r>
          </w:p>
        </w:tc>
        <w:tc>
          <w:tcPr>
            <w:tcW w:w="600" w:type="dxa"/>
            <w:vAlign w:val="bottom"/>
          </w:tcPr>
          <w:p>
            <w:pPr>
              <w:spacing w:after="0"/>
              <w:rPr>
                <w:sz w:val="17"/>
                <w:szCs w:val="17"/>
                <w:color w:val="auto"/>
              </w:rPr>
            </w:pPr>
          </w:p>
        </w:tc>
        <w:tc>
          <w:tcPr>
            <w:tcW w:w="9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15</w:t>
            </w:r>
          </w:p>
        </w:tc>
        <w:tc>
          <w:tcPr>
            <w:tcW w:w="1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4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5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512</w:t>
            </w:r>
          </w:p>
        </w:tc>
        <w:tc>
          <w:tcPr>
            <w:tcW w:w="10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527</w:t>
            </w:r>
          </w:p>
        </w:tc>
        <w:tc>
          <w:tcPr>
            <w:tcW w:w="0" w:type="dxa"/>
            <w:vAlign w:val="bottom"/>
          </w:tcPr>
          <w:p>
            <w:pPr>
              <w:spacing w:after="0"/>
              <w:rPr>
                <w:sz w:val="1"/>
                <w:szCs w:val="1"/>
                <w:color w:val="auto"/>
              </w:rPr>
            </w:pPr>
          </w:p>
        </w:tc>
      </w:tr>
      <w:tr>
        <w:trPr>
          <w:trHeight w:val="228"/>
        </w:trPr>
        <w:tc>
          <w:tcPr>
            <w:tcW w:w="45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Total</w:t>
            </w:r>
          </w:p>
        </w:tc>
        <w:tc>
          <w:tcPr>
            <w:tcW w:w="600" w:type="dxa"/>
            <w:vAlign w:val="bottom"/>
            <w:tcBorders>
              <w:top w:val="single" w:sz="8" w:color="auto"/>
              <w:bottom w:val="single" w:sz="8" w:color="auto"/>
            </w:tcBorders>
            <w:shd w:val="clear" w:color="auto" w:fill="CCEEFF"/>
          </w:tcPr>
          <w:p>
            <w:pPr>
              <w:jc w:val="right"/>
              <w:ind w:right="44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49,240</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40" w:type="dxa"/>
            <w:vAlign w:val="bottom"/>
            <w:tcBorders>
              <w:top w:val="single" w:sz="8" w:color="auto"/>
              <w:bottom w:val="single" w:sz="8" w:color="auto"/>
            </w:tcBorders>
            <w:shd w:val="clear" w:color="auto" w:fill="CCEEFF"/>
          </w:tcPr>
          <w:p>
            <w:pPr>
              <w:jc w:val="right"/>
              <w:ind w:right="1088"/>
              <w:spacing w:after="0"/>
              <w:rPr>
                <w:sz w:val="20"/>
                <w:szCs w:val="20"/>
                <w:color w:val="auto"/>
              </w:rPr>
            </w:pPr>
            <w:r>
              <w:rPr>
                <w:rFonts w:ascii="Times New Roman" w:cs="Times New Roman" w:eastAsia="Times New Roman" w:hAnsi="Times New Roman"/>
                <w:sz w:val="14"/>
                <w:szCs w:val="14"/>
                <w:color w:val="auto"/>
                <w:w w:val="85"/>
              </w:rPr>
              <w:t>$</w:t>
            </w:r>
          </w:p>
        </w:tc>
        <w:tc>
          <w:tcPr>
            <w:tcW w:w="36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209</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5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1,461</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360" w:type="dxa"/>
            <w:vAlign w:val="bottom"/>
            <w:tcBorders>
              <w:top w:val="single" w:sz="8" w:color="auto"/>
              <w:bottom w:val="single" w:sz="8" w:color="auto"/>
            </w:tcBorders>
            <w:shd w:val="clear" w:color="auto" w:fill="CCEEFF"/>
          </w:tcPr>
          <w:p>
            <w:pPr>
              <w:jc w:val="right"/>
              <w:ind w:right="188"/>
              <w:spacing w:after="0"/>
              <w:rPr>
                <w:sz w:val="20"/>
                <w:szCs w:val="20"/>
                <w:color w:val="auto"/>
              </w:rPr>
            </w:pPr>
            <w:r>
              <w:rPr>
                <w:rFonts w:ascii="Times New Roman" w:cs="Times New Roman" w:eastAsia="Times New Roman" w:hAnsi="Times New Roman"/>
                <w:sz w:val="14"/>
                <w:szCs w:val="14"/>
                <w:color w:val="auto"/>
              </w:rPr>
              <w:t>$</w:t>
            </w:r>
          </w:p>
        </w:tc>
        <w:tc>
          <w:tcPr>
            <w:tcW w:w="12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50,910</w:t>
            </w:r>
          </w:p>
        </w:tc>
        <w:tc>
          <w:tcPr>
            <w:tcW w:w="0" w:type="dxa"/>
            <w:vAlign w:val="bottom"/>
          </w:tcPr>
          <w:p>
            <w:pPr>
              <w:spacing w:after="0"/>
              <w:rPr>
                <w:sz w:val="1"/>
                <w:szCs w:val="1"/>
                <w:color w:val="auto"/>
              </w:rPr>
            </w:pPr>
          </w:p>
        </w:tc>
      </w:tr>
      <w:tr>
        <w:trPr>
          <w:trHeight w:val="20"/>
        </w:trPr>
        <w:tc>
          <w:tcPr>
            <w:tcW w:w="44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tabs>
          <w:tab w:leader="none" w:pos="660" w:val="left"/>
        </w:tabs>
        <w:numPr>
          <w:ilvl w:val="0"/>
          <w:numId w:val="1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repledged assets received as collateral from counterparties and securities sold but not yet settled.</w:t>
      </w:r>
    </w:p>
    <w:p>
      <w:pPr>
        <w:spacing w:after="0" w:line="2" w:lineRule="exact"/>
        <w:rPr>
          <w:rFonts w:ascii="Times New Roman" w:cs="Times New Roman" w:eastAsia="Times New Roman" w:hAnsi="Times New Roman"/>
          <w:sz w:val="14"/>
          <w:szCs w:val="14"/>
          <w:color w:val="auto"/>
        </w:rPr>
      </w:pPr>
    </w:p>
    <w:p>
      <w:pPr>
        <w:ind w:left="660" w:hanging="328"/>
        <w:spacing w:after="0" w:line="259" w:lineRule="auto"/>
        <w:tabs>
          <w:tab w:leader="none" w:pos="660" w:val="left"/>
        </w:tabs>
        <w:numPr>
          <w:ilvl w:val="0"/>
          <w:numId w:val="1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$68 million and $81 million of retained interests in our consolidated VIEs pledged as collateral under repurchase agreements as of March 31, 2022 and December 31, 2021, respectively.</w:t>
      </w:r>
    </w:p>
    <w:p>
      <w:pPr>
        <w:ind w:left="660" w:hanging="328"/>
        <w:spacing w:after="0"/>
        <w:tabs>
          <w:tab w:leader="none" w:pos="660" w:val="left"/>
        </w:tabs>
        <w:numPr>
          <w:ilvl w:val="0"/>
          <w:numId w:val="1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deposits under brokerage and clearing agreements.</w:t>
      </w:r>
    </w:p>
    <w:p>
      <w:pPr>
        <w:spacing w:after="0" w:line="168"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The following table summarizes our securities pledged as collateral under our repurchase agreements by the remaining maturity of our borrowings, including securities pledged related to sold but not yet settled securities, as of March 31, 2022 and December 31, 2021 (in millions). For the corresponding borrowings associated with the following amounts and the interest rates thereon, refer to Note 4</w:t>
      </w:r>
      <w:r>
        <w:rPr>
          <w:rFonts w:ascii="Times New Roman" w:cs="Times New Roman" w:eastAsia="Times New Roman" w:hAnsi="Times New Roman"/>
          <w:sz w:val="18"/>
          <w:szCs w:val="18"/>
          <w:i w:val="1"/>
          <w:iCs w:val="1"/>
          <w:color w:val="auto"/>
        </w:rPr>
        <w:t>.</w:t>
      </w:r>
    </w:p>
    <w:p>
      <w:pPr>
        <w:spacing w:after="0" w:line="75"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38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2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spacing w:after="0"/>
              <w:rPr>
                <w:sz w:val="16"/>
                <w:szCs w:val="16"/>
                <w:color w:val="auto"/>
              </w:rPr>
            </w:pPr>
          </w:p>
        </w:tc>
        <w:tc>
          <w:tcPr>
            <w:tcW w:w="1360" w:type="dxa"/>
            <w:vAlign w:val="bottom"/>
            <w:gridSpan w:val="5"/>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4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3820" w:type="dxa"/>
            <w:vAlign w:val="bottom"/>
          </w:tcPr>
          <w:p>
            <w:pPr>
              <w:spacing w:after="0"/>
              <w:rPr>
                <w:sz w:val="2"/>
                <w:szCs w:val="2"/>
                <w:color w:val="auto"/>
              </w:rPr>
            </w:pPr>
          </w:p>
        </w:tc>
        <w:tc>
          <w:tcPr>
            <w:tcW w:w="100" w:type="dxa"/>
            <w:vAlign w:val="bottom"/>
          </w:tcPr>
          <w:p>
            <w:pPr>
              <w:spacing w:after="0"/>
              <w:rPr>
                <w:sz w:val="2"/>
                <w:szCs w:val="2"/>
                <w:color w:val="auto"/>
              </w:rPr>
            </w:pPr>
          </w:p>
        </w:tc>
        <w:tc>
          <w:tcPr>
            <w:tcW w:w="140" w:type="dxa"/>
            <w:vAlign w:val="bottom"/>
          </w:tcPr>
          <w:p>
            <w:pPr>
              <w:spacing w:after="0"/>
              <w:rPr>
                <w:sz w:val="2"/>
                <w:szCs w:val="2"/>
                <w:color w:val="auto"/>
              </w:rPr>
            </w:pPr>
          </w:p>
        </w:tc>
        <w:tc>
          <w:tcPr>
            <w:tcW w:w="10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1060" w:type="dxa"/>
            <w:vAlign w:val="bottom"/>
            <w:gridSpan w:val="2"/>
          </w:tcPr>
          <w:p>
            <w:pPr>
              <w:spacing w:after="0"/>
              <w:rPr>
                <w:sz w:val="2"/>
                <w:szCs w:val="2"/>
                <w:color w:val="auto"/>
              </w:rPr>
            </w:pPr>
          </w:p>
        </w:tc>
        <w:tc>
          <w:tcPr>
            <w:tcW w:w="140" w:type="dxa"/>
            <w:vAlign w:val="bottom"/>
          </w:tcPr>
          <w:p>
            <w:pPr>
              <w:spacing w:after="0"/>
              <w:rPr>
                <w:sz w:val="2"/>
                <w:szCs w:val="2"/>
                <w:color w:val="auto"/>
              </w:rPr>
            </w:pPr>
          </w:p>
        </w:tc>
        <w:tc>
          <w:tcPr>
            <w:tcW w:w="9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3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40" w:type="dxa"/>
            <w:vAlign w:val="bottom"/>
            <w:tcBorders>
              <w:top w:val="single" w:sz="8" w:color="auto"/>
            </w:tcBorders>
          </w:tcPr>
          <w:p>
            <w:pPr>
              <w:spacing w:after="0"/>
              <w:rPr>
                <w:sz w:val="11"/>
                <w:szCs w:val="11"/>
                <w:color w:val="auto"/>
              </w:rPr>
            </w:pPr>
          </w:p>
        </w:tc>
        <w:tc>
          <w:tcPr>
            <w:tcW w:w="1040" w:type="dxa"/>
            <w:vAlign w:val="bottom"/>
            <w:tcBorders>
              <w:top w:val="single" w:sz="8" w:color="auto"/>
            </w:tcBorders>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gridSpan w:val="2"/>
          </w:tcPr>
          <w:p>
            <w:pPr>
              <w:jc w:val="center"/>
              <w:ind w:right="260"/>
              <w:spacing w:after="0" w:line="131" w:lineRule="exact"/>
              <w:rPr>
                <w:sz w:val="20"/>
                <w:szCs w:val="20"/>
                <w:color w:val="auto"/>
              </w:rPr>
            </w:pPr>
            <w:r>
              <w:rPr>
                <w:rFonts w:ascii="Times New Roman" w:cs="Times New Roman" w:eastAsia="Times New Roman" w:hAnsi="Times New Roman"/>
                <w:sz w:val="14"/>
                <w:szCs w:val="14"/>
                <w:b w:val="1"/>
                <w:bCs w:val="1"/>
                <w:color w:val="auto"/>
              </w:rPr>
              <w:t>Amortized</w:t>
            </w:r>
          </w:p>
        </w:tc>
        <w:tc>
          <w:tcPr>
            <w:tcW w:w="14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jc w:val="center"/>
              <w:ind w:right="68"/>
              <w:spacing w:after="0" w:line="131" w:lineRule="exact"/>
              <w:rPr>
                <w:sz w:val="20"/>
                <w:szCs w:val="20"/>
                <w:color w:val="auto"/>
              </w:rPr>
            </w:pPr>
            <w:r>
              <w:rPr>
                <w:rFonts w:ascii="Times New Roman" w:cs="Times New Roman" w:eastAsia="Times New Roman" w:hAnsi="Times New Roman"/>
                <w:sz w:val="14"/>
                <w:szCs w:val="14"/>
                <w:b w:val="1"/>
                <w:bCs w:val="1"/>
                <w:color w:val="auto"/>
              </w:rPr>
              <w:t>Accrued</w:t>
            </w:r>
          </w:p>
        </w:tc>
        <w:tc>
          <w:tcPr>
            <w:tcW w:w="100" w:type="dxa"/>
            <w:vAlign w:val="bottom"/>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tcPr>
          <w:p>
            <w:pPr>
              <w:spacing w:after="0"/>
              <w:rPr>
                <w:sz w:val="11"/>
                <w:szCs w:val="11"/>
                <w:color w:val="auto"/>
              </w:rPr>
            </w:pPr>
          </w:p>
        </w:tc>
        <w:tc>
          <w:tcPr>
            <w:tcW w:w="20" w:type="dxa"/>
            <w:vAlign w:val="bottom"/>
            <w:tcBorders>
              <w:top w:val="single" w:sz="8" w:color="auto"/>
            </w:tcBorders>
          </w:tcPr>
          <w:p>
            <w:pPr>
              <w:spacing w:after="0"/>
              <w:rPr>
                <w:sz w:val="11"/>
                <w:szCs w:val="11"/>
                <w:color w:val="auto"/>
              </w:rPr>
            </w:pPr>
          </w:p>
        </w:tc>
        <w:tc>
          <w:tcPr>
            <w:tcW w:w="120" w:type="dxa"/>
            <w:vAlign w:val="bottom"/>
            <w:tcBorders>
              <w:top w:val="single" w:sz="8" w:color="auto"/>
            </w:tcBorders>
          </w:tcPr>
          <w:p>
            <w:pPr>
              <w:spacing w:after="0"/>
              <w:rPr>
                <w:sz w:val="11"/>
                <w:szCs w:val="11"/>
                <w:color w:val="auto"/>
              </w:rPr>
            </w:pPr>
          </w:p>
        </w:tc>
        <w:tc>
          <w:tcPr>
            <w:tcW w:w="160" w:type="dxa"/>
            <w:vAlign w:val="bottom"/>
            <w:tcBorders>
              <w:top w:val="single" w:sz="8" w:color="auto"/>
            </w:tcBorders>
          </w:tcPr>
          <w:p>
            <w:pPr>
              <w:spacing w:after="0"/>
              <w:rPr>
                <w:sz w:val="11"/>
                <w:szCs w:val="11"/>
                <w:color w:val="auto"/>
              </w:rPr>
            </w:pPr>
          </w:p>
        </w:tc>
        <w:tc>
          <w:tcPr>
            <w:tcW w:w="1060" w:type="dxa"/>
            <w:vAlign w:val="bottom"/>
            <w:tcBorders>
              <w:top w:val="single" w:sz="8" w:color="auto"/>
            </w:tcBorders>
            <w:gridSpan w:val="2"/>
          </w:tcPr>
          <w:p>
            <w:pPr>
              <w:jc w:val="center"/>
              <w:ind w:right="260"/>
              <w:spacing w:after="0" w:line="131" w:lineRule="exact"/>
              <w:rPr>
                <w:sz w:val="20"/>
                <w:szCs w:val="20"/>
                <w:color w:val="auto"/>
              </w:rPr>
            </w:pPr>
            <w:r>
              <w:rPr>
                <w:rFonts w:ascii="Times New Roman" w:cs="Times New Roman" w:eastAsia="Times New Roman" w:hAnsi="Times New Roman"/>
                <w:sz w:val="14"/>
                <w:szCs w:val="14"/>
                <w:b w:val="1"/>
                <w:bCs w:val="1"/>
                <w:color w:val="auto"/>
              </w:rPr>
              <w:t>Amortized</w:t>
            </w:r>
          </w:p>
        </w:tc>
        <w:tc>
          <w:tcPr>
            <w:tcW w:w="140" w:type="dxa"/>
            <w:vAlign w:val="bottom"/>
            <w:tcBorders>
              <w:top w:val="single" w:sz="8" w:color="auto"/>
            </w:tcBorders>
          </w:tcPr>
          <w:p>
            <w:pPr>
              <w:spacing w:after="0"/>
              <w:rPr>
                <w:sz w:val="11"/>
                <w:szCs w:val="11"/>
                <w:color w:val="auto"/>
              </w:rPr>
            </w:pPr>
          </w:p>
        </w:tc>
        <w:tc>
          <w:tcPr>
            <w:tcW w:w="900" w:type="dxa"/>
            <w:vAlign w:val="bottom"/>
            <w:tcBorders>
              <w:top w:val="single" w:sz="8" w:color="auto"/>
            </w:tcBorders>
          </w:tcPr>
          <w:p>
            <w:pPr>
              <w:jc w:val="center"/>
              <w:ind w:right="68"/>
              <w:spacing w:after="0" w:line="131" w:lineRule="exact"/>
              <w:rPr>
                <w:sz w:val="20"/>
                <w:szCs w:val="20"/>
                <w:color w:val="auto"/>
              </w:rPr>
            </w:pPr>
            <w:r>
              <w:rPr>
                <w:rFonts w:ascii="Times New Roman" w:cs="Times New Roman" w:eastAsia="Times New Roman" w:hAnsi="Times New Roman"/>
                <w:sz w:val="14"/>
                <w:szCs w:val="14"/>
                <w:b w:val="1"/>
                <w:bCs w:val="1"/>
                <w:color w:val="auto"/>
              </w:rPr>
              <w:t>Accrued</w:t>
            </w:r>
          </w:p>
        </w:tc>
        <w:tc>
          <w:tcPr>
            <w:tcW w:w="0" w:type="dxa"/>
            <w:vAlign w:val="bottom"/>
          </w:tcPr>
          <w:p>
            <w:pPr>
              <w:spacing w:after="0"/>
              <w:rPr>
                <w:sz w:val="1"/>
                <w:szCs w:val="1"/>
                <w:color w:val="auto"/>
              </w:rPr>
            </w:pPr>
          </w:p>
        </w:tc>
      </w:tr>
      <w:tr>
        <w:trPr>
          <w:trHeight w:val="149"/>
        </w:trPr>
        <w:tc>
          <w:tcPr>
            <w:tcW w:w="39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Securities Pledged by Remaining Maturity of Repurchase</w:t>
            </w:r>
          </w:p>
        </w:tc>
        <w:tc>
          <w:tcPr>
            <w:tcW w:w="140" w:type="dxa"/>
            <w:vAlign w:val="bottom"/>
          </w:tcPr>
          <w:p>
            <w:pPr>
              <w:spacing w:after="0"/>
              <w:rPr>
                <w:sz w:val="12"/>
                <w:szCs w:val="12"/>
                <w:color w:val="auto"/>
              </w:rPr>
            </w:pPr>
          </w:p>
        </w:tc>
        <w:tc>
          <w:tcPr>
            <w:tcW w:w="114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Fair Value of</w:t>
            </w:r>
          </w:p>
        </w:tc>
        <w:tc>
          <w:tcPr>
            <w:tcW w:w="160" w:type="dxa"/>
            <w:vAlign w:val="bottom"/>
          </w:tcPr>
          <w:p>
            <w:pPr>
              <w:spacing w:after="0"/>
              <w:rPr>
                <w:sz w:val="12"/>
                <w:szCs w:val="12"/>
                <w:color w:val="auto"/>
              </w:rPr>
            </w:pPr>
          </w:p>
        </w:tc>
        <w:tc>
          <w:tcPr>
            <w:tcW w:w="106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rPr>
              <w:t>Cost of</w:t>
            </w:r>
          </w:p>
        </w:tc>
        <w:tc>
          <w:tcPr>
            <w:tcW w:w="140" w:type="dxa"/>
            <w:vAlign w:val="bottom"/>
          </w:tcPr>
          <w:p>
            <w:pPr>
              <w:spacing w:after="0"/>
              <w:rPr>
                <w:sz w:val="12"/>
                <w:szCs w:val="12"/>
                <w:color w:val="auto"/>
              </w:rPr>
            </w:pPr>
          </w:p>
        </w:tc>
        <w:tc>
          <w:tcPr>
            <w:tcW w:w="1000" w:type="dxa"/>
            <w:vAlign w:val="bottom"/>
            <w:gridSpan w:val="2"/>
          </w:tcPr>
          <w:p>
            <w:pPr>
              <w:jc w:val="center"/>
              <w:ind w:right="240"/>
              <w:spacing w:after="0" w:line="149" w:lineRule="exact"/>
              <w:rPr>
                <w:sz w:val="20"/>
                <w:szCs w:val="20"/>
                <w:color w:val="auto"/>
              </w:rPr>
            </w:pPr>
            <w:r>
              <w:rPr>
                <w:rFonts w:ascii="Times New Roman" w:cs="Times New Roman" w:eastAsia="Times New Roman" w:hAnsi="Times New Roman"/>
                <w:sz w:val="14"/>
                <w:szCs w:val="14"/>
                <w:b w:val="1"/>
                <w:bCs w:val="1"/>
                <w:color w:val="auto"/>
              </w:rPr>
              <w:t>Interest on</w:t>
            </w:r>
          </w:p>
        </w:tc>
        <w:tc>
          <w:tcPr>
            <w:tcW w:w="160" w:type="dxa"/>
            <w:vAlign w:val="bottom"/>
          </w:tcPr>
          <w:p>
            <w:pPr>
              <w:spacing w:after="0"/>
              <w:rPr>
                <w:sz w:val="12"/>
                <w:szCs w:val="12"/>
                <w:color w:val="auto"/>
              </w:rPr>
            </w:pPr>
          </w:p>
        </w:tc>
        <w:tc>
          <w:tcPr>
            <w:tcW w:w="1060" w:type="dxa"/>
            <w:vAlign w:val="bottom"/>
            <w:vMerge w:val="restart"/>
          </w:tcPr>
          <w:p>
            <w:pPr>
              <w:jc w:val="right"/>
              <w:ind w:right="128"/>
              <w:spacing w:after="0"/>
              <w:rPr>
                <w:sz w:val="20"/>
                <w:szCs w:val="20"/>
                <w:color w:val="auto"/>
              </w:rPr>
            </w:pPr>
            <w:r>
              <w:rPr>
                <w:rFonts w:ascii="Times New Roman" w:cs="Times New Roman" w:eastAsia="Times New Roman" w:hAnsi="Times New Roman"/>
                <w:sz w:val="14"/>
                <w:szCs w:val="14"/>
                <w:b w:val="1"/>
                <w:bCs w:val="1"/>
                <w:color w:val="auto"/>
              </w:rPr>
              <w:t>Fair Value of</w:t>
            </w: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rPr>
              <w:t>Cost of</w:t>
            </w:r>
          </w:p>
        </w:tc>
        <w:tc>
          <w:tcPr>
            <w:tcW w:w="140" w:type="dxa"/>
            <w:vAlign w:val="bottom"/>
          </w:tcPr>
          <w:p>
            <w:pPr>
              <w:spacing w:after="0"/>
              <w:rPr>
                <w:sz w:val="12"/>
                <w:szCs w:val="12"/>
                <w:color w:val="auto"/>
              </w:rPr>
            </w:pPr>
          </w:p>
        </w:tc>
        <w:tc>
          <w:tcPr>
            <w:tcW w:w="900" w:type="dxa"/>
            <w:vAlign w:val="bottom"/>
          </w:tcPr>
          <w:p>
            <w:pPr>
              <w:jc w:val="center"/>
              <w:ind w:right="48"/>
              <w:spacing w:after="0" w:line="149" w:lineRule="exact"/>
              <w:rPr>
                <w:sz w:val="20"/>
                <w:szCs w:val="20"/>
                <w:color w:val="auto"/>
              </w:rPr>
            </w:pPr>
            <w:r>
              <w:rPr>
                <w:rFonts w:ascii="Times New Roman" w:cs="Times New Roman" w:eastAsia="Times New Roman" w:hAnsi="Times New Roman"/>
                <w:sz w:val="14"/>
                <w:szCs w:val="14"/>
                <w:b w:val="1"/>
                <w:bCs w:val="1"/>
                <w:color w:val="auto"/>
              </w:rPr>
              <w:t>Interest on</w:t>
            </w:r>
          </w:p>
        </w:tc>
        <w:tc>
          <w:tcPr>
            <w:tcW w:w="0" w:type="dxa"/>
            <w:vAlign w:val="bottom"/>
          </w:tcPr>
          <w:p>
            <w:pPr>
              <w:spacing w:after="0"/>
              <w:rPr>
                <w:sz w:val="1"/>
                <w:szCs w:val="1"/>
                <w:color w:val="auto"/>
              </w:rPr>
            </w:pPr>
          </w:p>
        </w:tc>
      </w:tr>
      <w:tr>
        <w:trPr>
          <w:trHeight w:val="146"/>
        </w:trPr>
        <w:tc>
          <w:tcPr>
            <w:tcW w:w="3920" w:type="dxa"/>
            <w:vAlign w:val="bottom"/>
            <w:gridSpan w:val="2"/>
            <w:vMerge w:val="continue"/>
          </w:tcPr>
          <w:p>
            <w:pPr>
              <w:spacing w:after="0"/>
              <w:rPr>
                <w:sz w:val="12"/>
                <w:szCs w:val="12"/>
                <w:color w:val="auto"/>
              </w:rPr>
            </w:pPr>
          </w:p>
        </w:tc>
        <w:tc>
          <w:tcPr>
            <w:tcW w:w="140" w:type="dxa"/>
            <w:vAlign w:val="bottom"/>
          </w:tcPr>
          <w:p>
            <w:pPr>
              <w:spacing w:after="0"/>
              <w:rPr>
                <w:sz w:val="12"/>
                <w:szCs w:val="12"/>
                <w:color w:val="auto"/>
              </w:rPr>
            </w:pPr>
          </w:p>
        </w:tc>
        <w:tc>
          <w:tcPr>
            <w:tcW w:w="1140" w:type="dxa"/>
            <w:vAlign w:val="bottom"/>
            <w:gridSpan w:val="2"/>
            <w:vMerge w:val="continue"/>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260"/>
              <w:spacing w:after="0" w:line="146" w:lineRule="exact"/>
              <w:rPr>
                <w:sz w:val="20"/>
                <w:szCs w:val="20"/>
                <w:color w:val="auto"/>
              </w:rPr>
            </w:pPr>
            <w:r>
              <w:rPr>
                <w:rFonts w:ascii="Times New Roman" w:cs="Times New Roman" w:eastAsia="Times New Roman" w:hAnsi="Times New Roman"/>
                <w:sz w:val="14"/>
                <w:szCs w:val="14"/>
                <w:b w:val="1"/>
                <w:bCs w:val="1"/>
                <w:color w:val="auto"/>
              </w:rPr>
              <w:t>Pledged</w:t>
            </w:r>
          </w:p>
        </w:tc>
        <w:tc>
          <w:tcPr>
            <w:tcW w:w="140" w:type="dxa"/>
            <w:vAlign w:val="bottom"/>
          </w:tcPr>
          <w:p>
            <w:pPr>
              <w:spacing w:after="0"/>
              <w:rPr>
                <w:sz w:val="12"/>
                <w:szCs w:val="12"/>
                <w:color w:val="auto"/>
              </w:rPr>
            </w:pPr>
          </w:p>
        </w:tc>
        <w:tc>
          <w:tcPr>
            <w:tcW w:w="1000" w:type="dxa"/>
            <w:vAlign w:val="bottom"/>
            <w:gridSpan w:val="2"/>
          </w:tcPr>
          <w:p>
            <w:pPr>
              <w:jc w:val="center"/>
              <w:ind w:right="240"/>
              <w:spacing w:after="0" w:line="146" w:lineRule="exact"/>
              <w:rPr>
                <w:sz w:val="20"/>
                <w:szCs w:val="20"/>
                <w:color w:val="auto"/>
              </w:rPr>
            </w:pPr>
            <w:r>
              <w:rPr>
                <w:rFonts w:ascii="Times New Roman" w:cs="Times New Roman" w:eastAsia="Times New Roman" w:hAnsi="Times New Roman"/>
                <w:sz w:val="14"/>
                <w:szCs w:val="14"/>
                <w:b w:val="1"/>
                <w:bCs w:val="1"/>
                <w:color w:val="auto"/>
              </w:rPr>
              <w:t>Pledged</w:t>
            </w:r>
          </w:p>
        </w:tc>
        <w:tc>
          <w:tcPr>
            <w:tcW w:w="160" w:type="dxa"/>
            <w:vAlign w:val="bottom"/>
          </w:tcPr>
          <w:p>
            <w:pPr>
              <w:spacing w:after="0"/>
              <w:rPr>
                <w:sz w:val="12"/>
                <w:szCs w:val="12"/>
                <w:color w:val="auto"/>
              </w:rPr>
            </w:pPr>
          </w:p>
        </w:tc>
        <w:tc>
          <w:tcPr>
            <w:tcW w:w="1060" w:type="dxa"/>
            <w:vAlign w:val="bottom"/>
            <w:vMerge w:val="continue"/>
          </w:tcPr>
          <w:p>
            <w:pPr>
              <w:spacing w:after="0"/>
              <w:rPr>
                <w:sz w:val="12"/>
                <w:szCs w:val="12"/>
                <w:color w:val="auto"/>
              </w:rPr>
            </w:pPr>
          </w:p>
        </w:tc>
        <w:tc>
          <w:tcPr>
            <w:tcW w:w="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60" w:type="dxa"/>
            <w:vAlign w:val="bottom"/>
            <w:gridSpan w:val="2"/>
          </w:tcPr>
          <w:p>
            <w:pPr>
              <w:jc w:val="center"/>
              <w:ind w:right="260"/>
              <w:spacing w:after="0" w:line="146" w:lineRule="exact"/>
              <w:rPr>
                <w:sz w:val="20"/>
                <w:szCs w:val="20"/>
                <w:color w:val="auto"/>
              </w:rPr>
            </w:pPr>
            <w:r>
              <w:rPr>
                <w:rFonts w:ascii="Times New Roman" w:cs="Times New Roman" w:eastAsia="Times New Roman" w:hAnsi="Times New Roman"/>
                <w:sz w:val="14"/>
                <w:szCs w:val="14"/>
                <w:b w:val="1"/>
                <w:bCs w:val="1"/>
                <w:color w:val="auto"/>
              </w:rPr>
              <w:t>Pledged</w:t>
            </w:r>
          </w:p>
        </w:tc>
        <w:tc>
          <w:tcPr>
            <w:tcW w:w="140" w:type="dxa"/>
            <w:vAlign w:val="bottom"/>
          </w:tcPr>
          <w:p>
            <w:pPr>
              <w:spacing w:after="0"/>
              <w:rPr>
                <w:sz w:val="12"/>
                <w:szCs w:val="12"/>
                <w:color w:val="auto"/>
              </w:rPr>
            </w:pPr>
          </w:p>
        </w:tc>
        <w:tc>
          <w:tcPr>
            <w:tcW w:w="900" w:type="dxa"/>
            <w:vAlign w:val="bottom"/>
          </w:tcPr>
          <w:p>
            <w:pPr>
              <w:jc w:val="center"/>
              <w:ind w:right="48"/>
              <w:spacing w:after="0" w:line="146" w:lineRule="exact"/>
              <w:rPr>
                <w:sz w:val="20"/>
                <w:szCs w:val="20"/>
                <w:color w:val="auto"/>
              </w:rPr>
            </w:pPr>
            <w:r>
              <w:rPr>
                <w:rFonts w:ascii="Times New Roman" w:cs="Times New Roman" w:eastAsia="Times New Roman" w:hAnsi="Times New Roman"/>
                <w:sz w:val="14"/>
                <w:szCs w:val="14"/>
                <w:b w:val="1"/>
                <w:bCs w:val="1"/>
                <w:color w:val="auto"/>
              </w:rPr>
              <w:t>Pledged</w:t>
            </w:r>
          </w:p>
        </w:tc>
        <w:tc>
          <w:tcPr>
            <w:tcW w:w="0" w:type="dxa"/>
            <w:vAlign w:val="bottom"/>
          </w:tcPr>
          <w:p>
            <w:pPr>
              <w:spacing w:after="0"/>
              <w:rPr>
                <w:sz w:val="1"/>
                <w:szCs w:val="1"/>
                <w:color w:val="auto"/>
              </w:rPr>
            </w:pPr>
          </w:p>
        </w:tc>
      </w:tr>
      <w:tr>
        <w:trPr>
          <w:trHeight w:val="202"/>
        </w:trPr>
        <w:tc>
          <w:tcPr>
            <w:tcW w:w="3920" w:type="dxa"/>
            <w:vAlign w:val="bottom"/>
            <w:gridSpan w:val="2"/>
          </w:tcPr>
          <w:p>
            <w:pPr>
              <w:ind w:left="20"/>
              <w:spacing w:after="0" w:line="202" w:lineRule="exact"/>
              <w:rPr>
                <w:sz w:val="20"/>
                <w:szCs w:val="20"/>
                <w:color w:val="auto"/>
              </w:rPr>
            </w:pPr>
            <w:r>
              <w:rPr>
                <w:rFonts w:ascii="Times New Roman" w:cs="Times New Roman" w:eastAsia="Times New Roman" w:hAnsi="Times New Roman"/>
                <w:sz w:val="14"/>
                <w:szCs w:val="14"/>
                <w:b w:val="1"/>
                <w:bCs w:val="1"/>
                <w:color w:val="auto"/>
              </w:rPr>
              <w:t xml:space="preserve">Agreements </w:t>
            </w:r>
            <w:r>
              <w:rPr>
                <w:rFonts w:ascii="Times New Roman" w:cs="Times New Roman" w:eastAsia="Times New Roman" w:hAnsi="Times New Roman"/>
                <w:sz w:val="18"/>
                <w:szCs w:val="18"/>
                <w:b w:val="1"/>
                <w:bCs w:val="1"/>
                <w:color w:val="auto"/>
                <w:vertAlign w:val="superscript"/>
              </w:rPr>
              <w:t>1,2</w:t>
            </w:r>
          </w:p>
        </w:tc>
        <w:tc>
          <w:tcPr>
            <w:tcW w:w="128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Pledged Securities</w:t>
            </w:r>
          </w:p>
        </w:tc>
        <w:tc>
          <w:tcPr>
            <w:tcW w:w="160" w:type="dxa"/>
            <w:vAlign w:val="bottom"/>
          </w:tcPr>
          <w:p>
            <w:pPr>
              <w:spacing w:after="0"/>
              <w:rPr>
                <w:sz w:val="17"/>
                <w:szCs w:val="17"/>
                <w:color w:val="auto"/>
              </w:rPr>
            </w:pPr>
          </w:p>
        </w:tc>
        <w:tc>
          <w:tcPr>
            <w:tcW w:w="106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140" w:type="dxa"/>
            <w:vAlign w:val="bottom"/>
          </w:tcPr>
          <w:p>
            <w:pPr>
              <w:spacing w:after="0"/>
              <w:rPr>
                <w:sz w:val="17"/>
                <w:szCs w:val="17"/>
                <w:color w:val="auto"/>
              </w:rPr>
            </w:pPr>
          </w:p>
        </w:tc>
        <w:tc>
          <w:tcPr>
            <w:tcW w:w="100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Pledged Securities</w:t>
            </w: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06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140" w:type="dxa"/>
            <w:vAlign w:val="bottom"/>
          </w:tcPr>
          <w:p>
            <w:pPr>
              <w:spacing w:after="0"/>
              <w:rPr>
                <w:sz w:val="17"/>
                <w:szCs w:val="17"/>
                <w:color w:val="auto"/>
              </w:rPr>
            </w:pPr>
          </w:p>
        </w:tc>
        <w:tc>
          <w:tcPr>
            <w:tcW w:w="900" w:type="dxa"/>
            <w:vAlign w:val="bottom"/>
          </w:tcPr>
          <w:p>
            <w:pPr>
              <w:jc w:val="center"/>
              <w:ind w:right="68"/>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0" w:type="dxa"/>
            <w:vAlign w:val="bottom"/>
          </w:tcPr>
          <w:p>
            <w:pPr>
              <w:spacing w:after="0"/>
              <w:rPr>
                <w:sz w:val="1"/>
                <w:szCs w:val="1"/>
                <w:color w:val="auto"/>
              </w:rPr>
            </w:pPr>
          </w:p>
        </w:tc>
      </w:tr>
      <w:tr>
        <w:trPr>
          <w:trHeight w:val="196"/>
        </w:trPr>
        <w:tc>
          <w:tcPr>
            <w:tcW w:w="3820" w:type="dxa"/>
            <w:vAlign w:val="bottom"/>
            <w:tcBorders>
              <w:top w:val="single" w:sz="8" w:color="auto"/>
            </w:tcBorders>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 30 days</w:t>
            </w: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22,124</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23,092</w:t>
            </w: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57</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24,548</w:t>
            </w:r>
          </w:p>
        </w:tc>
        <w:tc>
          <w:tcPr>
            <w:tcW w:w="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24,075</w:t>
            </w:r>
          </w:p>
        </w:tc>
        <w:tc>
          <w:tcPr>
            <w:tcW w:w="10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61</w:t>
            </w:r>
          </w:p>
        </w:tc>
        <w:tc>
          <w:tcPr>
            <w:tcW w:w="0" w:type="dxa"/>
            <w:vAlign w:val="bottom"/>
          </w:tcPr>
          <w:p>
            <w:pPr>
              <w:spacing w:after="0"/>
              <w:rPr>
                <w:sz w:val="1"/>
                <w:szCs w:val="1"/>
                <w:color w:val="auto"/>
              </w:rPr>
            </w:pPr>
          </w:p>
        </w:tc>
      </w:tr>
      <w:tr>
        <w:trPr>
          <w:trHeight w:val="195"/>
        </w:trPr>
        <w:tc>
          <w:tcPr>
            <w:tcW w:w="392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&gt; 30 and ≤ 60 days</w:t>
            </w:r>
          </w:p>
        </w:tc>
        <w:tc>
          <w:tcPr>
            <w:tcW w:w="140" w:type="dxa"/>
            <w:vAlign w:val="bottom"/>
          </w:tcPr>
          <w:p>
            <w:pPr>
              <w:spacing w:after="0"/>
              <w:rPr>
                <w:sz w:val="16"/>
                <w:szCs w:val="16"/>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7,468</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7,824</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w:t>
            </w:r>
          </w:p>
        </w:tc>
        <w:tc>
          <w:tcPr>
            <w:tcW w:w="1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0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7,869</w:t>
            </w: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7,735</w:t>
            </w:r>
          </w:p>
        </w:tc>
        <w:tc>
          <w:tcPr>
            <w:tcW w:w="10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w:t>
            </w:r>
          </w:p>
        </w:tc>
        <w:tc>
          <w:tcPr>
            <w:tcW w:w="0" w:type="dxa"/>
            <w:vAlign w:val="bottom"/>
          </w:tcPr>
          <w:p>
            <w:pPr>
              <w:spacing w:after="0"/>
              <w:rPr>
                <w:sz w:val="1"/>
                <w:szCs w:val="1"/>
                <w:color w:val="auto"/>
              </w:rPr>
            </w:pPr>
          </w:p>
        </w:tc>
      </w:tr>
      <w:tr>
        <w:trPr>
          <w:trHeight w:val="210"/>
        </w:trPr>
        <w:tc>
          <w:tcPr>
            <w:tcW w:w="392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&gt; 60 and ≤ 90 days</w:t>
            </w:r>
          </w:p>
        </w:tc>
        <w:tc>
          <w:tcPr>
            <w:tcW w:w="140" w:type="dxa"/>
            <w:vAlign w:val="bottom"/>
            <w:shd w:val="clear" w:color="auto" w:fill="CCEEFF"/>
          </w:tcPr>
          <w:p>
            <w:pPr>
              <w:spacing w:after="0"/>
              <w:rPr>
                <w:sz w:val="18"/>
                <w:szCs w:val="18"/>
                <w:color w:val="auto"/>
              </w:rPr>
            </w:pP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6,187</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6,410</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7,006</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6,906</w:t>
            </w:r>
          </w:p>
        </w:tc>
        <w:tc>
          <w:tcPr>
            <w:tcW w:w="1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w:t>
            </w:r>
          </w:p>
        </w:tc>
        <w:tc>
          <w:tcPr>
            <w:tcW w:w="0" w:type="dxa"/>
            <w:vAlign w:val="bottom"/>
          </w:tcPr>
          <w:p>
            <w:pPr>
              <w:spacing w:after="0"/>
              <w:rPr>
                <w:sz w:val="1"/>
                <w:szCs w:val="1"/>
                <w:color w:val="auto"/>
              </w:rPr>
            </w:pPr>
          </w:p>
        </w:tc>
      </w:tr>
      <w:tr>
        <w:trPr>
          <w:trHeight w:val="196"/>
        </w:trPr>
        <w:tc>
          <w:tcPr>
            <w:tcW w:w="3920" w:type="dxa"/>
            <w:vAlign w:val="bottom"/>
            <w:tcBorders>
              <w:bottom w:val="single" w:sz="8" w:color="CCEEFF"/>
            </w:tcBorders>
            <w:gridSpan w:val="2"/>
          </w:tcPr>
          <w:p>
            <w:pPr>
              <w:ind w:left="100"/>
              <w:spacing w:after="0"/>
              <w:rPr>
                <w:sz w:val="20"/>
                <w:szCs w:val="20"/>
                <w:color w:val="auto"/>
              </w:rPr>
            </w:pPr>
            <w:r>
              <w:rPr>
                <w:rFonts w:ascii="Times New Roman" w:cs="Times New Roman" w:eastAsia="Times New Roman" w:hAnsi="Times New Roman"/>
                <w:sz w:val="14"/>
                <w:szCs w:val="14"/>
                <w:color w:val="auto"/>
              </w:rPr>
              <w:t>&gt; 90 days</w:t>
            </w:r>
          </w:p>
        </w:tc>
        <w:tc>
          <w:tcPr>
            <w:tcW w:w="14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10,369</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10,989</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24</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0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9,073</w:t>
            </w:r>
          </w:p>
        </w:tc>
        <w:tc>
          <w:tcPr>
            <w:tcW w:w="20" w:type="dxa"/>
            <w:vAlign w:val="bottom"/>
            <w:tcBorders>
              <w:bottom w:val="single" w:sz="8" w:color="auto"/>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9,036</w:t>
            </w:r>
          </w:p>
        </w:tc>
        <w:tc>
          <w:tcPr>
            <w:tcW w:w="100" w:type="dxa"/>
            <w:vAlign w:val="bottom"/>
            <w:tcBorders>
              <w:bottom w:val="single" w:sz="8" w:color="CCEEFF"/>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21</w:t>
            </w:r>
          </w:p>
        </w:tc>
        <w:tc>
          <w:tcPr>
            <w:tcW w:w="0" w:type="dxa"/>
            <w:vAlign w:val="bottom"/>
          </w:tcPr>
          <w:p>
            <w:pPr>
              <w:spacing w:after="0"/>
              <w:rPr>
                <w:sz w:val="1"/>
                <w:szCs w:val="1"/>
                <w:color w:val="auto"/>
              </w:rPr>
            </w:pPr>
          </w:p>
        </w:tc>
      </w:tr>
      <w:tr>
        <w:trPr>
          <w:trHeight w:val="228"/>
        </w:trPr>
        <w:tc>
          <w:tcPr>
            <w:tcW w:w="3920" w:type="dxa"/>
            <w:vAlign w:val="bottom"/>
            <w:tcBorders>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Total</w:t>
            </w:r>
          </w:p>
        </w:tc>
        <w:tc>
          <w:tcPr>
            <w:tcW w:w="14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46,148</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48,315</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116</w:t>
            </w:r>
          </w:p>
        </w:tc>
        <w:tc>
          <w:tcPr>
            <w:tcW w:w="10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48,496</w:t>
            </w:r>
          </w:p>
        </w:tc>
        <w:tc>
          <w:tcPr>
            <w:tcW w:w="2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47,752</w:t>
            </w:r>
          </w:p>
        </w:tc>
        <w:tc>
          <w:tcPr>
            <w:tcW w:w="10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117</w:t>
            </w:r>
          </w:p>
        </w:tc>
        <w:tc>
          <w:tcPr>
            <w:tcW w:w="0" w:type="dxa"/>
            <w:vAlign w:val="bottom"/>
          </w:tcPr>
          <w:p>
            <w:pPr>
              <w:spacing w:after="0"/>
              <w:rPr>
                <w:sz w:val="1"/>
                <w:szCs w:val="1"/>
                <w:color w:val="auto"/>
              </w:rPr>
            </w:pPr>
          </w:p>
        </w:tc>
      </w:tr>
      <w:tr>
        <w:trPr>
          <w:trHeight w:val="20"/>
        </w:trPr>
        <w:tc>
          <w:tcPr>
            <w:tcW w:w="38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right="160" w:hanging="328"/>
        <w:spacing w:after="0" w:line="260" w:lineRule="auto"/>
        <w:tabs>
          <w:tab w:leader="none" w:pos="660" w:val="left"/>
        </w:tabs>
        <w:numPr>
          <w:ilvl w:val="0"/>
          <w:numId w:val="1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$68 million and $81 million of retained interests in our consolidated VIEs pledged as collateral under repurchase agreements as of March 31, 2022 and December 31, 2021, respectively.</w:t>
      </w:r>
    </w:p>
    <w:p>
      <w:pPr>
        <w:ind w:left="660" w:hanging="328"/>
        <w:spacing w:after="0"/>
        <w:tabs>
          <w:tab w:leader="none" w:pos="660" w:val="left"/>
        </w:tabs>
        <w:numPr>
          <w:ilvl w:val="0"/>
          <w:numId w:val="1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Excludes $0.2 billion of repledged U.S. Treasury securities received as collateral from counterparties as of March 31, 2022.</w:t>
      </w:r>
    </w:p>
    <w:p>
      <w:pPr>
        <w:spacing w:after="0" w:line="15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Assets Pledged from Counterparties</w:t>
      </w:r>
    </w:p>
    <w:p>
      <w:pPr>
        <w:spacing w:after="0" w:line="175" w:lineRule="exact"/>
        <w:rPr>
          <w:sz w:val="20"/>
          <w:szCs w:val="20"/>
          <w:color w:val="auto"/>
        </w:rPr>
      </w:pPr>
    </w:p>
    <w:p>
      <w:pPr>
        <w:ind w:right="20" w:firstLine="405"/>
        <w:spacing w:after="0" w:line="282" w:lineRule="auto"/>
        <w:rPr>
          <w:sz w:val="20"/>
          <w:szCs w:val="20"/>
          <w:color w:val="auto"/>
        </w:rPr>
      </w:pPr>
      <w:r>
        <w:rPr>
          <w:rFonts w:ascii="Times New Roman" w:cs="Times New Roman" w:eastAsia="Times New Roman" w:hAnsi="Times New Roman"/>
          <w:sz w:val="18"/>
          <w:szCs w:val="18"/>
          <w:color w:val="auto"/>
        </w:rPr>
        <w:t>As of March 31, 2022 and December 31, 2021, we had assets pledged to us from counterparties as collateral under our reverse repurchase and derivative agreements summarized in the tables below (in millions).</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20" w:name="page21"/>
    <w:bookmarkEnd w:id="20"/>
    <w:tbl>
      <w:tblPr>
        <w:tblLayout w:type="fixed"/>
        <w:tblInd w:w="0" w:type="dxa"/>
        <w:tblCellMar>
          <w:top w:w="0" w:type="dxa"/>
          <w:left w:w="0" w:type="dxa"/>
          <w:bottom w:w="0" w:type="dxa"/>
          <w:right w:w="0" w:type="dxa"/>
        </w:tblCellMar>
      </w:tblPr>
      <w:tr>
        <w:trPr>
          <w:trHeight w:val="190"/>
        </w:trPr>
        <w:tc>
          <w:tcPr>
            <w:tcW w:w="2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80" w:type="dxa"/>
            <w:vAlign w:val="bottom"/>
            <w:gridSpan w:val="4"/>
          </w:tcPr>
          <w:p>
            <w:pPr>
              <w:jc w:val="right"/>
              <w:ind w:right="568"/>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060" w:type="dxa"/>
            <w:vAlign w:val="bottom"/>
            <w:gridSpan w:val="4"/>
          </w:tcPr>
          <w:p>
            <w:pPr>
              <w:jc w:val="right"/>
              <w:ind w:right="468"/>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30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1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21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00" w:type="dxa"/>
            <w:vAlign w:val="bottom"/>
            <w:gridSpan w:val="2"/>
          </w:tcPr>
          <w:p>
            <w:pPr>
              <w:jc w:val="center"/>
              <w:ind w:right="220"/>
              <w:spacing w:after="0" w:line="131" w:lineRule="exact"/>
              <w:rPr>
                <w:sz w:val="20"/>
                <w:szCs w:val="20"/>
                <w:color w:val="auto"/>
              </w:rPr>
            </w:pPr>
            <w:r>
              <w:rPr>
                <w:rFonts w:ascii="Times New Roman" w:cs="Times New Roman" w:eastAsia="Times New Roman" w:hAnsi="Times New Roman"/>
                <w:sz w:val="14"/>
                <w:szCs w:val="14"/>
                <w:b w:val="1"/>
                <w:bCs w:val="1"/>
                <w:color w:val="auto"/>
              </w:rPr>
              <w:t>Reverse</w:t>
            </w:r>
          </w:p>
        </w:tc>
        <w:tc>
          <w:tcPr>
            <w:tcW w:w="120" w:type="dxa"/>
            <w:vAlign w:val="bottom"/>
          </w:tcPr>
          <w:p>
            <w:pPr>
              <w:spacing w:after="0"/>
              <w:rPr>
                <w:sz w:val="11"/>
                <w:szCs w:val="11"/>
                <w:color w:val="auto"/>
              </w:rPr>
            </w:pPr>
          </w:p>
        </w:tc>
        <w:tc>
          <w:tcPr>
            <w:tcW w:w="1020" w:type="dxa"/>
            <w:vAlign w:val="bottom"/>
            <w:gridSpan w:val="2"/>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Derivative</w:t>
            </w:r>
          </w:p>
        </w:tc>
        <w:tc>
          <w:tcPr>
            <w:tcW w:w="120" w:type="dxa"/>
            <w:vAlign w:val="bottom"/>
          </w:tcPr>
          <w:p>
            <w:pPr>
              <w:spacing w:after="0"/>
              <w:rPr>
                <w:sz w:val="11"/>
                <w:szCs w:val="11"/>
                <w:color w:val="auto"/>
              </w:rPr>
            </w:pPr>
          </w:p>
        </w:tc>
        <w:tc>
          <w:tcPr>
            <w:tcW w:w="94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rPr>
              <w:t>Repurchase</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020" w:type="dxa"/>
            <w:vAlign w:val="bottom"/>
            <w:gridSpan w:val="2"/>
          </w:tcPr>
          <w:p>
            <w:pPr>
              <w:jc w:val="center"/>
              <w:ind w:right="240"/>
              <w:spacing w:after="0" w:line="131" w:lineRule="exact"/>
              <w:rPr>
                <w:sz w:val="20"/>
                <w:szCs w:val="20"/>
                <w:color w:val="auto"/>
              </w:rPr>
            </w:pPr>
            <w:r>
              <w:rPr>
                <w:rFonts w:ascii="Times New Roman" w:cs="Times New Roman" w:eastAsia="Times New Roman" w:hAnsi="Times New Roman"/>
                <w:sz w:val="14"/>
                <w:szCs w:val="14"/>
                <w:b w:val="1"/>
                <w:bCs w:val="1"/>
                <w:color w:val="auto"/>
              </w:rPr>
              <w:t>Reverse</w:t>
            </w:r>
          </w:p>
        </w:tc>
        <w:tc>
          <w:tcPr>
            <w:tcW w:w="120" w:type="dxa"/>
            <w:vAlign w:val="bottom"/>
          </w:tcPr>
          <w:p>
            <w:pPr>
              <w:spacing w:after="0"/>
              <w:rPr>
                <w:sz w:val="11"/>
                <w:szCs w:val="11"/>
                <w:color w:val="auto"/>
              </w:rPr>
            </w:pPr>
          </w:p>
        </w:tc>
        <w:tc>
          <w:tcPr>
            <w:tcW w:w="1000" w:type="dxa"/>
            <w:vAlign w:val="bottom"/>
            <w:gridSpan w:val="2"/>
            <w:vMerge w:val="restart"/>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Derivative</w:t>
            </w:r>
          </w:p>
        </w:tc>
        <w:tc>
          <w:tcPr>
            <w:tcW w:w="120" w:type="dxa"/>
            <w:vAlign w:val="bottom"/>
          </w:tcPr>
          <w:p>
            <w:pPr>
              <w:spacing w:after="0"/>
              <w:rPr>
                <w:sz w:val="11"/>
                <w:szCs w:val="11"/>
                <w:color w:val="auto"/>
              </w:rPr>
            </w:pPr>
          </w:p>
        </w:tc>
        <w:tc>
          <w:tcPr>
            <w:tcW w:w="940" w:type="dxa"/>
            <w:vAlign w:val="bottom"/>
            <w:vMerge w:val="restart"/>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rPr>
              <w:t>Repurchase</w:t>
            </w:r>
          </w:p>
        </w:tc>
        <w:tc>
          <w:tcPr>
            <w:tcW w:w="3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216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Assets Pledged to AGNC</w:t>
            </w:r>
          </w:p>
        </w:tc>
        <w:tc>
          <w:tcPr>
            <w:tcW w:w="12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000" w:type="dxa"/>
            <w:vAlign w:val="bottom"/>
            <w:gridSpan w:val="2"/>
          </w:tcPr>
          <w:p>
            <w:pPr>
              <w:jc w:val="center"/>
              <w:ind w:right="220"/>
              <w:spacing w:after="0" w:line="146" w:lineRule="exact"/>
              <w:rPr>
                <w:sz w:val="20"/>
                <w:szCs w:val="20"/>
                <w:color w:val="auto"/>
              </w:rPr>
            </w:pPr>
            <w:r>
              <w:rPr>
                <w:rFonts w:ascii="Times New Roman" w:cs="Times New Roman" w:eastAsia="Times New Roman" w:hAnsi="Times New Roman"/>
                <w:sz w:val="14"/>
                <w:szCs w:val="14"/>
                <w:b w:val="1"/>
                <w:bCs w:val="1"/>
                <w:color w:val="auto"/>
              </w:rPr>
              <w:t>Repurchase</w:t>
            </w:r>
          </w:p>
        </w:tc>
        <w:tc>
          <w:tcPr>
            <w:tcW w:w="120" w:type="dxa"/>
            <w:vAlign w:val="bottom"/>
          </w:tcPr>
          <w:p>
            <w:pPr>
              <w:spacing w:after="0"/>
              <w:rPr>
                <w:sz w:val="12"/>
                <w:szCs w:val="12"/>
                <w:color w:val="auto"/>
              </w:rPr>
            </w:pPr>
          </w:p>
        </w:tc>
        <w:tc>
          <w:tcPr>
            <w:tcW w:w="102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vMerge w:val="restart"/>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100" w:type="dxa"/>
            <w:vAlign w:val="bottom"/>
            <w:vMerge w:val="restart"/>
          </w:tcPr>
          <w:p>
            <w:pPr>
              <w:spacing w:after="0"/>
              <w:rPr>
                <w:sz w:val="12"/>
                <w:szCs w:val="12"/>
                <w:color w:val="auto"/>
              </w:rPr>
            </w:pPr>
          </w:p>
        </w:tc>
        <w:tc>
          <w:tcPr>
            <w:tcW w:w="120" w:type="dxa"/>
            <w:vAlign w:val="bottom"/>
          </w:tcPr>
          <w:p>
            <w:pPr>
              <w:spacing w:after="0"/>
              <w:rPr>
                <w:sz w:val="12"/>
                <w:szCs w:val="12"/>
                <w:color w:val="auto"/>
              </w:rPr>
            </w:pPr>
          </w:p>
        </w:tc>
        <w:tc>
          <w:tcPr>
            <w:tcW w:w="1020" w:type="dxa"/>
            <w:vAlign w:val="bottom"/>
            <w:gridSpan w:val="2"/>
          </w:tcPr>
          <w:p>
            <w:pPr>
              <w:jc w:val="center"/>
              <w:ind w:right="240"/>
              <w:spacing w:after="0" w:line="146" w:lineRule="exact"/>
              <w:rPr>
                <w:sz w:val="20"/>
                <w:szCs w:val="20"/>
                <w:color w:val="auto"/>
              </w:rPr>
            </w:pPr>
            <w:r>
              <w:rPr>
                <w:rFonts w:ascii="Times New Roman" w:cs="Times New Roman" w:eastAsia="Times New Roman" w:hAnsi="Times New Roman"/>
                <w:sz w:val="14"/>
                <w:szCs w:val="14"/>
                <w:b w:val="1"/>
                <w:bCs w:val="1"/>
                <w:color w:val="auto"/>
              </w:rPr>
              <w:t>Repurchase</w:t>
            </w:r>
          </w:p>
        </w:tc>
        <w:tc>
          <w:tcPr>
            <w:tcW w:w="120" w:type="dxa"/>
            <w:vAlign w:val="bottom"/>
          </w:tcPr>
          <w:p>
            <w:pPr>
              <w:spacing w:after="0"/>
              <w:rPr>
                <w:sz w:val="12"/>
                <w:szCs w:val="12"/>
                <w:color w:val="auto"/>
              </w:rPr>
            </w:pPr>
          </w:p>
        </w:tc>
        <w:tc>
          <w:tcPr>
            <w:tcW w:w="1000" w:type="dxa"/>
            <w:vAlign w:val="bottom"/>
            <w:gridSpan w:val="2"/>
            <w:vMerge w:val="continue"/>
          </w:tcPr>
          <w:p>
            <w:pPr>
              <w:spacing w:after="0"/>
              <w:rPr>
                <w:sz w:val="12"/>
                <w:szCs w:val="12"/>
                <w:color w:val="auto"/>
              </w:rPr>
            </w:pPr>
          </w:p>
        </w:tc>
        <w:tc>
          <w:tcPr>
            <w:tcW w:w="120" w:type="dxa"/>
            <w:vAlign w:val="bottom"/>
          </w:tcPr>
          <w:p>
            <w:pPr>
              <w:spacing w:after="0"/>
              <w:rPr>
                <w:sz w:val="12"/>
                <w:szCs w:val="12"/>
                <w:color w:val="auto"/>
              </w:rPr>
            </w:pPr>
          </w:p>
        </w:tc>
        <w:tc>
          <w:tcPr>
            <w:tcW w:w="940" w:type="dxa"/>
            <w:vAlign w:val="bottom"/>
            <w:vMerge w:val="continue"/>
          </w:tcPr>
          <w:p>
            <w:pPr>
              <w:spacing w:after="0"/>
              <w:rPr>
                <w:sz w:val="12"/>
                <w:szCs w:val="12"/>
                <w:color w:val="auto"/>
              </w:rPr>
            </w:pPr>
          </w:p>
        </w:tc>
        <w:tc>
          <w:tcPr>
            <w:tcW w:w="300" w:type="dxa"/>
            <w:vAlign w:val="bottom"/>
          </w:tcPr>
          <w:p>
            <w:pPr>
              <w:spacing w:after="0"/>
              <w:rPr>
                <w:sz w:val="12"/>
                <w:szCs w:val="12"/>
                <w:color w:val="auto"/>
              </w:rPr>
            </w:pPr>
          </w:p>
        </w:tc>
        <w:tc>
          <w:tcPr>
            <w:tcW w:w="800" w:type="dxa"/>
            <w:vAlign w:val="bottom"/>
            <w:vMerge w:val="restart"/>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Total</w:t>
            </w:r>
          </w:p>
        </w:tc>
        <w:tc>
          <w:tcPr>
            <w:tcW w:w="0" w:type="dxa"/>
            <w:vAlign w:val="bottom"/>
          </w:tcPr>
          <w:p>
            <w:pPr>
              <w:spacing w:after="0"/>
              <w:rPr>
                <w:sz w:val="1"/>
                <w:szCs w:val="1"/>
                <w:color w:val="auto"/>
              </w:rPr>
            </w:pPr>
          </w:p>
        </w:tc>
      </w:tr>
      <w:tr>
        <w:trPr>
          <w:trHeight w:val="198"/>
        </w:trPr>
        <w:tc>
          <w:tcPr>
            <w:tcW w:w="2160" w:type="dxa"/>
            <w:vAlign w:val="bottom"/>
            <w:tcBorders>
              <w:bottom w:val="single" w:sz="8" w:color="auto"/>
            </w:tcBorders>
            <w:vMerge w:val="continue"/>
          </w:tcPr>
          <w:p>
            <w:pPr>
              <w:spacing w:after="0"/>
              <w:rPr>
                <w:sz w:val="17"/>
                <w:szCs w:val="17"/>
                <w:color w:val="auto"/>
              </w:rPr>
            </w:pPr>
          </w:p>
        </w:tc>
        <w:tc>
          <w:tcPr>
            <w:tcW w:w="120" w:type="dxa"/>
            <w:vAlign w:val="bottom"/>
            <w:tcBorders>
              <w:bottom w:val="single" w:sz="8" w:color="CCEEFF"/>
            </w:tcBorders>
            <w:vMerge w:val="continue"/>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Agreements</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b w:val="1"/>
                <w:bCs w:val="1"/>
                <w:color w:val="auto"/>
              </w:rPr>
              <w:t>Agreements</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rPr>
              <w:t>Agreements</w:t>
            </w:r>
          </w:p>
        </w:tc>
        <w:tc>
          <w:tcPr>
            <w:tcW w:w="3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vMerge w:val="continue"/>
          </w:tcPr>
          <w:p>
            <w:pPr>
              <w:spacing w:after="0"/>
              <w:rPr>
                <w:sz w:val="17"/>
                <w:szCs w:val="17"/>
                <w:color w:val="auto"/>
              </w:rPr>
            </w:pPr>
          </w:p>
        </w:tc>
        <w:tc>
          <w:tcPr>
            <w:tcW w:w="100" w:type="dxa"/>
            <w:vAlign w:val="bottom"/>
            <w:tcBorders>
              <w:bottom w:val="single" w:sz="8" w:color="CCEEFF"/>
            </w:tcBorders>
            <w:vMerge w:val="continue"/>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00" w:type="dxa"/>
            <w:vAlign w:val="bottom"/>
            <w:tcBorders>
              <w:bottom w:val="single" w:sz="8" w:color="auto"/>
            </w:tcBorders>
          </w:tcPr>
          <w:p>
            <w:pPr>
              <w:jc w:val="center"/>
              <w:ind w:right="48"/>
              <w:spacing w:after="0"/>
              <w:rPr>
                <w:sz w:val="20"/>
                <w:szCs w:val="20"/>
                <w:color w:val="auto"/>
              </w:rPr>
            </w:pPr>
            <w:r>
              <w:rPr>
                <w:rFonts w:ascii="Times New Roman" w:cs="Times New Roman" w:eastAsia="Times New Roman" w:hAnsi="Times New Roman"/>
                <w:sz w:val="14"/>
                <w:szCs w:val="14"/>
                <w:b w:val="1"/>
                <w:bCs w:val="1"/>
                <w:color w:val="auto"/>
              </w:rPr>
              <w:t>Agreements</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gridSpan w:val="2"/>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Agreements</w:t>
            </w:r>
          </w:p>
        </w:tc>
        <w:tc>
          <w:tcPr>
            <w:tcW w:w="120" w:type="dxa"/>
            <w:vAlign w:val="bottom"/>
            <w:tcBorders>
              <w:bottom w:val="single" w:sz="8" w:color="auto"/>
            </w:tcBorders>
          </w:tcPr>
          <w:p>
            <w:pPr>
              <w:spacing w:after="0"/>
              <w:rPr>
                <w:sz w:val="17"/>
                <w:szCs w:val="17"/>
                <w:color w:val="auto"/>
              </w:rPr>
            </w:pPr>
          </w:p>
        </w:tc>
        <w:tc>
          <w:tcPr>
            <w:tcW w:w="940" w:type="dxa"/>
            <w:vAlign w:val="bottom"/>
            <w:tcBorders>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b w:val="1"/>
                <w:bCs w:val="1"/>
                <w:color w:val="auto"/>
              </w:rPr>
              <w:t>Agreements</w:t>
            </w:r>
          </w:p>
        </w:tc>
        <w:tc>
          <w:tcPr>
            <w:tcW w:w="30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33"/>
        </w:trPr>
        <w:tc>
          <w:tcPr>
            <w:tcW w:w="2160" w:type="dxa"/>
            <w:vAlign w:val="bottom"/>
            <w:shd w:val="clear" w:color="auto" w:fill="CCEEFF"/>
          </w:tcPr>
          <w:p>
            <w:pPr>
              <w:ind w:left="20"/>
              <w:spacing w:after="0" w:line="134" w:lineRule="exact"/>
              <w:rPr>
                <w:sz w:val="20"/>
                <w:szCs w:val="20"/>
                <w:color w:val="auto"/>
              </w:rPr>
            </w:pPr>
            <w:r>
              <w:rPr>
                <w:rFonts w:ascii="Times New Roman" w:cs="Times New Roman" w:eastAsia="Times New Roman" w:hAnsi="Times New Roman"/>
                <w:sz w:val="14"/>
                <w:szCs w:val="14"/>
                <w:color w:val="auto"/>
              </w:rPr>
              <w:t>U.S. Treasury securities - fair value</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10,535</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17</w:t>
            </w:r>
          </w:p>
        </w:tc>
        <w:tc>
          <w:tcPr>
            <w:tcW w:w="300" w:type="dxa"/>
            <w:vAlign w:val="bottom"/>
            <w:vMerge w:val="restart"/>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vMerge w:val="restart"/>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10,552</w:t>
            </w:r>
          </w:p>
        </w:tc>
        <w:tc>
          <w:tcPr>
            <w:tcW w:w="10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10,420</w:t>
            </w:r>
          </w:p>
        </w:tc>
        <w:tc>
          <w:tcPr>
            <w:tcW w:w="120" w:type="dxa"/>
            <w:vAlign w:val="bottom"/>
            <w:shd w:val="clear" w:color="auto" w:fill="CCEEFF"/>
          </w:tcPr>
          <w:p>
            <w:pPr>
              <w:spacing w:after="0"/>
              <w:rPr>
                <w:sz w:val="11"/>
                <w:szCs w:val="11"/>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0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vMerge w:val="restart"/>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11</w:t>
            </w:r>
          </w:p>
        </w:tc>
        <w:tc>
          <w:tcPr>
            <w:tcW w:w="300" w:type="dxa"/>
            <w:vAlign w:val="bottom"/>
            <w:vMerge w:val="restart"/>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10,431</w:t>
            </w:r>
          </w:p>
        </w:tc>
        <w:tc>
          <w:tcPr>
            <w:tcW w:w="0" w:type="dxa"/>
            <w:vAlign w:val="bottom"/>
          </w:tcPr>
          <w:p>
            <w:pPr>
              <w:spacing w:after="0"/>
              <w:rPr>
                <w:sz w:val="1"/>
                <w:szCs w:val="1"/>
                <w:color w:val="auto"/>
              </w:rPr>
            </w:pPr>
          </w:p>
        </w:tc>
      </w:tr>
      <w:tr>
        <w:trPr>
          <w:trHeight w:val="142"/>
        </w:trPr>
        <w:tc>
          <w:tcPr>
            <w:tcW w:w="2160" w:type="dxa"/>
            <w:vAlign w:val="bottom"/>
            <w:tcBorders>
              <w:bottom w:val="single" w:sz="8" w:color="CCEEFF"/>
            </w:tcBorders>
            <w:shd w:val="clear" w:color="auto" w:fill="CCEEFF"/>
          </w:tcPr>
          <w:p>
            <w:pPr>
              <w:ind w:left="180"/>
              <w:spacing w:after="0"/>
              <w:rPr>
                <w:sz w:val="20"/>
                <w:szCs w:val="20"/>
                <w:color w:val="auto"/>
              </w:rPr>
            </w:pPr>
            <w:r>
              <w:rPr>
                <w:rFonts w:ascii="Times New Roman" w:cs="Times New Roman" w:eastAsia="Times New Roman" w:hAnsi="Times New Roman"/>
                <w:sz w:val="9"/>
                <w:szCs w:val="9"/>
                <w:b w:val="1"/>
                <w:bCs w:val="1"/>
                <w:color w:val="auto"/>
              </w:rPr>
              <w:t>1</w:t>
            </w:r>
          </w:p>
        </w:tc>
        <w:tc>
          <w:tcPr>
            <w:tcW w:w="12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CCEEFF"/>
            </w:tcBorders>
            <w:vMerge w:val="continue"/>
            <w:shd w:val="clear" w:color="auto" w:fill="CCEEFF"/>
          </w:tcPr>
          <w:p>
            <w:pPr>
              <w:spacing w:after="0"/>
              <w:rPr>
                <w:sz w:val="12"/>
                <w:szCs w:val="12"/>
                <w:color w:val="auto"/>
              </w:rPr>
            </w:pPr>
          </w:p>
        </w:tc>
        <w:tc>
          <w:tcPr>
            <w:tcW w:w="900" w:type="dxa"/>
            <w:vAlign w:val="bottom"/>
            <w:tcBorders>
              <w:bottom w:val="single" w:sz="8" w:color="CCEEFF"/>
            </w:tcBorders>
            <w:vMerge w:val="continue"/>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CCEEFF"/>
            </w:tcBorders>
            <w:vMerge w:val="continue"/>
            <w:shd w:val="clear" w:color="auto" w:fill="CCEEFF"/>
          </w:tcPr>
          <w:p>
            <w:pPr>
              <w:spacing w:after="0"/>
              <w:rPr>
                <w:sz w:val="12"/>
                <w:szCs w:val="12"/>
                <w:color w:val="auto"/>
              </w:rPr>
            </w:pPr>
          </w:p>
        </w:tc>
        <w:tc>
          <w:tcPr>
            <w:tcW w:w="1020" w:type="dxa"/>
            <w:vAlign w:val="bottom"/>
            <w:tcBorders>
              <w:bottom w:val="single" w:sz="8" w:color="CCEEFF"/>
            </w:tcBorders>
            <w:gridSpan w:val="2"/>
            <w:vMerge w:val="continue"/>
            <w:shd w:val="clear" w:color="auto" w:fill="CCEEFF"/>
          </w:tcPr>
          <w:p>
            <w:pPr>
              <w:spacing w:after="0"/>
              <w:rPr>
                <w:sz w:val="12"/>
                <w:szCs w:val="12"/>
                <w:color w:val="auto"/>
              </w:rPr>
            </w:pPr>
          </w:p>
        </w:tc>
        <w:tc>
          <w:tcPr>
            <w:tcW w:w="120" w:type="dxa"/>
            <w:vAlign w:val="bottom"/>
            <w:tcBorders>
              <w:bottom w:val="single" w:sz="8" w:color="CCEEFF"/>
            </w:tcBorders>
            <w:vMerge w:val="continue"/>
            <w:shd w:val="clear" w:color="auto" w:fill="CCEEFF"/>
          </w:tcPr>
          <w:p>
            <w:pPr>
              <w:spacing w:after="0"/>
              <w:rPr>
                <w:sz w:val="12"/>
                <w:szCs w:val="12"/>
                <w:color w:val="auto"/>
              </w:rPr>
            </w:pPr>
          </w:p>
        </w:tc>
        <w:tc>
          <w:tcPr>
            <w:tcW w:w="940" w:type="dxa"/>
            <w:vAlign w:val="bottom"/>
            <w:tcBorders>
              <w:bottom w:val="single" w:sz="8" w:color="CCEEFF"/>
            </w:tcBorders>
            <w:vMerge w:val="continue"/>
            <w:shd w:val="clear" w:color="auto" w:fill="CCEEFF"/>
          </w:tcPr>
          <w:p>
            <w:pPr>
              <w:spacing w:after="0"/>
              <w:rPr>
                <w:sz w:val="12"/>
                <w:szCs w:val="12"/>
                <w:color w:val="auto"/>
              </w:rPr>
            </w:pPr>
          </w:p>
        </w:tc>
        <w:tc>
          <w:tcPr>
            <w:tcW w:w="300" w:type="dxa"/>
            <w:vAlign w:val="bottom"/>
            <w:tcBorders>
              <w:bottom w:val="single" w:sz="8" w:color="CCEEFF"/>
            </w:tcBorders>
            <w:vMerge w:val="continue"/>
            <w:shd w:val="clear" w:color="auto" w:fill="CCEEFF"/>
          </w:tcPr>
          <w:p>
            <w:pPr>
              <w:spacing w:after="0"/>
              <w:rPr>
                <w:sz w:val="12"/>
                <w:szCs w:val="12"/>
                <w:color w:val="auto"/>
              </w:rPr>
            </w:pPr>
          </w:p>
        </w:tc>
        <w:tc>
          <w:tcPr>
            <w:tcW w:w="800" w:type="dxa"/>
            <w:vAlign w:val="bottom"/>
            <w:tcBorders>
              <w:bottom w:val="single" w:sz="8" w:color="CCEEFF"/>
            </w:tcBorders>
            <w:vMerge w:val="continue"/>
            <w:shd w:val="clear" w:color="auto" w:fill="CCEEFF"/>
          </w:tcPr>
          <w:p>
            <w:pPr>
              <w:spacing w:after="0"/>
              <w:rPr>
                <w:sz w:val="12"/>
                <w:szCs w:val="12"/>
                <w:color w:val="auto"/>
              </w:rPr>
            </w:pPr>
          </w:p>
        </w:tc>
        <w:tc>
          <w:tcPr>
            <w:tcW w:w="10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CCEEFF"/>
            </w:tcBorders>
            <w:vMerge w:val="continue"/>
            <w:shd w:val="clear" w:color="auto" w:fill="CCEEFF"/>
          </w:tcPr>
          <w:p>
            <w:pPr>
              <w:spacing w:after="0"/>
              <w:rPr>
                <w:sz w:val="12"/>
                <w:szCs w:val="12"/>
                <w:color w:val="auto"/>
              </w:rPr>
            </w:pPr>
          </w:p>
        </w:tc>
        <w:tc>
          <w:tcPr>
            <w:tcW w:w="900" w:type="dxa"/>
            <w:vAlign w:val="bottom"/>
            <w:tcBorders>
              <w:bottom w:val="single" w:sz="8" w:color="CCEEFF"/>
            </w:tcBorders>
            <w:vMerge w:val="continue"/>
            <w:shd w:val="clear" w:color="auto" w:fill="CCEEFF"/>
          </w:tcPr>
          <w:p>
            <w:pPr>
              <w:spacing w:after="0"/>
              <w:rPr>
                <w:sz w:val="12"/>
                <w:szCs w:val="12"/>
                <w:color w:val="auto"/>
              </w:rPr>
            </w:pPr>
          </w:p>
        </w:tc>
        <w:tc>
          <w:tcPr>
            <w:tcW w:w="120" w:type="dxa"/>
            <w:vAlign w:val="bottom"/>
            <w:tcBorders>
              <w:bottom w:val="single" w:sz="8" w:color="CCEEFF"/>
            </w:tcBorders>
            <w:shd w:val="clear" w:color="auto" w:fill="CCEEFF"/>
          </w:tcPr>
          <w:p>
            <w:pPr>
              <w:spacing w:after="0"/>
              <w:rPr>
                <w:sz w:val="12"/>
                <w:szCs w:val="12"/>
                <w:color w:val="auto"/>
              </w:rPr>
            </w:pPr>
          </w:p>
        </w:tc>
        <w:tc>
          <w:tcPr>
            <w:tcW w:w="120" w:type="dxa"/>
            <w:vAlign w:val="bottom"/>
            <w:tcBorders>
              <w:bottom w:val="single" w:sz="8" w:color="CCEEFF"/>
            </w:tcBorders>
            <w:vMerge w:val="continue"/>
            <w:shd w:val="clear" w:color="auto" w:fill="CCEEFF"/>
          </w:tcPr>
          <w:p>
            <w:pPr>
              <w:spacing w:after="0"/>
              <w:rPr>
                <w:sz w:val="12"/>
                <w:szCs w:val="12"/>
                <w:color w:val="auto"/>
              </w:rPr>
            </w:pPr>
          </w:p>
        </w:tc>
        <w:tc>
          <w:tcPr>
            <w:tcW w:w="1000" w:type="dxa"/>
            <w:vAlign w:val="bottom"/>
            <w:tcBorders>
              <w:bottom w:val="single" w:sz="8" w:color="CCEEFF"/>
            </w:tcBorders>
            <w:gridSpan w:val="2"/>
            <w:vMerge w:val="continue"/>
            <w:shd w:val="clear" w:color="auto" w:fill="CCEEFF"/>
          </w:tcPr>
          <w:p>
            <w:pPr>
              <w:spacing w:after="0"/>
              <w:rPr>
                <w:sz w:val="12"/>
                <w:szCs w:val="12"/>
                <w:color w:val="auto"/>
              </w:rPr>
            </w:pPr>
          </w:p>
        </w:tc>
        <w:tc>
          <w:tcPr>
            <w:tcW w:w="120" w:type="dxa"/>
            <w:vAlign w:val="bottom"/>
            <w:tcBorders>
              <w:bottom w:val="single" w:sz="8" w:color="CCEEFF"/>
            </w:tcBorders>
            <w:vMerge w:val="continue"/>
            <w:shd w:val="clear" w:color="auto" w:fill="CCEEFF"/>
          </w:tcPr>
          <w:p>
            <w:pPr>
              <w:spacing w:after="0"/>
              <w:rPr>
                <w:sz w:val="12"/>
                <w:szCs w:val="12"/>
                <w:color w:val="auto"/>
              </w:rPr>
            </w:pPr>
          </w:p>
        </w:tc>
        <w:tc>
          <w:tcPr>
            <w:tcW w:w="940" w:type="dxa"/>
            <w:vAlign w:val="bottom"/>
            <w:tcBorders>
              <w:bottom w:val="single" w:sz="8" w:color="CCEEFF"/>
            </w:tcBorders>
            <w:vMerge w:val="continue"/>
            <w:shd w:val="clear" w:color="auto" w:fill="CCEEFF"/>
          </w:tcPr>
          <w:p>
            <w:pPr>
              <w:spacing w:after="0"/>
              <w:rPr>
                <w:sz w:val="12"/>
                <w:szCs w:val="12"/>
                <w:color w:val="auto"/>
              </w:rPr>
            </w:pPr>
          </w:p>
        </w:tc>
        <w:tc>
          <w:tcPr>
            <w:tcW w:w="300" w:type="dxa"/>
            <w:vAlign w:val="bottom"/>
            <w:tcBorders>
              <w:bottom w:val="single" w:sz="8" w:color="CCEEFF"/>
            </w:tcBorders>
            <w:vMerge w:val="continue"/>
            <w:shd w:val="clear" w:color="auto" w:fill="CCEEFF"/>
          </w:tcPr>
          <w:p>
            <w:pPr>
              <w:spacing w:after="0"/>
              <w:rPr>
                <w:sz w:val="12"/>
                <w:szCs w:val="12"/>
                <w:color w:val="auto"/>
              </w:rPr>
            </w:pPr>
          </w:p>
        </w:tc>
        <w:tc>
          <w:tcPr>
            <w:tcW w:w="800" w:type="dxa"/>
            <w:vAlign w:val="bottom"/>
            <w:tcBorders>
              <w:bottom w:val="single" w:sz="8" w:color="CCEEFF"/>
            </w:tcBorders>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96"/>
        </w:trPr>
        <w:tc>
          <w:tcPr>
            <w:tcW w:w="22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Cash</w:t>
            </w:r>
          </w:p>
        </w:tc>
        <w:tc>
          <w:tcPr>
            <w:tcW w:w="120" w:type="dxa"/>
            <w:vAlign w:val="bottom"/>
          </w:tcPr>
          <w:p>
            <w:pPr>
              <w:spacing w:after="0"/>
              <w:rPr>
                <w:sz w:val="17"/>
                <w:szCs w:val="17"/>
                <w:color w:val="auto"/>
              </w:rPr>
            </w:pP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7"/>
                <w:szCs w:val="17"/>
                <w:color w:val="auto"/>
              </w:rPr>
            </w:pPr>
          </w:p>
        </w:tc>
        <w:tc>
          <w:tcPr>
            <w:tcW w:w="9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517</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20</w:t>
            </w:r>
          </w:p>
        </w:tc>
        <w:tc>
          <w:tcPr>
            <w:tcW w:w="300" w:type="dxa"/>
            <w:vAlign w:val="bottom"/>
          </w:tcPr>
          <w:p>
            <w:pPr>
              <w:spacing w:after="0"/>
              <w:rPr>
                <w:sz w:val="17"/>
                <w:szCs w:val="17"/>
                <w:color w:val="auto"/>
              </w:rPr>
            </w:pPr>
          </w:p>
        </w:tc>
        <w:tc>
          <w:tcPr>
            <w:tcW w:w="80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537</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303</w:t>
            </w: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rPr>
              <w:t>7</w:t>
            </w:r>
          </w:p>
        </w:tc>
        <w:tc>
          <w:tcPr>
            <w:tcW w:w="30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310</w:t>
            </w:r>
          </w:p>
        </w:tc>
        <w:tc>
          <w:tcPr>
            <w:tcW w:w="0" w:type="dxa"/>
            <w:vAlign w:val="bottom"/>
          </w:tcPr>
          <w:p>
            <w:pPr>
              <w:spacing w:after="0"/>
              <w:rPr>
                <w:sz w:val="1"/>
                <w:szCs w:val="1"/>
                <w:color w:val="auto"/>
              </w:rPr>
            </w:pPr>
          </w:p>
        </w:tc>
      </w:tr>
      <w:tr>
        <w:trPr>
          <w:trHeight w:val="227"/>
        </w:trPr>
        <w:tc>
          <w:tcPr>
            <w:tcW w:w="2280" w:type="dxa"/>
            <w:vAlign w:val="bottom"/>
            <w:tcBorders>
              <w:top w:val="single" w:sz="8" w:color="CCEEFF"/>
              <w:bottom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6"/>
                <w:szCs w:val="16"/>
                <w:color w:val="auto"/>
              </w:rPr>
              <w:t>Total</w:t>
            </w: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10,535</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517</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37</w:t>
            </w:r>
          </w:p>
        </w:tc>
        <w:tc>
          <w:tcPr>
            <w:tcW w:w="300" w:type="dxa"/>
            <w:vAlign w:val="bottom"/>
            <w:tcBorders>
              <w:top w:val="single" w:sz="8" w:color="auto"/>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11,089</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10,420</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303</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18</w:t>
            </w:r>
          </w:p>
        </w:tc>
        <w:tc>
          <w:tcPr>
            <w:tcW w:w="3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10,741</w:t>
            </w:r>
          </w:p>
        </w:tc>
        <w:tc>
          <w:tcPr>
            <w:tcW w:w="0" w:type="dxa"/>
            <w:vAlign w:val="bottom"/>
          </w:tcPr>
          <w:p>
            <w:pPr>
              <w:spacing w:after="0"/>
              <w:rPr>
                <w:sz w:val="1"/>
                <w:szCs w:val="1"/>
                <w:color w:val="auto"/>
              </w:rPr>
            </w:pPr>
          </w:p>
        </w:tc>
      </w:tr>
      <w:tr>
        <w:trPr>
          <w:trHeight w:val="20"/>
        </w:trPr>
        <w:tc>
          <w:tcPr>
            <w:tcW w:w="21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right="20" w:hanging="328"/>
        <w:spacing w:after="0" w:line="260" w:lineRule="auto"/>
        <w:tabs>
          <w:tab w:leader="none" w:pos="660" w:val="left"/>
        </w:tabs>
        <w:numPr>
          <w:ilvl w:val="0"/>
          <w:numId w:val="1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 of March 31, 2022 and December 31, 2021, amounts include $10.3 billion and $9.7 billion, respectively, of U.S. Treasury securities received from counterparties that were used to cover short sales of U.S. Treasury securities.</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Offsetting Assets and Liabilities</w:t>
      </w:r>
    </w:p>
    <w:p>
      <w:pPr>
        <w:spacing w:after="0" w:line="175"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Certain of our repurchase agreements and derivative transactions are governed by underlying agreements that generally provide for a right of setoff under master netting arrangements (or similar agreements), including in the event of default or in the event of bankruptcy of either party to the transactions. We present our assets and liabilities subject to such arrangements on a gross basis in our consolidated balance sheets. The following tables present information about our assets and liabilities that are subject to master netting arrangements and can potentially be offset on our consolidated balance sheets as of March 31, 2022 and December 31, 2021 (in millions):</w:t>
      </w:r>
    </w:p>
    <w:p>
      <w:pPr>
        <w:spacing w:after="0" w:line="164"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60" w:type="dxa"/>
            <w:vAlign w:val="bottom"/>
          </w:tcPr>
          <w:p>
            <w:pPr>
              <w:spacing w:after="0"/>
              <w:rPr>
                <w:sz w:val="16"/>
                <w:szCs w:val="16"/>
                <w:color w:val="auto"/>
              </w:rPr>
            </w:pPr>
          </w:p>
        </w:tc>
        <w:tc>
          <w:tcPr>
            <w:tcW w:w="3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3860" w:type="dxa"/>
            <w:vAlign w:val="bottom"/>
            <w:gridSpan w:val="14"/>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Offsetting of Financial and Derivative Assets</w:t>
            </w: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60" w:type="dxa"/>
            <w:vAlign w:val="bottom"/>
          </w:tcPr>
          <w:p>
            <w:pPr>
              <w:spacing w:after="0"/>
              <w:rPr>
                <w:sz w:val="2"/>
                <w:szCs w:val="2"/>
                <w:color w:val="auto"/>
              </w:rPr>
            </w:pPr>
          </w:p>
        </w:tc>
        <w:tc>
          <w:tcPr>
            <w:tcW w:w="3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gridSpan w:val="2"/>
          </w:tcPr>
          <w:p>
            <w:pPr>
              <w:spacing w:after="0"/>
              <w:rPr>
                <w:sz w:val="2"/>
                <w:szCs w:val="2"/>
                <w:color w:val="auto"/>
              </w:rPr>
            </w:pPr>
          </w:p>
        </w:tc>
        <w:tc>
          <w:tcPr>
            <w:tcW w:w="1160" w:type="dxa"/>
            <w:vAlign w:val="bottom"/>
            <w:tcBorders>
              <w:bottom w:val="single" w:sz="8" w:color="auto"/>
            </w:tcBorders>
            <w:gridSpan w:val="3"/>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12"/>
        </w:trPr>
        <w:tc>
          <w:tcPr>
            <w:tcW w:w="6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00" w:type="dxa"/>
            <w:vAlign w:val="bottom"/>
            <w:gridSpan w:val="7"/>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Gross Amounts Not Offset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6"/>
        </w:trPr>
        <w:tc>
          <w:tcPr>
            <w:tcW w:w="6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gridSpan w:val="4"/>
          </w:tcPr>
          <w:p>
            <w:pPr>
              <w:jc w:val="center"/>
              <w:ind w:left="628"/>
              <w:spacing w:after="0" w:line="146" w:lineRule="exact"/>
              <w:rPr>
                <w:sz w:val="20"/>
                <w:szCs w:val="20"/>
                <w:color w:val="auto"/>
              </w:rPr>
            </w:pPr>
            <w:r>
              <w:rPr>
                <w:rFonts w:ascii="Times New Roman" w:cs="Times New Roman" w:eastAsia="Times New Roman" w:hAnsi="Times New Roman"/>
                <w:sz w:val="14"/>
                <w:szCs w:val="14"/>
                <w:b w:val="1"/>
                <w:bCs w:val="1"/>
                <w:color w:val="auto"/>
              </w:rPr>
              <w:t>in the</w:t>
            </w:r>
          </w:p>
        </w:tc>
        <w:tc>
          <w:tcPr>
            <w:tcW w:w="8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6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20" w:type="dxa"/>
            <w:vAlign w:val="bottom"/>
            <w:gridSpan w:val="4"/>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Gross Amounts</w:t>
            </w:r>
          </w:p>
        </w:tc>
        <w:tc>
          <w:tcPr>
            <w:tcW w:w="80" w:type="dxa"/>
            <w:vAlign w:val="bottom"/>
          </w:tcPr>
          <w:p>
            <w:pPr>
              <w:spacing w:after="0"/>
              <w:rPr>
                <w:sz w:val="14"/>
                <w:szCs w:val="14"/>
                <w:color w:val="auto"/>
              </w:rPr>
            </w:pPr>
          </w:p>
        </w:tc>
        <w:tc>
          <w:tcPr>
            <w:tcW w:w="1160" w:type="dxa"/>
            <w:vAlign w:val="bottom"/>
            <w:gridSpan w:val="4"/>
          </w:tcPr>
          <w:p>
            <w:pPr>
              <w:spacing w:after="0"/>
              <w:rPr>
                <w:sz w:val="20"/>
                <w:szCs w:val="20"/>
                <w:color w:val="auto"/>
              </w:rPr>
            </w:pPr>
            <w:r>
              <w:rPr>
                <w:rFonts w:ascii="Times New Roman" w:cs="Times New Roman" w:eastAsia="Times New Roman" w:hAnsi="Times New Roman"/>
                <w:sz w:val="14"/>
                <w:szCs w:val="14"/>
                <w:b w:val="1"/>
                <w:bCs w:val="1"/>
                <w:color w:val="auto"/>
              </w:rPr>
              <w:t>Net Amounts of</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00" w:type="dxa"/>
            <w:vAlign w:val="bottom"/>
            <w:gridSpan w:val="7"/>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Consolidated Balance Sheets</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60" w:type="dxa"/>
            <w:vAlign w:val="bottom"/>
          </w:tcPr>
          <w:p>
            <w:pPr>
              <w:spacing w:after="0"/>
              <w:rPr>
                <w:sz w:val="3"/>
                <w:szCs w:val="3"/>
                <w:color w:val="auto"/>
              </w:rPr>
            </w:pPr>
          </w:p>
        </w:tc>
        <w:tc>
          <w:tcPr>
            <w:tcW w:w="38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120" w:type="dxa"/>
            <w:vAlign w:val="bottom"/>
            <w:gridSpan w:val="3"/>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Gross Amounts</w:t>
            </w:r>
          </w:p>
        </w:tc>
        <w:tc>
          <w:tcPr>
            <w:tcW w:w="1220" w:type="dxa"/>
            <w:vAlign w:val="bottom"/>
            <w:gridSpan w:val="4"/>
            <w:vMerge w:val="continue"/>
          </w:tcPr>
          <w:p>
            <w:pPr>
              <w:spacing w:after="0"/>
              <w:rPr>
                <w:sz w:val="3"/>
                <w:szCs w:val="3"/>
                <w:color w:val="auto"/>
              </w:rPr>
            </w:pPr>
          </w:p>
        </w:tc>
        <w:tc>
          <w:tcPr>
            <w:tcW w:w="1240" w:type="dxa"/>
            <w:vAlign w:val="bottom"/>
            <w:gridSpan w:val="5"/>
            <w:vMerge w:val="restart"/>
          </w:tcPr>
          <w:p>
            <w:pPr>
              <w:jc w:val="center"/>
              <w:ind w:right="100"/>
              <w:spacing w:after="0" w:line="146" w:lineRule="exact"/>
              <w:rPr>
                <w:sz w:val="20"/>
                <w:szCs w:val="20"/>
                <w:color w:val="auto"/>
              </w:rPr>
            </w:pPr>
            <w:r>
              <w:rPr>
                <w:rFonts w:ascii="Times New Roman" w:cs="Times New Roman" w:eastAsia="Times New Roman" w:hAnsi="Times New Roman"/>
                <w:sz w:val="14"/>
                <w:szCs w:val="14"/>
                <w:b w:val="1"/>
                <w:bCs w:val="1"/>
                <w:color w:val="auto"/>
              </w:rPr>
              <w:t>Assets Presented</w:t>
            </w:r>
          </w:p>
        </w:tc>
        <w:tc>
          <w:tcPr>
            <w:tcW w:w="8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90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88"/>
        </w:trPr>
        <w:tc>
          <w:tcPr>
            <w:tcW w:w="60" w:type="dxa"/>
            <w:vAlign w:val="bottom"/>
          </w:tcPr>
          <w:p>
            <w:pPr>
              <w:spacing w:after="0"/>
              <w:rPr>
                <w:sz w:val="7"/>
                <w:szCs w:val="7"/>
                <w:color w:val="auto"/>
              </w:rPr>
            </w:pPr>
          </w:p>
        </w:tc>
        <w:tc>
          <w:tcPr>
            <w:tcW w:w="38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gridSpan w:val="3"/>
            <w:vMerge w:val="continue"/>
          </w:tcPr>
          <w:p>
            <w:pPr>
              <w:spacing w:after="0"/>
              <w:rPr>
                <w:sz w:val="7"/>
                <w:szCs w:val="7"/>
                <w:color w:val="auto"/>
              </w:rPr>
            </w:pPr>
          </w:p>
        </w:tc>
        <w:tc>
          <w:tcPr>
            <w:tcW w:w="1220" w:type="dxa"/>
            <w:vAlign w:val="bottom"/>
            <w:gridSpan w:val="4"/>
            <w:vMerge w:val="continue"/>
          </w:tcPr>
          <w:p>
            <w:pPr>
              <w:spacing w:after="0"/>
              <w:rPr>
                <w:sz w:val="7"/>
                <w:szCs w:val="7"/>
                <w:color w:val="auto"/>
              </w:rPr>
            </w:pPr>
          </w:p>
        </w:tc>
        <w:tc>
          <w:tcPr>
            <w:tcW w:w="1240" w:type="dxa"/>
            <w:vAlign w:val="bottom"/>
            <w:gridSpan w:val="5"/>
            <w:vMerge w:val="continue"/>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9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90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gridSpan w:val="3"/>
          </w:tcPr>
          <w:p>
            <w:pPr>
              <w:jc w:val="center"/>
              <w:ind w:right="180"/>
              <w:spacing w:after="0" w:line="135" w:lineRule="exact"/>
              <w:rPr>
                <w:sz w:val="20"/>
                <w:szCs w:val="20"/>
                <w:color w:val="auto"/>
              </w:rPr>
            </w:pPr>
            <w:r>
              <w:rPr>
                <w:rFonts w:ascii="Times New Roman" w:cs="Times New Roman" w:eastAsia="Times New Roman" w:hAnsi="Times New Roman"/>
                <w:sz w:val="14"/>
                <w:szCs w:val="14"/>
                <w:b w:val="1"/>
                <w:bCs w:val="1"/>
                <w:color w:val="auto"/>
              </w:rPr>
              <w:t>Offset in the</w:t>
            </w:r>
          </w:p>
        </w:tc>
        <w:tc>
          <w:tcPr>
            <w:tcW w:w="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080" w:type="dxa"/>
            <w:vAlign w:val="bottom"/>
            <w:gridSpan w:val="3"/>
          </w:tcPr>
          <w:p>
            <w:pPr>
              <w:jc w:val="center"/>
              <w:ind w:right="260"/>
              <w:spacing w:after="0" w:line="135" w:lineRule="exact"/>
              <w:rPr>
                <w:sz w:val="20"/>
                <w:szCs w:val="20"/>
                <w:color w:val="auto"/>
              </w:rPr>
            </w:pPr>
            <w:r>
              <w:rPr>
                <w:rFonts w:ascii="Times New Roman" w:cs="Times New Roman" w:eastAsia="Times New Roman" w:hAnsi="Times New Roman"/>
                <w:sz w:val="14"/>
                <w:szCs w:val="14"/>
                <w:b w:val="1"/>
                <w:bCs w:val="1"/>
                <w:color w:val="auto"/>
              </w:rPr>
              <w:t>in the</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Financial</w:t>
            </w: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gridSpan w:val="3"/>
            <w:vMerge w:val="restart"/>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Collateral</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6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3"/>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of Recognized</w:t>
            </w:r>
          </w:p>
        </w:tc>
        <w:tc>
          <w:tcPr>
            <w:tcW w:w="80" w:type="dxa"/>
            <w:vAlign w:val="bottom"/>
          </w:tcPr>
          <w:p>
            <w:pPr>
              <w:spacing w:after="0"/>
              <w:rPr>
                <w:sz w:val="12"/>
                <w:szCs w:val="12"/>
                <w:color w:val="auto"/>
              </w:rPr>
            </w:pPr>
          </w:p>
        </w:tc>
        <w:tc>
          <w:tcPr>
            <w:tcW w:w="1140" w:type="dxa"/>
            <w:vAlign w:val="bottom"/>
            <w:gridSpan w:val="3"/>
          </w:tcPr>
          <w:p>
            <w:pPr>
              <w:jc w:val="center"/>
              <w:ind w:right="200"/>
              <w:spacing w:after="0" w:line="149" w:lineRule="exact"/>
              <w:rPr>
                <w:sz w:val="20"/>
                <w:szCs w:val="20"/>
                <w:color w:val="auto"/>
              </w:rPr>
            </w:pPr>
            <w:r>
              <w:rPr>
                <w:rFonts w:ascii="Times New Roman" w:cs="Times New Roman" w:eastAsia="Times New Roman" w:hAnsi="Times New Roman"/>
                <w:sz w:val="14"/>
                <w:szCs w:val="14"/>
                <w:b w:val="1"/>
                <w:bCs w:val="1"/>
                <w:color w:val="auto"/>
              </w:rPr>
              <w:t>Consolidated</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3"/>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rPr>
              <w:t>Consolidated</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vMerge w:val="restart"/>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Net Amount</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60" w:type="dxa"/>
            <w:vAlign w:val="bottom"/>
          </w:tcPr>
          <w:p>
            <w:pPr>
              <w:spacing w:after="0"/>
              <w:rPr>
                <w:sz w:val="17"/>
                <w:szCs w:val="17"/>
                <w:color w:val="auto"/>
              </w:rPr>
            </w:pPr>
          </w:p>
        </w:tc>
        <w:tc>
          <w:tcPr>
            <w:tcW w:w="3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Assets</w:t>
            </w:r>
          </w:p>
        </w:tc>
        <w:tc>
          <w:tcPr>
            <w:tcW w:w="80" w:type="dxa"/>
            <w:vAlign w:val="bottom"/>
          </w:tcPr>
          <w:p>
            <w:pPr>
              <w:spacing w:after="0"/>
              <w:rPr>
                <w:sz w:val="17"/>
                <w:szCs w:val="17"/>
                <w:color w:val="auto"/>
              </w:rPr>
            </w:pPr>
          </w:p>
        </w:tc>
        <w:tc>
          <w:tcPr>
            <w:tcW w:w="1140" w:type="dxa"/>
            <w:vAlign w:val="bottom"/>
            <w:gridSpan w:val="3"/>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Balance Sheets</w:t>
            </w:r>
          </w:p>
        </w:tc>
        <w:tc>
          <w:tcPr>
            <w:tcW w:w="80" w:type="dxa"/>
            <w:vAlign w:val="bottom"/>
          </w:tcPr>
          <w:p>
            <w:pPr>
              <w:spacing w:after="0"/>
              <w:rPr>
                <w:sz w:val="17"/>
                <w:szCs w:val="17"/>
                <w:color w:val="auto"/>
              </w:rPr>
            </w:pPr>
          </w:p>
        </w:tc>
        <w:tc>
          <w:tcPr>
            <w:tcW w:w="1160" w:type="dxa"/>
            <w:vAlign w:val="bottom"/>
            <w:gridSpan w:val="4"/>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Balance Sheets</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Instruments</w:t>
            </w: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gridSpan w:val="3"/>
          </w:tcPr>
          <w:p>
            <w:pPr>
              <w:jc w:val="right"/>
              <w:ind w:right="360"/>
              <w:spacing w:after="0" w:line="202" w:lineRule="exact"/>
              <w:rPr>
                <w:sz w:val="20"/>
                <w:szCs w:val="20"/>
                <w:color w:val="auto"/>
              </w:rPr>
            </w:pPr>
            <w:r>
              <w:rPr>
                <w:rFonts w:ascii="Times New Roman" w:cs="Times New Roman" w:eastAsia="Times New Roman" w:hAnsi="Times New Roman"/>
                <w:sz w:val="14"/>
                <w:szCs w:val="14"/>
                <w:b w:val="1"/>
                <w:bCs w:val="1"/>
                <w:color w:val="auto"/>
                <w:w w:val="98"/>
              </w:rPr>
              <w:t xml:space="preserve">Received </w:t>
            </w:r>
            <w:r>
              <w:rPr>
                <w:rFonts w:ascii="Times New Roman" w:cs="Times New Roman" w:eastAsia="Times New Roman" w:hAnsi="Times New Roman"/>
                <w:sz w:val="18"/>
                <w:szCs w:val="18"/>
                <w:b w:val="1"/>
                <w:bCs w:val="1"/>
                <w:color w:val="auto"/>
                <w:w w:val="98"/>
                <w:vertAlign w:val="superscript"/>
              </w:rPr>
              <w:t>2</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3920" w:type="dxa"/>
            <w:vAlign w:val="bottom"/>
            <w:tcBorders>
              <w:top w:val="single" w:sz="8" w:color="auto"/>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0" w:type="dxa"/>
            <w:vAlign w:val="bottom"/>
          </w:tcPr>
          <w:p>
            <w:pPr>
              <w:spacing w:after="0"/>
              <w:rPr>
                <w:sz w:val="17"/>
                <w:szCs w:val="17"/>
                <w:color w:val="auto"/>
              </w:rPr>
            </w:pPr>
          </w:p>
        </w:tc>
        <w:tc>
          <w:tcPr>
            <w:tcW w:w="3980" w:type="dxa"/>
            <w:vAlign w:val="bottom"/>
            <w:gridSpan w:val="2"/>
          </w:tcPr>
          <w:p>
            <w:pPr>
              <w:ind w:left="80"/>
              <w:spacing w:after="0" w:line="202" w:lineRule="exact"/>
              <w:rPr>
                <w:sz w:val="20"/>
                <w:szCs w:val="20"/>
                <w:color w:val="auto"/>
              </w:rPr>
            </w:pPr>
            <w:r>
              <w:rPr>
                <w:rFonts w:ascii="Times New Roman" w:cs="Times New Roman" w:eastAsia="Times New Roman" w:hAnsi="Times New Roman"/>
                <w:sz w:val="14"/>
                <w:szCs w:val="14"/>
                <w:color w:val="auto"/>
              </w:rPr>
              <w:t xml:space="preserve">Interest rate swap and swaption agreements, at fair value </w:t>
            </w:r>
            <w:r>
              <w:rPr>
                <w:rFonts w:ascii="Times New Roman" w:cs="Times New Roman" w:eastAsia="Times New Roman" w:hAnsi="Times New Roman"/>
                <w:sz w:val="18"/>
                <w:szCs w:val="18"/>
                <w:color w:val="auto"/>
                <w:vertAlign w:val="superscript"/>
              </w:rPr>
              <w:t>1</w:t>
            </w:r>
          </w:p>
        </w:tc>
        <w:tc>
          <w:tcPr>
            <w:tcW w:w="140" w:type="dxa"/>
            <w:vAlign w:val="bottom"/>
          </w:tcPr>
          <w:p>
            <w:pPr>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450</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14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gridSpan w:val="2"/>
          </w:tcPr>
          <w:p>
            <w:pPr>
              <w:jc w:val="right"/>
              <w:ind w:right="13"/>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450</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gridSpan w:val="2"/>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gridSpan w:val="2"/>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(447)</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0" w:type="dxa"/>
            <w:vAlign w:val="bottom"/>
            <w:shd w:val="clear" w:color="auto" w:fill="CCEEFF"/>
          </w:tcPr>
          <w:p>
            <w:pPr>
              <w:spacing w:after="0"/>
              <w:rPr>
                <w:sz w:val="17"/>
                <w:szCs w:val="17"/>
                <w:color w:val="auto"/>
              </w:rPr>
            </w:pPr>
          </w:p>
        </w:tc>
        <w:tc>
          <w:tcPr>
            <w:tcW w:w="3980" w:type="dxa"/>
            <w:vAlign w:val="bottom"/>
            <w:gridSpan w:val="2"/>
            <w:shd w:val="clear" w:color="auto" w:fill="CCEEFF"/>
          </w:tcPr>
          <w:p>
            <w:pPr>
              <w:ind w:left="80"/>
              <w:spacing w:after="0" w:line="202" w:lineRule="exact"/>
              <w:rPr>
                <w:sz w:val="20"/>
                <w:szCs w:val="20"/>
                <w:color w:val="auto"/>
              </w:rPr>
            </w:pPr>
            <w:r>
              <w:rPr>
                <w:rFonts w:ascii="Times New Roman" w:cs="Times New Roman" w:eastAsia="Times New Roman" w:hAnsi="Times New Roman"/>
                <w:sz w:val="14"/>
                <w:szCs w:val="14"/>
                <w:color w:val="auto"/>
              </w:rPr>
              <w:t xml:space="preserve">TBA and forward settling non-Agency securities, at fair value </w:t>
            </w:r>
            <w:r>
              <w:rPr>
                <w:rFonts w:ascii="Times New Roman" w:cs="Times New Roman" w:eastAsia="Times New Roman" w:hAnsi="Times New Roman"/>
                <w:sz w:val="18"/>
                <w:szCs w:val="18"/>
                <w:color w:val="auto"/>
                <w:vertAlign w:val="superscript"/>
              </w:rPr>
              <w:t>1</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1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w:t>
            </w: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(59)</w:t>
            </w: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gridSpan w:val="3"/>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0" w:type="dxa"/>
            <w:vAlign w:val="bottom"/>
          </w:tcPr>
          <w:p>
            <w:pPr>
              <w:spacing w:after="0"/>
              <w:rPr>
                <w:sz w:val="17"/>
                <w:szCs w:val="17"/>
                <w:color w:val="auto"/>
              </w:rPr>
            </w:pPr>
          </w:p>
        </w:tc>
        <w:tc>
          <w:tcPr>
            <w:tcW w:w="3980" w:type="dxa"/>
            <w:vAlign w:val="bottom"/>
            <w:gridSpan w:val="2"/>
          </w:tcPr>
          <w:p>
            <w:pPr>
              <w:ind w:left="80"/>
              <w:spacing w:after="0"/>
              <w:rPr>
                <w:sz w:val="20"/>
                <w:szCs w:val="20"/>
                <w:color w:val="auto"/>
              </w:rPr>
            </w:pPr>
            <w:r>
              <w:rPr>
                <w:rFonts w:ascii="Times New Roman" w:cs="Times New Roman" w:eastAsia="Times New Roman" w:hAnsi="Times New Roman"/>
                <w:sz w:val="14"/>
                <w:szCs w:val="14"/>
                <w:color w:val="auto"/>
              </w:rPr>
              <w:t>Receivable under reverse repurchase agreements</w:t>
            </w:r>
          </w:p>
        </w:tc>
        <w:tc>
          <w:tcPr>
            <w:tcW w:w="1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10,645</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4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10,645</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(6,905)</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(3,740)</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398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Total</w:t>
            </w: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11,154</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04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gridSpan w:val="2"/>
            <w:shd w:val="clear" w:color="auto" w:fill="CCEEFF"/>
          </w:tcPr>
          <w:p>
            <w:pPr>
              <w:jc w:val="right"/>
              <w:ind w:right="13"/>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11,154</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gridSpan w:val="2"/>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(6,964)</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gridSpan w:val="2"/>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(4,187)</w:t>
            </w: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 w:type="dxa"/>
            <w:vAlign w:val="bottom"/>
            <w:tcBorders>
              <w:top w:val="single" w:sz="8" w:color="CCEEFF"/>
            </w:tcBorders>
          </w:tcPr>
          <w:p>
            <w:pPr>
              <w:spacing w:after="0" w:line="20" w:lineRule="exact"/>
              <w:rPr>
                <w:sz w:val="1"/>
                <w:szCs w:val="1"/>
                <w:color w:val="auto"/>
              </w:rPr>
            </w:pPr>
          </w:p>
        </w:tc>
        <w:tc>
          <w:tcPr>
            <w:tcW w:w="38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63"/>
        </w:trPr>
        <w:tc>
          <w:tcPr>
            <w:tcW w:w="6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03"/>
        </w:trPr>
        <w:tc>
          <w:tcPr>
            <w:tcW w:w="4040" w:type="dxa"/>
            <w:vAlign w:val="bottom"/>
            <w:gridSpan w:val="3"/>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4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0" w:type="dxa"/>
            <w:vAlign w:val="bottom"/>
          </w:tcPr>
          <w:p>
            <w:pPr>
              <w:spacing w:after="0"/>
              <w:rPr>
                <w:sz w:val="17"/>
                <w:szCs w:val="17"/>
                <w:color w:val="auto"/>
              </w:rPr>
            </w:pPr>
          </w:p>
        </w:tc>
        <w:tc>
          <w:tcPr>
            <w:tcW w:w="3980" w:type="dxa"/>
            <w:vAlign w:val="bottom"/>
            <w:gridSpan w:val="2"/>
          </w:tcPr>
          <w:p>
            <w:pPr>
              <w:ind w:left="80"/>
              <w:spacing w:after="0" w:line="202" w:lineRule="exact"/>
              <w:rPr>
                <w:sz w:val="20"/>
                <w:szCs w:val="20"/>
                <w:color w:val="auto"/>
              </w:rPr>
            </w:pPr>
            <w:r>
              <w:rPr>
                <w:rFonts w:ascii="Times New Roman" w:cs="Times New Roman" w:eastAsia="Times New Roman" w:hAnsi="Times New Roman"/>
                <w:sz w:val="14"/>
                <w:szCs w:val="14"/>
                <w:color w:val="auto"/>
              </w:rPr>
              <w:t xml:space="preserve">Interest rate swap and swaption agreements, at fair value </w:t>
            </w:r>
            <w:r>
              <w:rPr>
                <w:rFonts w:ascii="Times New Roman" w:cs="Times New Roman" w:eastAsia="Times New Roman" w:hAnsi="Times New Roman"/>
                <w:sz w:val="18"/>
                <w:szCs w:val="18"/>
                <w:color w:val="auto"/>
                <w:vertAlign w:val="superscript"/>
              </w:rPr>
              <w:t>1</w:t>
            </w:r>
          </w:p>
        </w:tc>
        <w:tc>
          <w:tcPr>
            <w:tcW w:w="140" w:type="dxa"/>
            <w:vAlign w:val="bottom"/>
          </w:tcPr>
          <w:p>
            <w:pPr>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290</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14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gridSpan w:val="2"/>
          </w:tcPr>
          <w:p>
            <w:pPr>
              <w:jc w:val="right"/>
              <w:ind w:right="13"/>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290</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gridSpan w:val="2"/>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40" w:type="dxa"/>
            <w:vAlign w:val="bottom"/>
            <w:gridSpan w:val="2"/>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(290)</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0" w:type="dxa"/>
            <w:vAlign w:val="bottom"/>
            <w:shd w:val="clear" w:color="auto" w:fill="CCEEFF"/>
          </w:tcPr>
          <w:p>
            <w:pPr>
              <w:spacing w:after="0"/>
              <w:rPr>
                <w:sz w:val="17"/>
                <w:szCs w:val="17"/>
                <w:color w:val="auto"/>
              </w:rPr>
            </w:pPr>
          </w:p>
        </w:tc>
        <w:tc>
          <w:tcPr>
            <w:tcW w:w="3980" w:type="dxa"/>
            <w:vAlign w:val="bottom"/>
            <w:gridSpan w:val="2"/>
            <w:shd w:val="clear" w:color="auto" w:fill="CCEEFF"/>
          </w:tcPr>
          <w:p>
            <w:pPr>
              <w:ind w:left="80"/>
              <w:spacing w:after="0" w:line="202" w:lineRule="exact"/>
              <w:rPr>
                <w:sz w:val="20"/>
                <w:szCs w:val="20"/>
                <w:color w:val="auto"/>
              </w:rPr>
            </w:pPr>
            <w:r>
              <w:rPr>
                <w:rFonts w:ascii="Times New Roman" w:cs="Times New Roman" w:eastAsia="Times New Roman" w:hAnsi="Times New Roman"/>
                <w:sz w:val="14"/>
                <w:szCs w:val="14"/>
                <w:color w:val="auto"/>
              </w:rPr>
              <w:t xml:space="preserve">TBA securities, at fair value </w:t>
            </w:r>
            <w:r>
              <w:rPr>
                <w:rFonts w:ascii="Times New Roman" w:cs="Times New Roman" w:eastAsia="Times New Roman" w:hAnsi="Times New Roman"/>
                <w:sz w:val="18"/>
                <w:szCs w:val="18"/>
                <w:color w:val="auto"/>
                <w:vertAlign w:val="superscript"/>
              </w:rPr>
              <w:t>1</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140" w:type="dxa"/>
            <w:vAlign w:val="bottom"/>
            <w:gridSpan w:val="3"/>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8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000" w:type="dxa"/>
            <w:vAlign w:val="bottom"/>
            <w:gridSpan w:val="3"/>
            <w:shd w:val="clear" w:color="auto" w:fill="CCEEFF"/>
          </w:tcPr>
          <w:p>
            <w:pPr>
              <w:ind w:left="680"/>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0" w:type="dxa"/>
            <w:vAlign w:val="bottom"/>
          </w:tcPr>
          <w:p>
            <w:pPr>
              <w:spacing w:after="0"/>
              <w:rPr>
                <w:sz w:val="17"/>
                <w:szCs w:val="17"/>
                <w:color w:val="auto"/>
              </w:rPr>
            </w:pPr>
          </w:p>
        </w:tc>
        <w:tc>
          <w:tcPr>
            <w:tcW w:w="3980" w:type="dxa"/>
            <w:vAlign w:val="bottom"/>
            <w:gridSpan w:val="2"/>
          </w:tcPr>
          <w:p>
            <w:pPr>
              <w:ind w:left="80"/>
              <w:spacing w:after="0"/>
              <w:rPr>
                <w:sz w:val="20"/>
                <w:szCs w:val="20"/>
                <w:color w:val="auto"/>
              </w:rPr>
            </w:pPr>
            <w:r>
              <w:rPr>
                <w:rFonts w:ascii="Times New Roman" w:cs="Times New Roman" w:eastAsia="Times New Roman" w:hAnsi="Times New Roman"/>
                <w:sz w:val="14"/>
                <w:szCs w:val="14"/>
                <w:color w:val="auto"/>
              </w:rPr>
              <w:t>Receivable under reverse repurchase agreements</w:t>
            </w:r>
          </w:p>
        </w:tc>
        <w:tc>
          <w:tcPr>
            <w:tcW w:w="14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10,475</w:t>
            </w: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14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10,475</w:t>
            </w: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(6,087)</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(4,381)</w:t>
            </w: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7</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3980" w:type="dxa"/>
            <w:vAlign w:val="bottom"/>
            <w:tcBorders>
              <w:top w:val="single" w:sz="8" w:color="CCEEFF"/>
              <w:bottom w:val="single" w:sz="8" w:color="CCEEFF"/>
            </w:tcBorders>
            <w:gridSpan w:val="2"/>
            <w:shd w:val="clear" w:color="auto" w:fill="CCEEFF"/>
          </w:tcPr>
          <w:p>
            <w:pPr>
              <w:ind w:left="200"/>
              <w:spacing w:after="0"/>
              <w:rPr>
                <w:sz w:val="20"/>
                <w:szCs w:val="20"/>
                <w:color w:val="auto"/>
              </w:rPr>
            </w:pPr>
            <w:r>
              <w:rPr>
                <w:rFonts w:ascii="Times New Roman" w:cs="Times New Roman" w:eastAsia="Times New Roman" w:hAnsi="Times New Roman"/>
                <w:sz w:val="14"/>
                <w:szCs w:val="14"/>
                <w:color w:val="auto"/>
              </w:rPr>
              <w:t>Total</w:t>
            </w:r>
          </w:p>
        </w:tc>
        <w:tc>
          <w:tcPr>
            <w:tcW w:w="14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10,792</w:t>
            </w:r>
          </w:p>
        </w:tc>
        <w:tc>
          <w:tcPr>
            <w:tcW w:w="120" w:type="dxa"/>
            <w:vAlign w:val="bottom"/>
            <w:tcBorders>
              <w:top w:val="single" w:sz="8" w:color="CCEEFF"/>
              <w:bottom w:val="single" w:sz="8" w:color="CCEEFF"/>
            </w:tcBorders>
            <w:shd w:val="clear" w:color="auto" w:fill="CCEEFF"/>
          </w:tcPr>
          <w:p>
            <w:pPr>
              <w:spacing w:after="0"/>
              <w:rPr>
                <w:sz w:val="19"/>
                <w:szCs w:val="19"/>
                <w:color w:val="auto"/>
              </w:rPr>
            </w:pPr>
          </w:p>
        </w:tc>
        <w:tc>
          <w:tcPr>
            <w:tcW w:w="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04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160" w:type="dxa"/>
            <w:vAlign w:val="bottom"/>
            <w:tcBorders>
              <w:top w:val="single" w:sz="8" w:color="auto"/>
              <w:bottom w:val="single" w:sz="8" w:color="auto"/>
            </w:tcBorders>
            <w:gridSpan w:val="2"/>
            <w:shd w:val="clear" w:color="auto" w:fill="CCEEFF"/>
          </w:tcPr>
          <w:p>
            <w:pPr>
              <w:jc w:val="right"/>
              <w:ind w:right="13"/>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10,792</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gridSpan w:val="2"/>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(6,114)</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40" w:type="dxa"/>
            <w:vAlign w:val="bottom"/>
            <w:tcBorders>
              <w:top w:val="single" w:sz="8" w:color="auto"/>
              <w:bottom w:val="single" w:sz="8" w:color="auto"/>
            </w:tcBorders>
            <w:gridSpan w:val="2"/>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(4,671)</w:t>
            </w: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60" w:type="dxa"/>
            <w:vAlign w:val="bottom"/>
            <w:tcBorders>
              <w:top w:val="single" w:sz="8" w:color="CCEEFF"/>
              <w:bottom w:val="single" w:sz="8" w:color="CCEEFF"/>
            </w:tcBorders>
            <w:shd w:val="clear" w:color="auto" w:fill="CCEEFF"/>
          </w:tcPr>
          <w:p>
            <w:pPr>
              <w:spacing w:after="0"/>
              <w:rPr>
                <w:sz w:val="19"/>
                <w:szCs w:val="19"/>
                <w:color w:val="auto"/>
              </w:rPr>
            </w:pPr>
          </w:p>
        </w:tc>
        <w:tc>
          <w:tcPr>
            <w:tcW w:w="140" w:type="dxa"/>
            <w:vAlign w:val="bottom"/>
            <w:tcBorders>
              <w:top w:val="single" w:sz="8" w:color="auto"/>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0" w:type="dxa"/>
            <w:vAlign w:val="bottom"/>
            <w:tcBorders>
              <w:top w:val="single" w:sz="8" w:color="CCEEFF"/>
            </w:tcBorders>
          </w:tcPr>
          <w:p>
            <w:pPr>
              <w:spacing w:after="0" w:line="20" w:lineRule="exact"/>
              <w:rPr>
                <w:sz w:val="1"/>
                <w:szCs w:val="1"/>
                <w:color w:val="auto"/>
              </w:rPr>
            </w:pPr>
          </w:p>
        </w:tc>
        <w:tc>
          <w:tcPr>
            <w:tcW w:w="38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gridSpan w:val="2"/>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gridSpan w:val="2"/>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60" w:type="dxa"/>
            <w:vAlign w:val="bottom"/>
            <w:tcBorders>
              <w:top w:val="single" w:sz="8" w:color="CCEEFF"/>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88"/>
        </w:trPr>
        <w:tc>
          <w:tcPr>
            <w:tcW w:w="60" w:type="dxa"/>
            <w:vAlign w:val="bottom"/>
          </w:tcPr>
          <w:p>
            <w:pPr>
              <w:spacing w:after="0"/>
              <w:rPr>
                <w:sz w:val="24"/>
                <w:szCs w:val="24"/>
                <w:color w:val="auto"/>
              </w:rPr>
            </w:pPr>
          </w:p>
        </w:tc>
        <w:tc>
          <w:tcPr>
            <w:tcW w:w="3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60" w:type="dxa"/>
            <w:vAlign w:val="bottom"/>
            <w:gridSpan w:val="14"/>
          </w:tcPr>
          <w:p>
            <w:pPr>
              <w:jc w:val="right"/>
              <w:spacing w:after="0"/>
              <w:rPr>
                <w:sz w:val="20"/>
                <w:szCs w:val="20"/>
                <w:color w:val="auto"/>
              </w:rPr>
            </w:pPr>
            <w:r>
              <w:rPr>
                <w:rFonts w:ascii="Times New Roman" w:cs="Times New Roman" w:eastAsia="Times New Roman" w:hAnsi="Times New Roman"/>
                <w:sz w:val="14"/>
                <w:szCs w:val="14"/>
                <w:b w:val="1"/>
                <w:bCs w:val="1"/>
                <w:color w:val="auto"/>
              </w:rPr>
              <w:t>Offsetting of Financial and Derivative Liabilities</w:t>
            </w:r>
          </w:p>
        </w:tc>
        <w:tc>
          <w:tcPr>
            <w:tcW w:w="8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
        </w:trPr>
        <w:tc>
          <w:tcPr>
            <w:tcW w:w="60" w:type="dxa"/>
            <w:vAlign w:val="bottom"/>
          </w:tcPr>
          <w:p>
            <w:pPr>
              <w:spacing w:after="0"/>
              <w:rPr>
                <w:sz w:val="2"/>
                <w:szCs w:val="2"/>
                <w:color w:val="auto"/>
              </w:rPr>
            </w:pPr>
          </w:p>
        </w:tc>
        <w:tc>
          <w:tcPr>
            <w:tcW w:w="38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300" w:type="dxa"/>
            <w:vAlign w:val="bottom"/>
            <w:tcBorders>
              <w:bottom w:val="single" w:sz="8" w:color="auto"/>
            </w:tcBorders>
            <w:gridSpan w:val="7"/>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2"/>
        </w:trPr>
        <w:tc>
          <w:tcPr>
            <w:tcW w:w="6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300" w:type="dxa"/>
            <w:vAlign w:val="bottom"/>
            <w:gridSpan w:val="7"/>
          </w:tcPr>
          <w:p>
            <w:pPr>
              <w:ind w:left="260"/>
              <w:spacing w:after="0"/>
              <w:rPr>
                <w:sz w:val="20"/>
                <w:szCs w:val="20"/>
                <w:color w:val="auto"/>
              </w:rPr>
            </w:pPr>
            <w:r>
              <w:rPr>
                <w:rFonts w:ascii="Times New Roman" w:cs="Times New Roman" w:eastAsia="Times New Roman" w:hAnsi="Times New Roman"/>
                <w:sz w:val="14"/>
                <w:szCs w:val="14"/>
                <w:b w:val="1"/>
                <w:bCs w:val="1"/>
                <w:color w:val="auto"/>
              </w:rPr>
              <w:t>Gross Amounts Not Offset</w:t>
            </w:r>
          </w:p>
        </w:tc>
        <w:tc>
          <w:tcPr>
            <w:tcW w:w="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6"/>
        </w:trPr>
        <w:tc>
          <w:tcPr>
            <w:tcW w:w="6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gridSpan w:val="4"/>
          </w:tcPr>
          <w:p>
            <w:pPr>
              <w:jc w:val="right"/>
              <w:spacing w:after="0" w:line="146" w:lineRule="exact"/>
              <w:rPr>
                <w:sz w:val="20"/>
                <w:szCs w:val="20"/>
                <w:color w:val="auto"/>
              </w:rPr>
            </w:pPr>
            <w:r>
              <w:rPr>
                <w:rFonts w:ascii="Times New Roman" w:cs="Times New Roman" w:eastAsia="Times New Roman" w:hAnsi="Times New Roman"/>
                <w:sz w:val="14"/>
                <w:szCs w:val="14"/>
                <w:b w:val="1"/>
                <w:bCs w:val="1"/>
                <w:color w:val="auto"/>
              </w:rPr>
              <w:t>in the</w:t>
            </w:r>
          </w:p>
        </w:tc>
        <w:tc>
          <w:tcPr>
            <w:tcW w:w="8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4"/>
        </w:trPr>
        <w:tc>
          <w:tcPr>
            <w:tcW w:w="60" w:type="dxa"/>
            <w:vAlign w:val="bottom"/>
          </w:tcPr>
          <w:p>
            <w:pPr>
              <w:spacing w:after="0"/>
              <w:rPr>
                <w:sz w:val="14"/>
                <w:szCs w:val="14"/>
                <w:color w:val="auto"/>
              </w:rPr>
            </w:pPr>
          </w:p>
        </w:tc>
        <w:tc>
          <w:tcPr>
            <w:tcW w:w="3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140" w:type="dxa"/>
            <w:vAlign w:val="bottom"/>
            <w:gridSpan w:val="3"/>
            <w:vMerge w:val="restart"/>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Gross Amounts</w:t>
            </w:r>
          </w:p>
        </w:tc>
        <w:tc>
          <w:tcPr>
            <w:tcW w:w="80" w:type="dxa"/>
            <w:vAlign w:val="bottom"/>
          </w:tcPr>
          <w:p>
            <w:pPr>
              <w:spacing w:after="0"/>
              <w:rPr>
                <w:sz w:val="14"/>
                <w:szCs w:val="14"/>
                <w:color w:val="auto"/>
              </w:rPr>
            </w:pPr>
          </w:p>
        </w:tc>
        <w:tc>
          <w:tcPr>
            <w:tcW w:w="1160" w:type="dxa"/>
            <w:vAlign w:val="bottom"/>
            <w:gridSpan w:val="4"/>
          </w:tcPr>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Net Amounts of</w:t>
            </w:r>
          </w:p>
        </w:tc>
        <w:tc>
          <w:tcPr>
            <w:tcW w:w="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300" w:type="dxa"/>
            <w:vAlign w:val="bottom"/>
            <w:gridSpan w:val="7"/>
          </w:tcPr>
          <w:p>
            <w:pPr>
              <w:jc w:val="right"/>
              <w:ind w:right="360"/>
              <w:spacing w:after="0"/>
              <w:rPr>
                <w:sz w:val="20"/>
                <w:szCs w:val="20"/>
                <w:color w:val="auto"/>
              </w:rPr>
            </w:pPr>
            <w:r>
              <w:rPr>
                <w:rFonts w:ascii="Times New Roman" w:cs="Times New Roman" w:eastAsia="Times New Roman" w:hAnsi="Times New Roman"/>
                <w:sz w:val="14"/>
                <w:szCs w:val="14"/>
                <w:b w:val="1"/>
                <w:bCs w:val="1"/>
                <w:color w:val="auto"/>
              </w:rPr>
              <w:t>Consolidated Balance Sheets</w:t>
            </w:r>
          </w:p>
        </w:tc>
        <w:tc>
          <w:tcPr>
            <w:tcW w:w="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60" w:type="dxa"/>
            <w:vAlign w:val="bottom"/>
          </w:tcPr>
          <w:p>
            <w:pPr>
              <w:spacing w:after="0"/>
              <w:rPr>
                <w:sz w:val="3"/>
                <w:szCs w:val="3"/>
                <w:color w:val="auto"/>
              </w:rPr>
            </w:pPr>
          </w:p>
        </w:tc>
        <w:tc>
          <w:tcPr>
            <w:tcW w:w="3860" w:type="dxa"/>
            <w:vAlign w:val="bottom"/>
          </w:tcPr>
          <w:p>
            <w:pPr>
              <w:spacing w:after="0"/>
              <w:rPr>
                <w:sz w:val="3"/>
                <w:szCs w:val="3"/>
                <w:color w:val="auto"/>
              </w:rPr>
            </w:pPr>
          </w:p>
        </w:tc>
        <w:tc>
          <w:tcPr>
            <w:tcW w:w="120" w:type="dxa"/>
            <w:vAlign w:val="bottom"/>
          </w:tcPr>
          <w:p>
            <w:pPr>
              <w:spacing w:after="0"/>
              <w:rPr>
                <w:sz w:val="3"/>
                <w:szCs w:val="3"/>
                <w:color w:val="auto"/>
              </w:rPr>
            </w:pPr>
          </w:p>
        </w:tc>
        <w:tc>
          <w:tcPr>
            <w:tcW w:w="1120" w:type="dxa"/>
            <w:vAlign w:val="bottom"/>
            <w:gridSpan w:val="3"/>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Gross Amounts</w:t>
            </w:r>
          </w:p>
        </w:tc>
        <w:tc>
          <w:tcPr>
            <w:tcW w:w="80" w:type="dxa"/>
            <w:vAlign w:val="bottom"/>
          </w:tcPr>
          <w:p>
            <w:pPr>
              <w:spacing w:after="0"/>
              <w:rPr>
                <w:sz w:val="3"/>
                <w:szCs w:val="3"/>
                <w:color w:val="auto"/>
              </w:rPr>
            </w:pPr>
          </w:p>
        </w:tc>
        <w:tc>
          <w:tcPr>
            <w:tcW w:w="1140" w:type="dxa"/>
            <w:vAlign w:val="bottom"/>
            <w:gridSpan w:val="3"/>
            <w:vMerge w:val="continue"/>
          </w:tcPr>
          <w:p>
            <w:pPr>
              <w:spacing w:after="0"/>
              <w:rPr>
                <w:sz w:val="3"/>
                <w:szCs w:val="3"/>
                <w:color w:val="auto"/>
              </w:rPr>
            </w:pPr>
          </w:p>
        </w:tc>
        <w:tc>
          <w:tcPr>
            <w:tcW w:w="80" w:type="dxa"/>
            <w:vAlign w:val="bottom"/>
          </w:tcPr>
          <w:p>
            <w:pPr>
              <w:spacing w:after="0"/>
              <w:rPr>
                <w:sz w:val="3"/>
                <w:szCs w:val="3"/>
                <w:color w:val="auto"/>
              </w:rPr>
            </w:pPr>
          </w:p>
        </w:tc>
        <w:tc>
          <w:tcPr>
            <w:tcW w:w="80" w:type="dxa"/>
            <w:vAlign w:val="bottom"/>
          </w:tcPr>
          <w:p>
            <w:pPr>
              <w:spacing w:after="0"/>
              <w:rPr>
                <w:sz w:val="3"/>
                <w:szCs w:val="3"/>
                <w:color w:val="auto"/>
              </w:rPr>
            </w:pPr>
          </w:p>
        </w:tc>
        <w:tc>
          <w:tcPr>
            <w:tcW w:w="1080" w:type="dxa"/>
            <w:vAlign w:val="bottom"/>
            <w:gridSpan w:val="3"/>
            <w:vMerge w:val="restart"/>
          </w:tcPr>
          <w:p>
            <w:pPr>
              <w:jc w:val="center"/>
              <w:ind w:right="120"/>
              <w:spacing w:after="0" w:line="146" w:lineRule="exact"/>
              <w:rPr>
                <w:sz w:val="20"/>
                <w:szCs w:val="20"/>
                <w:color w:val="auto"/>
              </w:rPr>
            </w:pPr>
            <w:r>
              <w:rPr>
                <w:rFonts w:ascii="Times New Roman" w:cs="Times New Roman" w:eastAsia="Times New Roman" w:hAnsi="Times New Roman"/>
                <w:sz w:val="14"/>
                <w:szCs w:val="14"/>
                <w:b w:val="1"/>
                <w:bCs w:val="1"/>
                <w:color w:val="auto"/>
              </w:rPr>
              <w:t>Liabilities</w:t>
            </w:r>
          </w:p>
        </w:tc>
        <w:tc>
          <w:tcPr>
            <w:tcW w:w="80" w:type="dxa"/>
            <w:vAlign w:val="bottom"/>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9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88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0" w:type="dxa"/>
            <w:vAlign w:val="bottom"/>
          </w:tcPr>
          <w:p>
            <w:pPr>
              <w:spacing w:after="0"/>
              <w:rPr>
                <w:sz w:val="3"/>
                <w:szCs w:val="3"/>
                <w:color w:val="auto"/>
              </w:rPr>
            </w:pPr>
          </w:p>
        </w:tc>
        <w:tc>
          <w:tcPr>
            <w:tcW w:w="40" w:type="dxa"/>
            <w:vAlign w:val="bottom"/>
          </w:tcPr>
          <w:p>
            <w:pPr>
              <w:spacing w:after="0"/>
              <w:rPr>
                <w:sz w:val="3"/>
                <w:szCs w:val="3"/>
                <w:color w:val="auto"/>
              </w:rPr>
            </w:pPr>
          </w:p>
        </w:tc>
        <w:tc>
          <w:tcPr>
            <w:tcW w:w="100" w:type="dxa"/>
            <w:vAlign w:val="bottom"/>
          </w:tcPr>
          <w:p>
            <w:pPr>
              <w:spacing w:after="0"/>
              <w:rPr>
                <w:sz w:val="3"/>
                <w:szCs w:val="3"/>
                <w:color w:val="auto"/>
              </w:rPr>
            </w:pPr>
          </w:p>
        </w:tc>
        <w:tc>
          <w:tcPr>
            <w:tcW w:w="900" w:type="dxa"/>
            <w:vAlign w:val="bottom"/>
          </w:tcPr>
          <w:p>
            <w:pPr>
              <w:spacing w:after="0"/>
              <w:rPr>
                <w:sz w:val="3"/>
                <w:szCs w:val="3"/>
                <w:color w:val="auto"/>
              </w:rPr>
            </w:pPr>
          </w:p>
        </w:tc>
        <w:tc>
          <w:tcPr>
            <w:tcW w:w="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88"/>
        </w:trPr>
        <w:tc>
          <w:tcPr>
            <w:tcW w:w="60" w:type="dxa"/>
            <w:vAlign w:val="bottom"/>
          </w:tcPr>
          <w:p>
            <w:pPr>
              <w:spacing w:after="0"/>
              <w:rPr>
                <w:sz w:val="7"/>
                <w:szCs w:val="7"/>
                <w:color w:val="auto"/>
              </w:rPr>
            </w:pPr>
          </w:p>
        </w:tc>
        <w:tc>
          <w:tcPr>
            <w:tcW w:w="3860" w:type="dxa"/>
            <w:vAlign w:val="bottom"/>
          </w:tcPr>
          <w:p>
            <w:pPr>
              <w:spacing w:after="0"/>
              <w:rPr>
                <w:sz w:val="7"/>
                <w:szCs w:val="7"/>
                <w:color w:val="auto"/>
              </w:rPr>
            </w:pPr>
          </w:p>
        </w:tc>
        <w:tc>
          <w:tcPr>
            <w:tcW w:w="120" w:type="dxa"/>
            <w:vAlign w:val="bottom"/>
          </w:tcPr>
          <w:p>
            <w:pPr>
              <w:spacing w:after="0"/>
              <w:rPr>
                <w:sz w:val="7"/>
                <w:szCs w:val="7"/>
                <w:color w:val="auto"/>
              </w:rPr>
            </w:pPr>
          </w:p>
        </w:tc>
        <w:tc>
          <w:tcPr>
            <w:tcW w:w="1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114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108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100" w:type="dxa"/>
            <w:vAlign w:val="bottom"/>
          </w:tcPr>
          <w:p>
            <w:pPr>
              <w:spacing w:after="0"/>
              <w:rPr>
                <w:sz w:val="7"/>
                <w:szCs w:val="7"/>
                <w:color w:val="auto"/>
              </w:rPr>
            </w:pPr>
          </w:p>
        </w:tc>
        <w:tc>
          <w:tcPr>
            <w:tcW w:w="960" w:type="dxa"/>
            <w:vAlign w:val="bottom"/>
          </w:tcPr>
          <w:p>
            <w:pPr>
              <w:spacing w:after="0"/>
              <w:rPr>
                <w:sz w:val="7"/>
                <w:szCs w:val="7"/>
                <w:color w:val="auto"/>
              </w:rPr>
            </w:pPr>
          </w:p>
        </w:tc>
        <w:tc>
          <w:tcPr>
            <w:tcW w:w="100" w:type="dxa"/>
            <w:vAlign w:val="bottom"/>
          </w:tcPr>
          <w:p>
            <w:pPr>
              <w:spacing w:after="0"/>
              <w:rPr>
                <w:sz w:val="7"/>
                <w:szCs w:val="7"/>
                <w:color w:val="auto"/>
              </w:rPr>
            </w:pPr>
          </w:p>
        </w:tc>
        <w:tc>
          <w:tcPr>
            <w:tcW w:w="20" w:type="dxa"/>
            <w:vAlign w:val="bottom"/>
          </w:tcPr>
          <w:p>
            <w:pPr>
              <w:spacing w:after="0"/>
              <w:rPr>
                <w:sz w:val="7"/>
                <w:szCs w:val="7"/>
                <w:color w:val="auto"/>
              </w:rPr>
            </w:pPr>
          </w:p>
        </w:tc>
        <w:tc>
          <w:tcPr>
            <w:tcW w:w="220" w:type="dxa"/>
            <w:vAlign w:val="bottom"/>
          </w:tcPr>
          <w:p>
            <w:pPr>
              <w:spacing w:after="0"/>
              <w:rPr>
                <w:sz w:val="7"/>
                <w:szCs w:val="7"/>
                <w:color w:val="auto"/>
              </w:rPr>
            </w:pPr>
          </w:p>
        </w:tc>
        <w:tc>
          <w:tcPr>
            <w:tcW w:w="880" w:type="dxa"/>
            <w:vAlign w:val="bottom"/>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Pr>
          <w:p>
            <w:pPr>
              <w:spacing w:after="0"/>
              <w:rPr>
                <w:sz w:val="7"/>
                <w:szCs w:val="7"/>
                <w:color w:val="auto"/>
              </w:rPr>
            </w:pPr>
          </w:p>
        </w:tc>
        <w:tc>
          <w:tcPr>
            <w:tcW w:w="40" w:type="dxa"/>
            <w:vAlign w:val="bottom"/>
          </w:tcPr>
          <w:p>
            <w:pPr>
              <w:spacing w:after="0"/>
              <w:rPr>
                <w:sz w:val="7"/>
                <w:szCs w:val="7"/>
                <w:color w:val="auto"/>
              </w:rPr>
            </w:pPr>
          </w:p>
        </w:tc>
        <w:tc>
          <w:tcPr>
            <w:tcW w:w="100" w:type="dxa"/>
            <w:vAlign w:val="bottom"/>
          </w:tcPr>
          <w:p>
            <w:pPr>
              <w:spacing w:after="0"/>
              <w:rPr>
                <w:sz w:val="7"/>
                <w:szCs w:val="7"/>
                <w:color w:val="auto"/>
              </w:rPr>
            </w:pPr>
          </w:p>
        </w:tc>
        <w:tc>
          <w:tcPr>
            <w:tcW w:w="900" w:type="dxa"/>
            <w:vAlign w:val="bottom"/>
          </w:tcPr>
          <w:p>
            <w:pPr>
              <w:spacing w:after="0"/>
              <w:rPr>
                <w:sz w:val="7"/>
                <w:szCs w:val="7"/>
                <w:color w:val="auto"/>
              </w:rPr>
            </w:pPr>
          </w:p>
        </w:tc>
        <w:tc>
          <w:tcPr>
            <w:tcW w:w="6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135"/>
        </w:trPr>
        <w:tc>
          <w:tcPr>
            <w:tcW w:w="60" w:type="dxa"/>
            <w:vAlign w:val="bottom"/>
          </w:tcPr>
          <w:p>
            <w:pPr>
              <w:spacing w:after="0"/>
              <w:rPr>
                <w:sz w:val="11"/>
                <w:szCs w:val="11"/>
                <w:color w:val="auto"/>
              </w:rPr>
            </w:pPr>
          </w:p>
        </w:tc>
        <w:tc>
          <w:tcPr>
            <w:tcW w:w="38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120" w:type="dxa"/>
            <w:vAlign w:val="bottom"/>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1140" w:type="dxa"/>
            <w:vAlign w:val="bottom"/>
            <w:gridSpan w:val="3"/>
          </w:tcPr>
          <w:p>
            <w:pPr>
              <w:jc w:val="center"/>
              <w:ind w:right="140"/>
              <w:spacing w:after="0" w:line="135" w:lineRule="exact"/>
              <w:rPr>
                <w:sz w:val="20"/>
                <w:szCs w:val="20"/>
                <w:color w:val="auto"/>
              </w:rPr>
            </w:pPr>
            <w:r>
              <w:rPr>
                <w:rFonts w:ascii="Times New Roman" w:cs="Times New Roman" w:eastAsia="Times New Roman" w:hAnsi="Times New Roman"/>
                <w:sz w:val="14"/>
                <w:szCs w:val="14"/>
                <w:b w:val="1"/>
                <w:bCs w:val="1"/>
                <w:color w:val="auto"/>
              </w:rPr>
              <w:t>Offset in the</w:t>
            </w:r>
          </w:p>
        </w:tc>
        <w:tc>
          <w:tcPr>
            <w:tcW w:w="80" w:type="dxa"/>
            <w:vAlign w:val="bottom"/>
          </w:tcPr>
          <w:p>
            <w:pPr>
              <w:spacing w:after="0"/>
              <w:rPr>
                <w:sz w:val="11"/>
                <w:szCs w:val="11"/>
                <w:color w:val="auto"/>
              </w:rPr>
            </w:pPr>
          </w:p>
        </w:tc>
        <w:tc>
          <w:tcPr>
            <w:tcW w:w="1160" w:type="dxa"/>
            <w:vAlign w:val="bottom"/>
            <w:gridSpan w:val="4"/>
          </w:tcPr>
          <w:p>
            <w:pPr>
              <w:jc w:val="center"/>
              <w:ind w:right="40"/>
              <w:spacing w:after="0" w:line="135" w:lineRule="exact"/>
              <w:rPr>
                <w:sz w:val="20"/>
                <w:szCs w:val="20"/>
                <w:color w:val="auto"/>
              </w:rPr>
            </w:pPr>
            <w:r>
              <w:rPr>
                <w:rFonts w:ascii="Times New Roman" w:cs="Times New Roman" w:eastAsia="Times New Roman" w:hAnsi="Times New Roman"/>
                <w:sz w:val="14"/>
                <w:szCs w:val="14"/>
                <w:b w:val="1"/>
                <w:bCs w:val="1"/>
                <w:color w:val="auto"/>
              </w:rPr>
              <w:t>Presented in the</w:t>
            </w:r>
          </w:p>
        </w:tc>
        <w:tc>
          <w:tcPr>
            <w:tcW w:w="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60" w:type="dxa"/>
            <w:vAlign w:val="bottom"/>
            <w:gridSpan w:val="2"/>
            <w:vMerge w:val="restart"/>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Financial</w:t>
            </w:r>
          </w:p>
        </w:tc>
        <w:tc>
          <w:tcPr>
            <w:tcW w:w="2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0" w:type="dxa"/>
            <w:vAlign w:val="bottom"/>
            <w:gridSpan w:val="3"/>
            <w:vMerge w:val="restart"/>
          </w:tcPr>
          <w:p>
            <w:pPr>
              <w:jc w:val="right"/>
              <w:ind w:right="340"/>
              <w:spacing w:after="0"/>
              <w:rPr>
                <w:sz w:val="20"/>
                <w:szCs w:val="20"/>
                <w:color w:val="auto"/>
              </w:rPr>
            </w:pPr>
            <w:r>
              <w:rPr>
                <w:rFonts w:ascii="Times New Roman" w:cs="Times New Roman" w:eastAsia="Times New Roman" w:hAnsi="Times New Roman"/>
                <w:sz w:val="14"/>
                <w:szCs w:val="14"/>
                <w:b w:val="1"/>
                <w:bCs w:val="1"/>
                <w:color w:val="auto"/>
              </w:rPr>
              <w:t>Collateral</w:t>
            </w:r>
          </w:p>
        </w:tc>
        <w:tc>
          <w:tcPr>
            <w:tcW w:w="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60" w:type="dxa"/>
            <w:vAlign w:val="bottom"/>
          </w:tcPr>
          <w:p>
            <w:pPr>
              <w:spacing w:after="0"/>
              <w:rPr>
                <w:sz w:val="12"/>
                <w:szCs w:val="12"/>
                <w:color w:val="auto"/>
              </w:rPr>
            </w:pPr>
          </w:p>
        </w:tc>
        <w:tc>
          <w:tcPr>
            <w:tcW w:w="38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120" w:type="dxa"/>
            <w:vAlign w:val="bottom"/>
            <w:gridSpan w:val="3"/>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of Recognized</w:t>
            </w:r>
          </w:p>
        </w:tc>
        <w:tc>
          <w:tcPr>
            <w:tcW w:w="80" w:type="dxa"/>
            <w:vAlign w:val="bottom"/>
          </w:tcPr>
          <w:p>
            <w:pPr>
              <w:spacing w:after="0"/>
              <w:rPr>
                <w:sz w:val="12"/>
                <w:szCs w:val="12"/>
                <w:color w:val="auto"/>
              </w:rPr>
            </w:pPr>
          </w:p>
        </w:tc>
        <w:tc>
          <w:tcPr>
            <w:tcW w:w="1140" w:type="dxa"/>
            <w:vAlign w:val="bottom"/>
            <w:gridSpan w:val="3"/>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Consolidated</w:t>
            </w:r>
          </w:p>
        </w:tc>
        <w:tc>
          <w:tcPr>
            <w:tcW w:w="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80" w:type="dxa"/>
            <w:vAlign w:val="bottom"/>
            <w:gridSpan w:val="3"/>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Consolidated</w:t>
            </w: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60" w:type="dxa"/>
            <w:vAlign w:val="bottom"/>
            <w:gridSpan w:val="2"/>
            <w:vMerge w:val="continue"/>
          </w:tcPr>
          <w:p>
            <w:pPr>
              <w:spacing w:after="0"/>
              <w:rPr>
                <w:sz w:val="12"/>
                <w:szCs w:val="12"/>
                <w:color w:val="auto"/>
              </w:rPr>
            </w:pPr>
          </w:p>
        </w:tc>
        <w:tc>
          <w:tcPr>
            <w:tcW w:w="2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0" w:type="dxa"/>
            <w:vAlign w:val="bottom"/>
            <w:gridSpan w:val="3"/>
            <w:vMerge w:val="continue"/>
          </w:tcPr>
          <w:p>
            <w:pPr>
              <w:spacing w:after="0"/>
              <w:rPr>
                <w:sz w:val="12"/>
                <w:szCs w:val="12"/>
                <w:color w:val="auto"/>
              </w:rPr>
            </w:pPr>
          </w:p>
        </w:tc>
        <w:tc>
          <w:tcPr>
            <w:tcW w:w="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vMerge w:val="restart"/>
          </w:tcPr>
          <w:p>
            <w:pPr>
              <w:jc w:val="right"/>
              <w:ind w:right="28"/>
              <w:spacing w:after="0"/>
              <w:rPr>
                <w:sz w:val="20"/>
                <w:szCs w:val="20"/>
                <w:color w:val="auto"/>
              </w:rPr>
            </w:pPr>
            <w:r>
              <w:rPr>
                <w:rFonts w:ascii="Times New Roman" w:cs="Times New Roman" w:eastAsia="Times New Roman" w:hAnsi="Times New Roman"/>
                <w:sz w:val="14"/>
                <w:szCs w:val="14"/>
                <w:b w:val="1"/>
                <w:bCs w:val="1"/>
                <w:color w:val="auto"/>
              </w:rPr>
              <w:t>Net Amount</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03"/>
        </w:trPr>
        <w:tc>
          <w:tcPr>
            <w:tcW w:w="60" w:type="dxa"/>
            <w:vAlign w:val="bottom"/>
          </w:tcPr>
          <w:p>
            <w:pPr>
              <w:spacing w:after="0"/>
              <w:rPr>
                <w:sz w:val="17"/>
                <w:szCs w:val="17"/>
                <w:color w:val="auto"/>
              </w:rPr>
            </w:pPr>
          </w:p>
        </w:tc>
        <w:tc>
          <w:tcPr>
            <w:tcW w:w="3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98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Liabilities</w:t>
            </w:r>
          </w:p>
        </w:tc>
        <w:tc>
          <w:tcPr>
            <w:tcW w:w="80" w:type="dxa"/>
            <w:vAlign w:val="bottom"/>
          </w:tcPr>
          <w:p>
            <w:pPr>
              <w:spacing w:after="0"/>
              <w:rPr>
                <w:sz w:val="17"/>
                <w:szCs w:val="17"/>
                <w:color w:val="auto"/>
              </w:rPr>
            </w:pPr>
          </w:p>
        </w:tc>
        <w:tc>
          <w:tcPr>
            <w:tcW w:w="114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Balance Sheets</w:t>
            </w: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80" w:type="dxa"/>
            <w:vAlign w:val="bottom"/>
            <w:gridSpan w:val="3"/>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Balance Sheets</w:t>
            </w: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060" w:type="dxa"/>
            <w:vAlign w:val="bottom"/>
            <w:gridSpan w:val="2"/>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Instruments</w:t>
            </w: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00" w:type="dxa"/>
            <w:vAlign w:val="bottom"/>
            <w:gridSpan w:val="3"/>
          </w:tcPr>
          <w:p>
            <w:pPr>
              <w:jc w:val="right"/>
              <w:ind w:right="360"/>
              <w:spacing w:after="0" w:line="202" w:lineRule="exact"/>
              <w:rPr>
                <w:sz w:val="20"/>
                <w:szCs w:val="20"/>
                <w:color w:val="auto"/>
              </w:rPr>
            </w:pPr>
            <w:r>
              <w:rPr>
                <w:rFonts w:ascii="Times New Roman" w:cs="Times New Roman" w:eastAsia="Times New Roman" w:hAnsi="Times New Roman"/>
                <w:sz w:val="14"/>
                <w:szCs w:val="14"/>
                <w:b w:val="1"/>
                <w:bCs w:val="1"/>
                <w:color w:val="auto"/>
              </w:rPr>
              <w:t xml:space="preserve">Pledged </w:t>
            </w:r>
            <w:r>
              <w:rPr>
                <w:rFonts w:ascii="Times New Roman" w:cs="Times New Roman" w:eastAsia="Times New Roman" w:hAnsi="Times New Roman"/>
                <w:sz w:val="18"/>
                <w:szCs w:val="18"/>
                <w:b w:val="1"/>
                <w:bCs w:val="1"/>
                <w:color w:val="auto"/>
                <w:vertAlign w:val="superscript"/>
              </w:rPr>
              <w:t>2</w:t>
            </w: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0" w:type="dxa"/>
            <w:vAlign w:val="bottom"/>
          </w:tcPr>
          <w:p>
            <w:pPr>
              <w:spacing w:after="0"/>
              <w:rPr>
                <w:sz w:val="17"/>
                <w:szCs w:val="17"/>
                <w:color w:val="auto"/>
              </w:rPr>
            </w:pPr>
          </w:p>
        </w:tc>
        <w:tc>
          <w:tcPr>
            <w:tcW w:w="38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spacing w:after="0"/>
              <w:rPr>
                <w:sz w:val="17"/>
                <w:szCs w:val="17"/>
                <w:color w:val="auto"/>
              </w:rPr>
            </w:pPr>
          </w:p>
        </w:tc>
        <w:tc>
          <w:tcPr>
            <w:tcW w:w="88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CCEEFF"/>
            </w:tcBorders>
            <w:shd w:val="clear" w:color="auto" w:fill="CCEEFF"/>
          </w:tcPr>
          <w:p>
            <w:pPr>
              <w:spacing w:after="0"/>
              <w:rPr>
                <w:sz w:val="17"/>
                <w:szCs w:val="17"/>
                <w:color w:val="auto"/>
              </w:rPr>
            </w:pPr>
          </w:p>
        </w:tc>
        <w:tc>
          <w:tcPr>
            <w:tcW w:w="4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6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0" w:type="dxa"/>
            <w:vAlign w:val="bottom"/>
          </w:tcPr>
          <w:p>
            <w:pPr>
              <w:spacing w:after="0"/>
              <w:rPr>
                <w:sz w:val="17"/>
                <w:szCs w:val="17"/>
                <w:color w:val="auto"/>
              </w:rPr>
            </w:pPr>
          </w:p>
        </w:tc>
        <w:tc>
          <w:tcPr>
            <w:tcW w:w="3980" w:type="dxa"/>
            <w:vAlign w:val="bottom"/>
            <w:gridSpan w:val="2"/>
          </w:tcPr>
          <w:p>
            <w:pPr>
              <w:ind w:left="140"/>
              <w:spacing w:after="0" w:line="202" w:lineRule="exact"/>
              <w:rPr>
                <w:sz w:val="20"/>
                <w:szCs w:val="20"/>
                <w:color w:val="auto"/>
              </w:rPr>
            </w:pPr>
            <w:r>
              <w:rPr>
                <w:rFonts w:ascii="Times New Roman" w:cs="Times New Roman" w:eastAsia="Times New Roman" w:hAnsi="Times New Roman"/>
                <w:sz w:val="14"/>
                <w:szCs w:val="14"/>
                <w:color w:val="auto"/>
              </w:rPr>
              <w:t xml:space="preserve">TBA and forward settling non-Agency securities, at fair value </w:t>
            </w:r>
            <w:r>
              <w:rPr>
                <w:rFonts w:ascii="Times New Roman" w:cs="Times New Roman" w:eastAsia="Times New Roman" w:hAnsi="Times New Roman"/>
                <w:sz w:val="18"/>
                <w:szCs w:val="18"/>
                <w:color w:val="auto"/>
                <w:vertAlign w:val="superscript"/>
              </w:rPr>
              <w:t>1</w:t>
            </w:r>
          </w:p>
        </w:tc>
        <w:tc>
          <w:tcPr>
            <w:tcW w:w="140" w:type="dxa"/>
            <w:vAlign w:val="bottom"/>
          </w:tcPr>
          <w:p>
            <w:pPr>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668</w:t>
            </w:r>
          </w:p>
        </w:tc>
        <w:tc>
          <w:tcPr>
            <w:tcW w:w="120" w:type="dxa"/>
            <w:vAlign w:val="bottom"/>
          </w:tcPr>
          <w:p>
            <w:pPr>
              <w:spacing w:after="0"/>
              <w:rPr>
                <w:sz w:val="17"/>
                <w:szCs w:val="17"/>
                <w:color w:val="auto"/>
              </w:rPr>
            </w:pPr>
          </w:p>
        </w:tc>
        <w:tc>
          <w:tcPr>
            <w:tcW w:w="8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140" w:type="dxa"/>
            <w:vAlign w:val="bottom"/>
            <w:gridSpan w:val="3"/>
          </w:tcPr>
          <w:p>
            <w:pPr>
              <w:ind w:left="9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gridSpan w:val="2"/>
          </w:tcPr>
          <w:p>
            <w:pPr>
              <w:ind w:left="100"/>
              <w:spacing w:after="0"/>
              <w:rPr>
                <w:sz w:val="20"/>
                <w:szCs w:val="20"/>
                <w:color w:val="auto"/>
              </w:rPr>
            </w:pPr>
            <w:r>
              <w:rPr>
                <w:rFonts w:ascii="Times New Roman" w:cs="Times New Roman" w:eastAsia="Times New Roman" w:hAnsi="Times New Roman"/>
                <w:sz w:val="11"/>
                <w:szCs w:val="11"/>
                <w:color w:val="auto"/>
                <w:w w:val="71"/>
              </w:rPr>
              <w:t>$</w:t>
            </w:r>
          </w:p>
        </w:tc>
        <w:tc>
          <w:tcPr>
            <w:tcW w:w="1060" w:type="dxa"/>
            <w:vAlign w:val="bottom"/>
            <w:gridSpan w:val="2"/>
          </w:tcPr>
          <w:p>
            <w:pPr>
              <w:jc w:val="right"/>
              <w:ind w:right="80"/>
              <w:spacing w:after="0"/>
              <w:rPr>
                <w:sz w:val="20"/>
                <w:szCs w:val="20"/>
                <w:color w:val="auto"/>
              </w:rPr>
            </w:pPr>
            <w:r>
              <w:rPr>
                <w:rFonts w:ascii="Times New Roman" w:cs="Times New Roman" w:eastAsia="Times New Roman" w:hAnsi="Times New Roman"/>
                <w:sz w:val="14"/>
                <w:szCs w:val="14"/>
                <w:color w:val="auto"/>
              </w:rPr>
              <w:t>668</w:t>
            </w:r>
          </w:p>
        </w:tc>
        <w:tc>
          <w:tcPr>
            <w:tcW w:w="20" w:type="dxa"/>
            <w:vAlign w:val="bottom"/>
          </w:tcPr>
          <w:p>
            <w:pPr>
              <w:spacing w:after="0"/>
              <w:rPr>
                <w:sz w:val="17"/>
                <w:szCs w:val="17"/>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(59)</w:t>
            </w:r>
          </w:p>
        </w:tc>
        <w:tc>
          <w:tcPr>
            <w:tcW w:w="100" w:type="dxa"/>
            <w:vAlign w:val="bottom"/>
          </w:tcPr>
          <w:p>
            <w:pPr>
              <w:spacing w:after="0"/>
              <w:rPr>
                <w:sz w:val="17"/>
                <w:szCs w:val="17"/>
                <w:color w:val="auto"/>
              </w:rPr>
            </w:pPr>
          </w:p>
        </w:tc>
        <w:tc>
          <w:tcPr>
            <w:tcW w:w="240" w:type="dxa"/>
            <w:vAlign w:val="bottom"/>
            <w:gridSpan w:val="2"/>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tcPr>
          <w:p>
            <w:pPr>
              <w:jc w:val="right"/>
              <w:ind w:right="40"/>
              <w:spacing w:after="0"/>
              <w:rPr>
                <w:sz w:val="20"/>
                <w:szCs w:val="20"/>
                <w:color w:val="auto"/>
              </w:rPr>
            </w:pPr>
            <w:r>
              <w:rPr>
                <w:rFonts w:ascii="Times New Roman" w:cs="Times New Roman" w:eastAsia="Times New Roman" w:hAnsi="Times New Roman"/>
                <w:sz w:val="14"/>
                <w:szCs w:val="14"/>
                <w:color w:val="auto"/>
              </w:rPr>
              <w:t>(609)</w:t>
            </w:r>
          </w:p>
        </w:tc>
        <w:tc>
          <w:tcPr>
            <w:tcW w:w="60" w:type="dxa"/>
            <w:vAlign w:val="bottom"/>
          </w:tcPr>
          <w:p>
            <w:pPr>
              <w:spacing w:after="0"/>
              <w:rPr>
                <w:sz w:val="17"/>
                <w:szCs w:val="17"/>
                <w:color w:val="auto"/>
              </w:rPr>
            </w:pP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60" w:type="dxa"/>
            <w:vAlign w:val="bottom"/>
          </w:tcPr>
          <w:p>
            <w:pPr>
              <w:spacing w:after="0"/>
              <w:rPr>
                <w:sz w:val="17"/>
                <w:szCs w:val="17"/>
                <w:color w:val="auto"/>
              </w:rPr>
            </w:pPr>
          </w:p>
        </w:tc>
        <w:tc>
          <w:tcPr>
            <w:tcW w:w="398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Repurchase agreements</w:t>
            </w: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44,715</w:t>
            </w:r>
          </w:p>
        </w:tc>
        <w:tc>
          <w:tcPr>
            <w:tcW w:w="1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140" w:type="dxa"/>
            <w:vAlign w:val="bottom"/>
            <w:gridSpan w:val="3"/>
            <w:shd w:val="clear" w:color="auto" w:fill="CCEEFF"/>
          </w:tcPr>
          <w:p>
            <w:pPr>
              <w:ind w:left="90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4"/>
                <w:szCs w:val="14"/>
                <w:color w:val="auto"/>
              </w:rPr>
              <w:t>44,715</w:t>
            </w:r>
          </w:p>
        </w:tc>
        <w:tc>
          <w:tcPr>
            <w:tcW w:w="20" w:type="dxa"/>
            <w:vAlign w:val="bottom"/>
            <w:shd w:val="clear" w:color="auto" w:fill="CCEEFF"/>
          </w:tcPr>
          <w:p>
            <w:pPr>
              <w:spacing w:after="0"/>
              <w:rPr>
                <w:sz w:val="17"/>
                <w:szCs w:val="17"/>
                <w:color w:val="auto"/>
              </w:rPr>
            </w:pPr>
          </w:p>
        </w:tc>
        <w:tc>
          <w:tcPr>
            <w:tcW w:w="8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(6,905)</w:t>
            </w:r>
          </w:p>
        </w:tc>
        <w:tc>
          <w:tcPr>
            <w:tcW w:w="10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4"/>
                <w:szCs w:val="14"/>
                <w:color w:val="auto"/>
              </w:rPr>
              <w:t>(37,810)</w:t>
            </w:r>
          </w:p>
        </w:tc>
        <w:tc>
          <w:tcPr>
            <w:tcW w:w="60" w:type="dxa"/>
            <w:vAlign w:val="bottom"/>
            <w:shd w:val="clear" w:color="auto" w:fill="CCEEFF"/>
          </w:tcPr>
          <w:p>
            <w:pPr>
              <w:spacing w:after="0"/>
              <w:rPr>
                <w:sz w:val="17"/>
                <w:szCs w:val="17"/>
                <w:color w:val="auto"/>
              </w:rPr>
            </w:pPr>
          </w:p>
        </w:tc>
        <w:tc>
          <w:tcPr>
            <w:tcW w:w="4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0" w:type="dxa"/>
            <w:vAlign w:val="bottom"/>
          </w:tcPr>
          <w:p>
            <w:pPr>
              <w:spacing w:after="0"/>
              <w:rPr>
                <w:sz w:val="17"/>
                <w:szCs w:val="17"/>
                <w:color w:val="auto"/>
              </w:rPr>
            </w:pPr>
          </w:p>
        </w:tc>
        <w:tc>
          <w:tcPr>
            <w:tcW w:w="39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Total</w:t>
            </w:r>
          </w:p>
        </w:tc>
        <w:tc>
          <w:tcPr>
            <w:tcW w:w="14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45,383</w:t>
            </w:r>
          </w:p>
        </w:tc>
        <w:tc>
          <w:tcPr>
            <w:tcW w:w="120" w:type="dxa"/>
            <w:vAlign w:val="bottom"/>
          </w:tcPr>
          <w:p>
            <w:pPr>
              <w:spacing w:after="0"/>
              <w:rPr>
                <w:sz w:val="17"/>
                <w:szCs w:val="17"/>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120" w:type="dxa"/>
            <w:vAlign w:val="bottom"/>
            <w:tcBorders>
              <w:top w:val="single" w:sz="8" w:color="auto"/>
              <w:bottom w:val="single" w:sz="8" w:color="auto"/>
            </w:tcBorders>
            <w:gridSpan w:val="2"/>
          </w:tcPr>
          <w:p>
            <w:pPr>
              <w:ind w:left="900"/>
              <w:spacing w:after="0"/>
              <w:rPr>
                <w:sz w:val="20"/>
                <w:szCs w:val="20"/>
                <w:color w:val="auto"/>
              </w:rPr>
            </w:pPr>
            <w:r>
              <w:rPr>
                <w:rFonts w:ascii="Times New Roman" w:cs="Times New Roman" w:eastAsia="Times New Roman" w:hAnsi="Times New Roman"/>
                <w:sz w:val="14"/>
                <w:szCs w:val="14"/>
                <w:color w:val="auto"/>
              </w:rPr>
              <w:t>—</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1"/>
                <w:szCs w:val="11"/>
                <w:color w:val="auto"/>
                <w:w w:val="71"/>
              </w:rPr>
              <w:t>$</w:t>
            </w:r>
          </w:p>
        </w:tc>
        <w:tc>
          <w:tcPr>
            <w:tcW w:w="1060" w:type="dxa"/>
            <w:vAlign w:val="bottom"/>
            <w:tcBorders>
              <w:top w:val="single" w:sz="8" w:color="auto"/>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14"/>
                <w:szCs w:val="14"/>
                <w:color w:val="auto"/>
              </w:rPr>
              <w:t>45,383</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(6,964)</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Borders>
              <w:top w:val="single" w:sz="8" w:color="auto"/>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940" w:type="dxa"/>
            <w:vAlign w:val="bottom"/>
            <w:tcBorders>
              <w:top w:val="single" w:sz="8" w:color="auto"/>
              <w:bottom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4"/>
                <w:szCs w:val="14"/>
                <w:color w:val="auto"/>
              </w:rPr>
              <w:t>(38,419)</w:t>
            </w: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tcBorders>
              <w:top w:val="single" w:sz="8" w:color="auto"/>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60" w:type="dxa"/>
            <w:vAlign w:val="bottom"/>
          </w:tcPr>
          <w:p>
            <w:pPr>
              <w:spacing w:after="0" w:line="20" w:lineRule="exact"/>
              <w:rPr>
                <w:sz w:val="1"/>
                <w:szCs w:val="1"/>
                <w:color w:val="auto"/>
              </w:rPr>
            </w:pPr>
          </w:p>
        </w:tc>
        <w:tc>
          <w:tcPr>
            <w:tcW w:w="386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CCEEFF"/>
            </w:tcBorders>
          </w:tcPr>
          <w:p>
            <w:pPr>
              <w:spacing w:after="0" w:line="20" w:lineRule="exact"/>
              <w:rPr>
                <w:sz w:val="1"/>
                <w:szCs w:val="1"/>
                <w:color w:val="auto"/>
              </w:rPr>
            </w:pPr>
          </w:p>
        </w:tc>
        <w:tc>
          <w:tcPr>
            <w:tcW w:w="4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60" w:type="dxa"/>
            <w:vAlign w:val="bottom"/>
          </w:tcPr>
          <w:p>
            <w:pPr>
              <w:spacing w:after="0"/>
              <w:rPr>
                <w:sz w:val="15"/>
                <w:szCs w:val="15"/>
                <w:color w:val="auto"/>
              </w:rPr>
            </w:pPr>
          </w:p>
        </w:tc>
        <w:tc>
          <w:tcPr>
            <w:tcW w:w="38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98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8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4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90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96"/>
        </w:trPr>
        <w:tc>
          <w:tcPr>
            <w:tcW w:w="60" w:type="dxa"/>
            <w:vAlign w:val="bottom"/>
          </w:tcPr>
          <w:p>
            <w:pPr>
              <w:spacing w:after="0"/>
              <w:rPr>
                <w:sz w:val="17"/>
                <w:szCs w:val="17"/>
                <w:color w:val="auto"/>
              </w:rPr>
            </w:pPr>
          </w:p>
        </w:tc>
        <w:tc>
          <w:tcPr>
            <w:tcW w:w="398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60" w:type="dxa"/>
            <w:vAlign w:val="bottom"/>
          </w:tcPr>
          <w:p>
            <w:pPr>
              <w:spacing w:after="0"/>
              <w:rPr>
                <w:sz w:val="18"/>
                <w:szCs w:val="18"/>
                <w:color w:val="auto"/>
              </w:rPr>
            </w:pPr>
          </w:p>
        </w:tc>
        <w:tc>
          <w:tcPr>
            <w:tcW w:w="3980" w:type="dxa"/>
            <w:vAlign w:val="bottom"/>
            <w:gridSpan w:val="2"/>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Repurchase agreements</w:t>
            </w:r>
          </w:p>
        </w:tc>
        <w:tc>
          <w:tcPr>
            <w:tcW w:w="14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47,381</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140" w:type="dxa"/>
            <w:vAlign w:val="bottom"/>
            <w:gridSpan w:val="3"/>
            <w:shd w:val="clear" w:color="auto" w:fill="CCEEFF"/>
          </w:tcPr>
          <w:p>
            <w:pPr>
              <w:ind w:left="90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1"/>
                <w:szCs w:val="11"/>
                <w:color w:val="auto"/>
                <w:w w:val="71"/>
              </w:rPr>
              <w:t>$</w:t>
            </w:r>
          </w:p>
        </w:tc>
        <w:tc>
          <w:tcPr>
            <w:tcW w:w="106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4"/>
                <w:szCs w:val="14"/>
                <w:color w:val="auto"/>
              </w:rPr>
              <w:t>47,381</w:t>
            </w:r>
          </w:p>
        </w:tc>
        <w:tc>
          <w:tcPr>
            <w:tcW w:w="20" w:type="dxa"/>
            <w:vAlign w:val="bottom"/>
            <w:shd w:val="clear" w:color="auto" w:fill="CCEEFF"/>
          </w:tcPr>
          <w:p>
            <w:pPr>
              <w:spacing w:after="0"/>
              <w:rPr>
                <w:sz w:val="18"/>
                <w:szCs w:val="18"/>
                <w:color w:val="auto"/>
              </w:rPr>
            </w:pPr>
          </w:p>
        </w:tc>
        <w:tc>
          <w:tcPr>
            <w:tcW w:w="1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(6,087)</w:t>
            </w:r>
          </w:p>
        </w:tc>
        <w:tc>
          <w:tcPr>
            <w:tcW w:w="100" w:type="dxa"/>
            <w:vAlign w:val="bottom"/>
            <w:shd w:val="clear" w:color="auto" w:fill="CCEEFF"/>
          </w:tcPr>
          <w:p>
            <w:pPr>
              <w:spacing w:after="0"/>
              <w:rPr>
                <w:sz w:val="18"/>
                <w:szCs w:val="18"/>
                <w:color w:val="auto"/>
              </w:rPr>
            </w:pPr>
          </w:p>
        </w:tc>
        <w:tc>
          <w:tcPr>
            <w:tcW w:w="240" w:type="dxa"/>
            <w:vAlign w:val="bottom"/>
            <w:gridSpan w:val="2"/>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940" w:type="dxa"/>
            <w:vAlign w:val="bottom"/>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4"/>
                <w:szCs w:val="14"/>
                <w:color w:val="auto"/>
              </w:rPr>
              <w:t>(41,294)</w:t>
            </w:r>
          </w:p>
        </w:tc>
        <w:tc>
          <w:tcPr>
            <w:tcW w:w="60" w:type="dxa"/>
            <w:vAlign w:val="bottom"/>
            <w:shd w:val="clear" w:color="auto" w:fill="CCEEFF"/>
          </w:tcPr>
          <w:p>
            <w:pPr>
              <w:spacing w:after="0"/>
              <w:rPr>
                <w:sz w:val="18"/>
                <w:szCs w:val="18"/>
                <w:color w:val="auto"/>
              </w:rPr>
            </w:pPr>
          </w:p>
        </w:tc>
        <w:tc>
          <w:tcPr>
            <w:tcW w:w="1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60" w:type="dxa"/>
            <w:vAlign w:val="bottom"/>
          </w:tcPr>
          <w:p>
            <w:pPr>
              <w:spacing w:after="0"/>
              <w:rPr>
                <w:sz w:val="17"/>
                <w:szCs w:val="17"/>
                <w:color w:val="auto"/>
              </w:rPr>
            </w:pPr>
          </w:p>
        </w:tc>
        <w:tc>
          <w:tcPr>
            <w:tcW w:w="39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Total</w:t>
            </w:r>
          </w:p>
        </w:tc>
        <w:tc>
          <w:tcPr>
            <w:tcW w:w="14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47,452</w:t>
            </w:r>
          </w:p>
        </w:tc>
        <w:tc>
          <w:tcPr>
            <w:tcW w:w="120" w:type="dxa"/>
            <w:vAlign w:val="bottom"/>
          </w:tcPr>
          <w:p>
            <w:pPr>
              <w:spacing w:after="0"/>
              <w:rPr>
                <w:sz w:val="17"/>
                <w:szCs w:val="17"/>
                <w:color w:val="auto"/>
              </w:rPr>
            </w:pPr>
          </w:p>
        </w:tc>
        <w:tc>
          <w:tcPr>
            <w:tcW w:w="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1120" w:type="dxa"/>
            <w:vAlign w:val="bottom"/>
            <w:tcBorders>
              <w:top w:val="single" w:sz="8" w:color="auto"/>
              <w:bottom w:val="single" w:sz="8" w:color="auto"/>
            </w:tcBorders>
            <w:gridSpan w:val="2"/>
          </w:tcPr>
          <w:p>
            <w:pPr>
              <w:ind w:left="900"/>
              <w:spacing w:after="0"/>
              <w:rPr>
                <w:sz w:val="20"/>
                <w:szCs w:val="20"/>
                <w:color w:val="auto"/>
              </w:rPr>
            </w:pPr>
            <w:r>
              <w:rPr>
                <w:rFonts w:ascii="Times New Roman" w:cs="Times New Roman" w:eastAsia="Times New Roman" w:hAnsi="Times New Roman"/>
                <w:sz w:val="14"/>
                <w:szCs w:val="14"/>
                <w:color w:val="auto"/>
              </w:rPr>
              <w:t>—</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8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11"/>
                <w:szCs w:val="11"/>
                <w:color w:val="auto"/>
                <w:w w:val="71"/>
              </w:rPr>
              <w:t>$</w:t>
            </w:r>
          </w:p>
        </w:tc>
        <w:tc>
          <w:tcPr>
            <w:tcW w:w="1060" w:type="dxa"/>
            <w:vAlign w:val="bottom"/>
            <w:tcBorders>
              <w:top w:val="single" w:sz="8" w:color="auto"/>
              <w:bottom w:val="single" w:sz="8" w:color="auto"/>
            </w:tcBorders>
            <w:gridSpan w:val="2"/>
          </w:tcPr>
          <w:p>
            <w:pPr>
              <w:jc w:val="right"/>
              <w:ind w:right="80"/>
              <w:spacing w:after="0"/>
              <w:rPr>
                <w:sz w:val="20"/>
                <w:szCs w:val="20"/>
                <w:color w:val="auto"/>
              </w:rPr>
            </w:pPr>
            <w:r>
              <w:rPr>
                <w:rFonts w:ascii="Times New Roman" w:cs="Times New Roman" w:eastAsia="Times New Roman" w:hAnsi="Times New Roman"/>
                <w:sz w:val="14"/>
                <w:szCs w:val="14"/>
                <w:color w:val="auto"/>
              </w:rPr>
              <w:t>47,452</w:t>
            </w: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(6,114)</w:t>
            </w:r>
          </w:p>
        </w:tc>
        <w:tc>
          <w:tcPr>
            <w:tcW w:w="1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20" w:type="dxa"/>
            <w:vAlign w:val="bottom"/>
            <w:tcBorders>
              <w:top w:val="single" w:sz="8" w:color="auto"/>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940" w:type="dxa"/>
            <w:vAlign w:val="bottom"/>
            <w:tcBorders>
              <w:top w:val="single" w:sz="8" w:color="auto"/>
              <w:bottom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4"/>
                <w:szCs w:val="14"/>
                <w:color w:val="auto"/>
              </w:rPr>
              <w:t>(41,338)</w:t>
            </w:r>
          </w:p>
        </w:tc>
        <w:tc>
          <w:tcPr>
            <w:tcW w:w="6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60" w:type="dxa"/>
            <w:vAlign w:val="bottom"/>
            <w:tcBorders>
              <w:top w:val="single" w:sz="8" w:color="auto"/>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
        </w:trPr>
        <w:tc>
          <w:tcPr>
            <w:tcW w:w="60" w:type="dxa"/>
            <w:vAlign w:val="bottom"/>
          </w:tcPr>
          <w:p>
            <w:pPr>
              <w:spacing w:after="0" w:line="20" w:lineRule="exact"/>
              <w:rPr>
                <w:sz w:val="1"/>
                <w:szCs w:val="1"/>
                <w:color w:val="auto"/>
              </w:rPr>
            </w:pPr>
          </w:p>
        </w:tc>
        <w:tc>
          <w:tcPr>
            <w:tcW w:w="38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00" w:lineRule="exact"/>
        <w:rPr>
          <w:sz w:val="20"/>
          <w:szCs w:val="20"/>
          <w:color w:val="auto"/>
        </w:rPr>
      </w:pPr>
    </w:p>
    <w:p>
      <w:pPr>
        <w:spacing w:after="0" w:line="35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5" w:right="339" w:bottom="1440" w:gutter="0" w:footer="0" w:header="0"/>
        </w:sectPr>
      </w:pPr>
    </w:p>
    <w:bookmarkStart w:id="21" w:name="page22"/>
    <w:bookmarkEnd w:id="21"/>
    <w:p>
      <w:pPr>
        <w:ind w:left="660" w:right="160" w:hanging="328"/>
        <w:spacing w:after="0" w:line="271" w:lineRule="auto"/>
        <w:tabs>
          <w:tab w:leader="none" w:pos="660" w:val="left"/>
        </w:tabs>
        <w:numPr>
          <w:ilvl w:val="0"/>
          <w:numId w:val="1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Reported under derivative assets / liabilities, at fair value in the accompanying consolidated balance sheets. Refer to Note 5 for a reconciliation of derivative assets / liabilities, at fair value to their sub-components.</w:t>
      </w:r>
    </w:p>
    <w:p>
      <w:pPr>
        <w:ind w:left="660" w:right="400" w:hanging="328"/>
        <w:spacing w:after="0" w:line="263" w:lineRule="auto"/>
        <w:tabs>
          <w:tab w:leader="none" w:pos="660" w:val="left"/>
        </w:tabs>
        <w:numPr>
          <w:ilvl w:val="0"/>
          <w:numId w:val="1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cash and securities pledged / received as collateral, at fair value. Amounts include repledged collateral. Amounts presented are limited to collateral pledged sufficient to reduce the net amount to zero for individual counterparties, as applicable.</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7. Fair Value Measurements</w:t>
      </w:r>
    </w:p>
    <w:p>
      <w:pPr>
        <w:spacing w:after="0" w:line="175"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The following table provides a summary of our assets and liabilities that are measured at fair value on a recurring basis, as of March 31, 2022 and December 31, 2021, based on their categorization within the valuation hierarchy (in millions). There were no transfers between valuation hierarchy levels during the periods presented in our accompanying consolidated statements of comprehensive income.</w:t>
      </w:r>
    </w:p>
    <w:p>
      <w:pPr>
        <w:spacing w:after="0" w:line="88"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466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10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120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180" w:type="dxa"/>
            <w:vAlign w:val="bottom"/>
          </w:tcPr>
          <w:p>
            <w:pPr>
              <w:spacing w:after="0"/>
              <w:rPr>
                <w:sz w:val="16"/>
                <w:szCs w:val="16"/>
                <w:color w:val="auto"/>
              </w:rPr>
            </w:pPr>
          </w:p>
        </w:tc>
        <w:tc>
          <w:tcPr>
            <w:tcW w:w="8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4660" w:type="dxa"/>
            <w:vAlign w:val="bottom"/>
          </w:tcPr>
          <w:p>
            <w:pPr>
              <w:spacing w:after="0"/>
              <w:rPr>
                <w:sz w:val="2"/>
                <w:szCs w:val="2"/>
                <w:color w:val="auto"/>
              </w:rPr>
            </w:pPr>
          </w:p>
        </w:tc>
        <w:tc>
          <w:tcPr>
            <w:tcW w:w="180" w:type="dxa"/>
            <w:vAlign w:val="bottom"/>
          </w:tcPr>
          <w:p>
            <w:pPr>
              <w:spacing w:after="0"/>
              <w:rPr>
                <w:sz w:val="2"/>
                <w:szCs w:val="2"/>
                <w:color w:val="auto"/>
              </w:rPr>
            </w:pPr>
          </w:p>
        </w:tc>
        <w:tc>
          <w:tcPr>
            <w:tcW w:w="9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100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80" w:type="dxa"/>
            <w:vAlign w:val="bottom"/>
          </w:tcPr>
          <w:p>
            <w:pPr>
              <w:spacing w:after="0"/>
              <w:rPr>
                <w:sz w:val="2"/>
                <w:szCs w:val="2"/>
                <w:color w:val="auto"/>
              </w:rPr>
            </w:pPr>
          </w:p>
        </w:tc>
        <w:tc>
          <w:tcPr>
            <w:tcW w:w="920" w:type="dxa"/>
            <w:vAlign w:val="bottom"/>
            <w:gridSpan w:val="2"/>
          </w:tcPr>
          <w:p>
            <w:pPr>
              <w:spacing w:after="0"/>
              <w:rPr>
                <w:sz w:val="2"/>
                <w:szCs w:val="2"/>
                <w:color w:val="auto"/>
              </w:rPr>
            </w:pPr>
          </w:p>
        </w:tc>
        <w:tc>
          <w:tcPr>
            <w:tcW w:w="180" w:type="dxa"/>
            <w:vAlign w:val="bottom"/>
          </w:tcPr>
          <w:p>
            <w:pPr>
              <w:spacing w:after="0"/>
              <w:rPr>
                <w:sz w:val="2"/>
                <w:szCs w:val="2"/>
                <w:color w:val="auto"/>
              </w:rPr>
            </w:pPr>
          </w:p>
        </w:tc>
        <w:tc>
          <w:tcPr>
            <w:tcW w:w="80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466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00" w:type="dxa"/>
            <w:vAlign w:val="bottom"/>
            <w:tcBorders>
              <w:top w:val="single" w:sz="8" w:color="auto"/>
            </w:tcBorders>
            <w:gridSpan w:val="2"/>
          </w:tcPr>
          <w:p>
            <w:pPr>
              <w:ind w:left="80"/>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8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gridSpan w:val="2"/>
          </w:tcPr>
          <w:p>
            <w:pPr>
              <w:ind w:left="10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8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ind w:left="8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200" w:type="dxa"/>
            <w:vAlign w:val="bottom"/>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00" w:type="dxa"/>
            <w:vAlign w:val="bottom"/>
            <w:tcBorders>
              <w:top w:val="single" w:sz="8" w:color="auto"/>
            </w:tcBorders>
          </w:tcPr>
          <w:p>
            <w:pPr>
              <w:spacing w:after="0"/>
              <w:rPr>
                <w:sz w:val="16"/>
                <w:szCs w:val="16"/>
                <w:color w:val="auto"/>
              </w:rPr>
            </w:pPr>
          </w:p>
        </w:tc>
        <w:tc>
          <w:tcPr>
            <w:tcW w:w="180" w:type="dxa"/>
            <w:vAlign w:val="bottom"/>
            <w:tcBorders>
              <w:top w:val="single" w:sz="8" w:color="auto"/>
            </w:tcBorders>
          </w:tcPr>
          <w:p>
            <w:pPr>
              <w:spacing w:after="0"/>
              <w:rPr>
                <w:sz w:val="16"/>
                <w:szCs w:val="16"/>
                <w:color w:val="auto"/>
              </w:rPr>
            </w:pPr>
          </w:p>
        </w:tc>
        <w:tc>
          <w:tcPr>
            <w:tcW w:w="920" w:type="dxa"/>
            <w:vAlign w:val="bottom"/>
            <w:tcBorders>
              <w:top w:val="single" w:sz="8" w:color="auto"/>
            </w:tcBorders>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80" w:type="dxa"/>
            <w:vAlign w:val="bottom"/>
            <w:tcBorders>
              <w:top w:val="single" w:sz="8" w:color="auto"/>
            </w:tcBorders>
          </w:tcPr>
          <w:p>
            <w:pPr>
              <w:spacing w:after="0"/>
              <w:rPr>
                <w:sz w:val="16"/>
                <w:szCs w:val="16"/>
                <w:color w:val="auto"/>
              </w:rPr>
            </w:pPr>
          </w:p>
        </w:tc>
        <w:tc>
          <w:tcPr>
            <w:tcW w:w="80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0" w:type="dxa"/>
            <w:vAlign w:val="bottom"/>
          </w:tcPr>
          <w:p>
            <w:pPr>
              <w:spacing w:after="0"/>
              <w:rPr>
                <w:sz w:val="1"/>
                <w:szCs w:val="1"/>
                <w:color w:val="auto"/>
              </w:rPr>
            </w:pPr>
          </w:p>
        </w:tc>
      </w:tr>
      <w:tr>
        <w:trPr>
          <w:trHeight w:val="189"/>
        </w:trPr>
        <w:tc>
          <w:tcPr>
            <w:tcW w:w="4660" w:type="dxa"/>
            <w:vAlign w:val="bottom"/>
            <w:tcBorders>
              <w:top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Assets:</w:t>
            </w:r>
          </w:p>
        </w:tc>
        <w:tc>
          <w:tcPr>
            <w:tcW w:w="18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spacing w:after="0"/>
              <w:rPr>
                <w:sz w:val="16"/>
                <w:szCs w:val="16"/>
                <w:color w:val="auto"/>
              </w:rPr>
            </w:pPr>
          </w:p>
        </w:tc>
        <w:tc>
          <w:tcPr>
            <w:tcW w:w="100" w:type="dxa"/>
            <w:vAlign w:val="bottom"/>
            <w:tcBorders>
              <w:top w:val="single" w:sz="8" w:color="CCEEFF"/>
            </w:tcBorders>
            <w:shd w:val="clear" w:color="auto" w:fill="CCEEFF"/>
          </w:tcPr>
          <w:p>
            <w:pPr>
              <w:spacing w:after="0"/>
              <w:rPr>
                <w:sz w:val="16"/>
                <w:szCs w:val="16"/>
                <w:color w:val="auto"/>
              </w:rPr>
            </w:pPr>
          </w:p>
        </w:tc>
        <w:tc>
          <w:tcPr>
            <w:tcW w:w="180" w:type="dxa"/>
            <w:vAlign w:val="bottom"/>
            <w:tcBorders>
              <w:top w:val="single" w:sz="8" w:color="auto"/>
            </w:tcBorders>
            <w:shd w:val="clear" w:color="auto" w:fill="CCEEFF"/>
          </w:tcPr>
          <w:p>
            <w:pPr>
              <w:spacing w:after="0"/>
              <w:rPr>
                <w:sz w:val="16"/>
                <w:szCs w:val="16"/>
                <w:color w:val="auto"/>
              </w:rPr>
            </w:pPr>
          </w:p>
        </w:tc>
        <w:tc>
          <w:tcPr>
            <w:tcW w:w="80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466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Agency securities</w:t>
            </w:r>
          </w:p>
        </w:tc>
        <w:tc>
          <w:tcPr>
            <w:tcW w:w="1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47,214</w:t>
            </w:r>
          </w:p>
        </w:tc>
        <w:tc>
          <w:tcPr>
            <w:tcW w:w="100" w:type="dxa"/>
            <w:vAlign w:val="bottom"/>
          </w:tcPr>
          <w:p>
            <w:pPr>
              <w:spacing w:after="0"/>
              <w:rPr>
                <w:sz w:val="16"/>
                <w:szCs w:val="16"/>
                <w:color w:val="auto"/>
              </w:rPr>
            </w:pPr>
          </w:p>
        </w:tc>
        <w:tc>
          <w:tcPr>
            <w:tcW w:w="180" w:type="dxa"/>
            <w:vAlign w:val="bottom"/>
          </w:tcPr>
          <w:p>
            <w:pPr>
              <w:jc w:val="right"/>
              <w:ind w:right="28"/>
              <w:spacing w:after="0"/>
              <w:rPr>
                <w:sz w:val="20"/>
                <w:szCs w:val="20"/>
                <w:color w:val="auto"/>
              </w:rPr>
            </w:pPr>
            <w:r>
              <w:rPr>
                <w:rFonts w:ascii="Times New Roman" w:cs="Times New Roman" w:eastAsia="Times New Roman" w:hAnsi="Times New Roman"/>
                <w:sz w:val="14"/>
                <w:szCs w:val="14"/>
                <w:color w:val="auto"/>
                <w:w w:val="85"/>
              </w:rPr>
              <w:t>$</w:t>
            </w: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gridSpan w:val="2"/>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52,396</w:t>
            </w:r>
          </w:p>
        </w:tc>
        <w:tc>
          <w:tcPr>
            <w:tcW w:w="100" w:type="dxa"/>
            <w:vAlign w:val="bottom"/>
          </w:tcPr>
          <w:p>
            <w:pPr>
              <w:spacing w:after="0"/>
              <w:rPr>
                <w:sz w:val="16"/>
                <w:szCs w:val="16"/>
                <w:color w:val="auto"/>
              </w:rPr>
            </w:pPr>
          </w:p>
        </w:tc>
        <w:tc>
          <w:tcPr>
            <w:tcW w:w="1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10"/>
        </w:trPr>
        <w:tc>
          <w:tcPr>
            <w:tcW w:w="46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Agency securities transferred to consolidated VIEs</w:t>
            </w: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184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208</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5"/>
        </w:trPr>
        <w:tc>
          <w:tcPr>
            <w:tcW w:w="466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Credit risk transfer securities</w:t>
            </w: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6"/>
                <w:szCs w:val="16"/>
                <w:color w:val="auto"/>
              </w:rPr>
            </w:pPr>
          </w:p>
        </w:tc>
        <w:tc>
          <w:tcPr>
            <w:tcW w:w="8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885</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974</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10"/>
        </w:trPr>
        <w:tc>
          <w:tcPr>
            <w:tcW w:w="46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Non-Agency securities</w:t>
            </w: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804</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843</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5"/>
        </w:trPr>
        <w:tc>
          <w:tcPr>
            <w:tcW w:w="466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U.S. Treasury securities</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684</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6"/>
                <w:szCs w:val="16"/>
                <w:color w:val="auto"/>
              </w:rPr>
            </w:pP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471</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10"/>
        </w:trPr>
        <w:tc>
          <w:tcPr>
            <w:tcW w:w="46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 xml:space="preserve">Interest rate swaps </w:t>
            </w:r>
            <w:r>
              <w:rPr>
                <w:rFonts w:ascii="Times New Roman" w:cs="Times New Roman" w:eastAsia="Times New Roman" w:hAnsi="Times New Roman"/>
                <w:sz w:val="18"/>
                <w:szCs w:val="18"/>
                <w:color w:val="auto"/>
                <w:vertAlign w:val="superscript"/>
              </w:rPr>
              <w:t>1</w:t>
            </w: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5"/>
        </w:trPr>
        <w:tc>
          <w:tcPr>
            <w:tcW w:w="466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Swaptions</w:t>
            </w:r>
          </w:p>
        </w:tc>
        <w:tc>
          <w:tcPr>
            <w:tcW w:w="180" w:type="dxa"/>
            <w:vAlign w:val="bottom"/>
          </w:tcPr>
          <w:p>
            <w:pPr>
              <w:spacing w:after="0"/>
              <w:rPr>
                <w:sz w:val="16"/>
                <w:szCs w:val="16"/>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6"/>
                <w:szCs w:val="16"/>
                <w:color w:val="auto"/>
              </w:rPr>
            </w:pPr>
          </w:p>
        </w:tc>
        <w:tc>
          <w:tcPr>
            <w:tcW w:w="8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450</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6"/>
                <w:szCs w:val="16"/>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2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290</w:t>
            </w: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10"/>
        </w:trPr>
        <w:tc>
          <w:tcPr>
            <w:tcW w:w="46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TBA and forward settling securities</w:t>
            </w: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59</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27</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6"/>
        </w:trPr>
        <w:tc>
          <w:tcPr>
            <w:tcW w:w="466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U.S. Treasury futures</w:t>
            </w:r>
          </w:p>
        </w:tc>
        <w:tc>
          <w:tcPr>
            <w:tcW w:w="1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138</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80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28"/>
        </w:trPr>
        <w:tc>
          <w:tcPr>
            <w:tcW w:w="46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w:t>
            </w: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822</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49,596</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Borders>
              <w:top w:val="single" w:sz="8" w:color="auto"/>
              <w:bottom w:val="single" w:sz="8" w:color="auto"/>
            </w:tcBorders>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471</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54,738</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bottom w:val="single" w:sz="8" w:color="CCEEFF"/>
            </w:tcBorders>
            <w:vMerge w:val="restart"/>
          </w:tcPr>
          <w:p>
            <w:pPr>
              <w:ind w:left="20"/>
              <w:spacing w:after="0"/>
              <w:rPr>
                <w:sz w:val="20"/>
                <w:szCs w:val="20"/>
                <w:color w:val="auto"/>
              </w:rPr>
            </w:pPr>
            <w:r>
              <w:rPr>
                <w:rFonts w:ascii="Times New Roman" w:cs="Times New Roman" w:eastAsia="Times New Roman" w:hAnsi="Times New Roman"/>
                <w:sz w:val="14"/>
                <w:szCs w:val="14"/>
                <w:color w:val="auto"/>
              </w:rPr>
              <w:t>Liabilities:</w:t>
            </w: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2"/>
        </w:trPr>
        <w:tc>
          <w:tcPr>
            <w:tcW w:w="4660" w:type="dxa"/>
            <w:vAlign w:val="bottom"/>
            <w:vMerge w:val="continue"/>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6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Debt of consolidated VIEs</w:t>
            </w:r>
          </w:p>
        </w:tc>
        <w:tc>
          <w:tcPr>
            <w:tcW w:w="18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116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w w:val="85"/>
              </w:rPr>
              <w:t>$</w:t>
            </w: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280" w:type="dxa"/>
            <w:vAlign w:val="bottom"/>
            <w:gridSpan w:val="2"/>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126</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39"/>
        </w:trPr>
        <w:tc>
          <w:tcPr>
            <w:tcW w:w="4660" w:type="dxa"/>
            <w:vAlign w:val="bottom"/>
          </w:tcPr>
          <w:p>
            <w:pPr>
              <w:ind w:left="180"/>
              <w:spacing w:after="0" w:line="139" w:lineRule="exact"/>
              <w:rPr>
                <w:sz w:val="20"/>
                <w:szCs w:val="20"/>
                <w:color w:val="auto"/>
              </w:rPr>
            </w:pPr>
            <w:r>
              <w:rPr>
                <w:rFonts w:ascii="Times New Roman" w:cs="Times New Roman" w:eastAsia="Times New Roman" w:hAnsi="Times New Roman"/>
                <w:sz w:val="14"/>
                <w:szCs w:val="14"/>
                <w:color w:val="auto"/>
              </w:rPr>
              <w:t>Obligation to return U.S. Treasury securities borrowed under reverse</w:t>
            </w:r>
          </w:p>
        </w:tc>
        <w:tc>
          <w:tcPr>
            <w:tcW w:w="18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10,277</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2"/>
                <w:szCs w:val="12"/>
                <w:color w:val="auto"/>
              </w:rPr>
            </w:pPr>
          </w:p>
        </w:tc>
        <w:tc>
          <w:tcPr>
            <w:tcW w:w="1000" w:type="dxa"/>
            <w:vAlign w:val="bottom"/>
            <w:gridSpan w:val="2"/>
            <w:vMerge w:val="restart"/>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2"/>
                <w:szCs w:val="12"/>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9,697</w:t>
            </w:r>
          </w:p>
        </w:tc>
        <w:tc>
          <w:tcPr>
            <w:tcW w:w="1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vMerge w:val="restart"/>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2"/>
                <w:szCs w:val="12"/>
                <w:color w:val="auto"/>
              </w:rPr>
            </w:pPr>
          </w:p>
        </w:tc>
        <w:tc>
          <w:tcPr>
            <w:tcW w:w="800" w:type="dxa"/>
            <w:vAlign w:val="bottom"/>
            <w:vMerge w:val="restart"/>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3"/>
        </w:trPr>
        <w:tc>
          <w:tcPr>
            <w:tcW w:w="466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repurchase agreements</w:t>
            </w:r>
          </w:p>
        </w:tc>
        <w:tc>
          <w:tcPr>
            <w:tcW w:w="18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100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920" w:type="dxa"/>
            <w:vAlign w:val="bottom"/>
            <w:gridSpan w:val="2"/>
            <w:vMerge w:val="continue"/>
          </w:tcPr>
          <w:p>
            <w:pPr>
              <w:spacing w:after="0"/>
              <w:rPr>
                <w:sz w:val="16"/>
                <w:szCs w:val="16"/>
                <w:color w:val="auto"/>
              </w:rPr>
            </w:pPr>
          </w:p>
        </w:tc>
        <w:tc>
          <w:tcPr>
            <w:tcW w:w="180" w:type="dxa"/>
            <w:vAlign w:val="bottom"/>
          </w:tcPr>
          <w:p>
            <w:pPr>
              <w:spacing w:after="0"/>
              <w:rPr>
                <w:sz w:val="16"/>
                <w:szCs w:val="16"/>
                <w:color w:val="auto"/>
              </w:rPr>
            </w:pPr>
          </w:p>
        </w:tc>
        <w:tc>
          <w:tcPr>
            <w:tcW w:w="80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8"/>
        </w:trPr>
        <w:tc>
          <w:tcPr>
            <w:tcW w:w="46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 xml:space="preserve">Interest rate swaps </w:t>
            </w:r>
            <w:r>
              <w:rPr>
                <w:rFonts w:ascii="Times New Roman" w:cs="Times New Roman" w:eastAsia="Times New Roman" w:hAnsi="Times New Roman"/>
                <w:sz w:val="18"/>
                <w:szCs w:val="18"/>
                <w:color w:val="auto"/>
                <w:vertAlign w:val="superscript"/>
              </w:rPr>
              <w:t>1</w:t>
            </w: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2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03"/>
        </w:trPr>
        <w:tc>
          <w:tcPr>
            <w:tcW w:w="4660" w:type="dxa"/>
            <w:vAlign w:val="bottom"/>
          </w:tcPr>
          <w:p>
            <w:pPr>
              <w:ind w:left="180"/>
              <w:spacing w:after="0" w:line="202" w:lineRule="exact"/>
              <w:rPr>
                <w:sz w:val="20"/>
                <w:szCs w:val="20"/>
                <w:color w:val="auto"/>
              </w:rPr>
            </w:pPr>
            <w:r>
              <w:rPr>
                <w:rFonts w:ascii="Times New Roman" w:cs="Times New Roman" w:eastAsia="Times New Roman" w:hAnsi="Times New Roman"/>
                <w:sz w:val="14"/>
                <w:szCs w:val="14"/>
                <w:color w:val="auto"/>
              </w:rPr>
              <w:t xml:space="preserve">Credit default swaps </w:t>
            </w:r>
            <w:r>
              <w:rPr>
                <w:rFonts w:ascii="Times New Roman" w:cs="Times New Roman" w:eastAsia="Times New Roman" w:hAnsi="Times New Roman"/>
                <w:sz w:val="18"/>
                <w:szCs w:val="18"/>
                <w:color w:val="auto"/>
                <w:vertAlign w:val="superscript"/>
              </w:rPr>
              <w:t>1</w:t>
            </w:r>
          </w:p>
        </w:tc>
        <w:tc>
          <w:tcPr>
            <w:tcW w:w="1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80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03"/>
        </w:trPr>
        <w:tc>
          <w:tcPr>
            <w:tcW w:w="466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TBA and forward settling securities</w:t>
            </w:r>
          </w:p>
        </w:tc>
        <w:tc>
          <w:tcPr>
            <w:tcW w:w="1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668</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1000" w:type="dxa"/>
            <w:vAlign w:val="bottom"/>
            <w:gridSpan w:val="2"/>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71</w:t>
            </w:r>
          </w:p>
        </w:tc>
        <w:tc>
          <w:tcPr>
            <w:tcW w:w="10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800" w:type="dxa"/>
            <w:vAlign w:val="bottom"/>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6"/>
        </w:trPr>
        <w:tc>
          <w:tcPr>
            <w:tcW w:w="466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U.S. Treasury futures</w:t>
            </w:r>
          </w:p>
        </w:tc>
        <w:tc>
          <w:tcPr>
            <w:tcW w:w="180" w:type="dxa"/>
            <w:vAlign w:val="bottom"/>
          </w:tcPr>
          <w:p>
            <w:pPr>
              <w:spacing w:after="0"/>
              <w:rPr>
                <w:sz w:val="17"/>
                <w:szCs w:val="17"/>
                <w:color w:val="auto"/>
              </w:rPr>
            </w:pPr>
          </w:p>
        </w:tc>
        <w:tc>
          <w:tcPr>
            <w:tcW w:w="90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1000" w:type="dxa"/>
            <w:vAlign w:val="bottom"/>
            <w:gridSpan w:val="2"/>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w:t>
            </w:r>
          </w:p>
        </w:tc>
        <w:tc>
          <w:tcPr>
            <w:tcW w:w="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9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w:t>
            </w:r>
          </w:p>
        </w:tc>
        <w:tc>
          <w:tcPr>
            <w:tcW w:w="180" w:type="dxa"/>
            <w:vAlign w:val="bottom"/>
          </w:tcPr>
          <w:p>
            <w:pPr>
              <w:spacing w:after="0"/>
              <w:rPr>
                <w:sz w:val="17"/>
                <w:szCs w:val="17"/>
                <w:color w:val="auto"/>
              </w:rPr>
            </w:pPr>
          </w:p>
        </w:tc>
        <w:tc>
          <w:tcPr>
            <w:tcW w:w="800" w:type="dxa"/>
            <w:vAlign w:val="bottom"/>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28"/>
        </w:trPr>
        <w:tc>
          <w:tcPr>
            <w:tcW w:w="46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w:t>
            </w: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10,277</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784</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w w:val="85"/>
              </w:rPr>
              <w:t>$</w:t>
            </w:r>
          </w:p>
        </w:tc>
        <w:tc>
          <w:tcPr>
            <w:tcW w:w="800" w:type="dxa"/>
            <w:vAlign w:val="bottom"/>
            <w:tcBorders>
              <w:top w:val="single" w:sz="8" w:color="auto"/>
              <w:bottom w:val="single" w:sz="8" w:color="auto"/>
            </w:tcBorders>
            <w:shd w:val="clear" w:color="auto" w:fill="CCEEFF"/>
          </w:tcPr>
          <w:p>
            <w:pPr>
              <w:ind w:left="580"/>
              <w:spacing w:after="0"/>
              <w:rPr>
                <w:sz w:val="20"/>
                <w:szCs w:val="20"/>
                <w:color w:val="auto"/>
              </w:rPr>
            </w:pPr>
            <w:r>
              <w:rPr>
                <w:rFonts w:ascii="Times New Roman" w:cs="Times New Roman" w:eastAsia="Times New Roman" w:hAnsi="Times New Roman"/>
                <w:sz w:val="14"/>
                <w:szCs w:val="14"/>
                <w:color w:val="auto"/>
              </w:rPr>
              <w:t>—</w:t>
            </w:r>
          </w:p>
        </w:tc>
        <w:tc>
          <w:tcPr>
            <w:tcW w:w="2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9,712</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197</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1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top w:val="single" w:sz="8" w:color="auto"/>
              <w:bottom w:val="single" w:sz="8" w:color="auto"/>
            </w:tcBorders>
            <w:shd w:val="clear" w:color="auto" w:fill="CCEEFF"/>
          </w:tcPr>
          <w:p>
            <w:pPr>
              <w:ind w:left="600"/>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20"/>
        </w:trPr>
        <w:tc>
          <w:tcPr>
            <w:tcW w:w="466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81"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jc w:val="both"/>
        <w:ind w:left="660" w:hanging="328"/>
        <w:spacing w:after="0" w:line="268" w:lineRule="auto"/>
        <w:tabs>
          <w:tab w:leader="none" w:pos="660" w:val="left"/>
        </w:tabs>
        <w:numPr>
          <w:ilvl w:val="0"/>
          <w:numId w:val="1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 of March 31, 2022 and December 31, 2021, the net fair value of our interest rate swaps excluding the recognition of variation margin settlements as a direct reduction of carrying value was a net asset (liability) of $3.5 billion and $1.6 billion, respectively, based on "Level 2" inputs. As of March 31, 2022, the net fair value of our credit default swaps excluding the recognition of variation margin settlements was $(42) million based on "Level 2" inputs. We did not have credit default swaps outstanding as of December 31, 2021. See Notes 2 and 5 for additional details.</w:t>
      </w:r>
    </w:p>
    <w:p>
      <w:pPr>
        <w:spacing w:after="0" w:line="284"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Excluded from the table above are financial instruments presented in our consolidated financial statements at cost. The fair value of our repurchase agreements approximated cost as of March 31, 2022 and December 31, 2021, as the rates on our outstanding repurchase agreements largely corresponded to prevailing rates observed in the repo market. The fair value of cash and cash equivalents, restricted cash, receivables and other payables were determined to approximate cost as of such dates due to their short duration. We estimate the fair value of these instruments carried at cost using "Level 1" or "Level 2" inputs.</w:t>
      </w:r>
    </w:p>
    <w:p>
      <w:pPr>
        <w:spacing w:after="0" w:line="20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8. Net Income (Loss) Per Common Share</w:t>
      </w:r>
    </w:p>
    <w:p>
      <w:pPr>
        <w:spacing w:after="0" w:line="256" w:lineRule="exact"/>
        <w:rPr>
          <w:sz w:val="20"/>
          <w:szCs w:val="20"/>
          <w:color w:val="auto"/>
        </w:rPr>
      </w:pPr>
    </w:p>
    <w:p>
      <w:pPr>
        <w:jc w:val="both"/>
        <w:ind w:firstLine="405"/>
        <w:spacing w:after="0" w:line="256" w:lineRule="auto"/>
        <w:rPr>
          <w:sz w:val="20"/>
          <w:szCs w:val="20"/>
          <w:color w:val="auto"/>
        </w:rPr>
      </w:pPr>
      <w:r>
        <w:rPr>
          <w:rFonts w:ascii="Times New Roman" w:cs="Times New Roman" w:eastAsia="Times New Roman" w:hAnsi="Times New Roman"/>
          <w:sz w:val="18"/>
          <w:szCs w:val="18"/>
          <w:color w:val="auto"/>
        </w:rPr>
        <w:t>Basic net income (loss) per common share is computed by dividing (i) net income (loss) available (attributable) to common stockholders by (ii) the sum of our weighted-average number of common shares outstanding and the weighted-average number of vested but not yet issued time and performance-based restricted stock units ("RSUs") outstanding for the period granted under our long-term incentive program to employees and non-employee Board of Directors. Diluted net income (loss) per common share assumes the issuance of all potential common stock equivalents unless the effect is to reduce a loss or increase the income per common share. Our potential common stock equivalents consist of unvested time and performance-based RSUs. The following table presents the computations of basic and diluted net income (loss) per common share for the periods indicated (shares and dollars in millions):</w:t>
      </w: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6" w:right="339" w:bottom="1440" w:gutter="0" w:footer="0" w:header="0"/>
        </w:sectPr>
      </w:pPr>
    </w:p>
    <w:bookmarkStart w:id="22" w:name="page23"/>
    <w:bookmarkEnd w:id="22"/>
    <w:p>
      <w:pPr>
        <w:jc w:val="center"/>
        <w:ind w:left="7340"/>
        <w:spacing w:after="0"/>
        <w:rPr>
          <w:sz w:val="20"/>
          <w:szCs w:val="20"/>
          <w:color w:val="auto"/>
        </w:rPr>
      </w:pPr>
      <w:r>
        <w:rPr>
          <w:rFonts w:ascii="Times New Roman" w:cs="Times New Roman" w:eastAsia="Times New Roman" w:hAnsi="Times New Roman"/>
          <w:sz w:val="14"/>
          <w:szCs w:val="14"/>
          <w:b w:val="1"/>
          <w:bCs w:val="1"/>
          <w:color w:val="auto"/>
        </w:rPr>
        <w:t>Three Months Ended March</w:t>
      </w:r>
    </w:p>
    <w:p>
      <w:pPr>
        <w:jc w:val="center"/>
        <w:ind w:left="7340"/>
        <w:spacing w:after="0"/>
        <w:rPr>
          <w:sz w:val="20"/>
          <w:szCs w:val="20"/>
          <w:color w:val="auto"/>
        </w:rPr>
      </w:pPr>
      <w:r>
        <w:rPr>
          <w:rFonts w:ascii="Times New Roman" w:cs="Times New Roman" w:eastAsia="Times New Roman" w:hAnsi="Times New Roman"/>
          <w:sz w:val="14"/>
          <w:szCs w:val="14"/>
          <w:b w:val="1"/>
          <w:bCs w:val="1"/>
          <w:color w:val="auto"/>
        </w:rPr>
        <w:t>31,</w:t>
      </w:r>
    </w:p>
    <w:p>
      <w:pPr>
        <w:spacing w:after="0" w:line="15" w:lineRule="exact"/>
        <w:rPr>
          <w:sz w:val="20"/>
          <w:szCs w:val="20"/>
          <w:color w:val="auto"/>
        </w:rPr>
      </w:pPr>
    </w:p>
    <w:tbl>
      <w:tblPr>
        <w:tblLayout w:type="fixed"/>
        <w:tblInd w:w="980" w:type="dxa"/>
        <w:tblCellMar>
          <w:top w:w="0" w:type="dxa"/>
          <w:left w:w="0" w:type="dxa"/>
          <w:bottom w:w="0" w:type="dxa"/>
          <w:right w:w="0" w:type="dxa"/>
        </w:tblCellMar>
      </w:tblPr>
      <w:tr>
        <w:trPr>
          <w:trHeight w:val="210"/>
        </w:trPr>
        <w:tc>
          <w:tcPr>
            <w:tcW w:w="734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top w:val="single" w:sz="8" w:color="auto"/>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00" w:type="dxa"/>
            <w:vAlign w:val="bottom"/>
            <w:tcBorders>
              <w:top w:val="single" w:sz="8" w:color="auto"/>
              <w:bottom w:val="single" w:sz="8" w:color="auto"/>
            </w:tcBorders>
          </w:tcPr>
          <w:p>
            <w:pPr>
              <w:jc w:val="right"/>
              <w:ind w:right="228"/>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02"/>
        </w:trPr>
        <w:tc>
          <w:tcPr>
            <w:tcW w:w="7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Weighted average number of common shares issued and outstanding</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522.6</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532.5</w:t>
            </w:r>
          </w:p>
        </w:tc>
      </w:tr>
      <w:tr>
        <w:trPr>
          <w:trHeight w:val="196"/>
        </w:trPr>
        <w:tc>
          <w:tcPr>
            <w:tcW w:w="734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Weighted average number of fully vested restricted stock units outstanding</w:t>
            </w:r>
          </w:p>
        </w:tc>
        <w:tc>
          <w:tcPr>
            <w:tcW w:w="2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1.7</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w:t>
            </w:r>
          </w:p>
        </w:tc>
      </w:tr>
      <w:tr>
        <w:trPr>
          <w:trHeight w:val="203"/>
        </w:trPr>
        <w:tc>
          <w:tcPr>
            <w:tcW w:w="73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Weighted average number of common shares outstanding - basic</w:t>
            </w:r>
          </w:p>
        </w:tc>
        <w:tc>
          <w:tcPr>
            <w:tcW w:w="20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524.3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533.7</w:t>
            </w:r>
          </w:p>
        </w:tc>
      </w:tr>
      <w:tr>
        <w:trPr>
          <w:trHeight w:val="196"/>
        </w:trPr>
        <w:tc>
          <w:tcPr>
            <w:tcW w:w="73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Weighted average number of dilutive unvested restricted stock units outstanding</w:t>
            </w:r>
          </w:p>
        </w:tc>
        <w:tc>
          <w:tcPr>
            <w:tcW w:w="200" w:type="dxa"/>
            <w:vAlign w:val="bottom"/>
          </w:tcPr>
          <w:p>
            <w:pPr>
              <w:spacing w:after="0"/>
              <w:rPr>
                <w:sz w:val="17"/>
                <w:szCs w:val="17"/>
                <w:color w:val="auto"/>
              </w:rPr>
            </w:pPr>
          </w:p>
        </w:tc>
        <w:tc>
          <w:tcPr>
            <w:tcW w:w="82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w:t>
            </w:r>
          </w:p>
        </w:tc>
      </w:tr>
      <w:tr>
        <w:trPr>
          <w:trHeight w:val="228"/>
        </w:trPr>
        <w:tc>
          <w:tcPr>
            <w:tcW w:w="734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Weighted average number of common shares outstanding - diluted</w:t>
            </w:r>
          </w:p>
        </w:tc>
        <w:tc>
          <w:tcPr>
            <w:tcW w:w="200" w:type="dxa"/>
            <w:vAlign w:val="bottom"/>
            <w:tcBorders>
              <w:top w:val="single" w:sz="8" w:color="auto"/>
              <w:bottom w:val="single" w:sz="8" w:color="auto"/>
            </w:tcBorders>
            <w:shd w:val="clear" w:color="auto" w:fill="CCEEFF"/>
          </w:tcPr>
          <w:p>
            <w:pPr>
              <w:spacing w:after="0"/>
              <w:rPr>
                <w:sz w:val="19"/>
                <w:szCs w:val="19"/>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524.3</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spacing w:after="0"/>
              <w:rPr>
                <w:sz w:val="19"/>
                <w:szCs w:val="19"/>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535.6</w:t>
            </w:r>
          </w:p>
        </w:tc>
      </w:tr>
      <w:tr>
        <w:trPr>
          <w:trHeight w:val="20"/>
        </w:trPr>
        <w:tc>
          <w:tcPr>
            <w:tcW w:w="7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176"/>
        </w:trPr>
        <w:tc>
          <w:tcPr>
            <w:tcW w:w="73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income (loss) available (attributable) to common stockholders</w:t>
            </w:r>
          </w:p>
        </w:tc>
        <w:tc>
          <w:tcPr>
            <w:tcW w:w="2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(676)</w:t>
            </w:r>
          </w:p>
        </w:tc>
        <w:tc>
          <w:tcPr>
            <w:tcW w:w="100" w:type="dxa"/>
            <w:vAlign w:val="bottom"/>
          </w:tcPr>
          <w:p>
            <w:pPr>
              <w:spacing w:after="0"/>
              <w:rPr>
                <w:sz w:val="15"/>
                <w:szCs w:val="15"/>
                <w:color w:val="auto"/>
              </w:rPr>
            </w:pP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950</w:t>
            </w:r>
          </w:p>
        </w:tc>
      </w:tr>
      <w:tr>
        <w:trPr>
          <w:trHeight w:val="20"/>
        </w:trPr>
        <w:tc>
          <w:tcPr>
            <w:tcW w:w="734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r>
        <w:trPr>
          <w:trHeight w:val="222"/>
        </w:trPr>
        <w:tc>
          <w:tcPr>
            <w:tcW w:w="734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income (loss) per common share - basic</w:t>
            </w: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(1.29)</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1.78</w:t>
            </w:r>
          </w:p>
        </w:tc>
      </w:tr>
      <w:tr>
        <w:trPr>
          <w:trHeight w:val="20"/>
        </w:trPr>
        <w:tc>
          <w:tcPr>
            <w:tcW w:w="734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177"/>
        </w:trPr>
        <w:tc>
          <w:tcPr>
            <w:tcW w:w="734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income (loss) per common share - diluted</w:t>
            </w:r>
          </w:p>
        </w:tc>
        <w:tc>
          <w:tcPr>
            <w:tcW w:w="200" w:type="dxa"/>
            <w:vAlign w:val="bottom"/>
            <w:tcBorders>
              <w:bottom w:val="single" w:sz="8" w:color="auto"/>
            </w:tcBorders>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(1.29)</w:t>
            </w:r>
          </w:p>
        </w:tc>
        <w:tc>
          <w:tcPr>
            <w:tcW w:w="100" w:type="dxa"/>
            <w:vAlign w:val="bottom"/>
          </w:tcPr>
          <w:p>
            <w:pPr>
              <w:spacing w:after="0"/>
              <w:rPr>
                <w:sz w:val="15"/>
                <w:szCs w:val="15"/>
                <w:color w:val="auto"/>
              </w:rPr>
            </w:pP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1.77</w:t>
            </w:r>
          </w:p>
        </w:tc>
      </w:tr>
      <w:tr>
        <w:trPr>
          <w:trHeight w:val="20"/>
        </w:trPr>
        <w:tc>
          <w:tcPr>
            <w:tcW w:w="734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jc w:val="both"/>
        <w:ind w:firstLine="405"/>
        <w:spacing w:after="0" w:line="282" w:lineRule="auto"/>
        <w:rPr>
          <w:sz w:val="20"/>
          <w:szCs w:val="20"/>
          <w:color w:val="auto"/>
        </w:rPr>
      </w:pPr>
      <w:r>
        <w:rPr>
          <w:rFonts w:ascii="Times New Roman" w:cs="Times New Roman" w:eastAsia="Times New Roman" w:hAnsi="Times New Roman"/>
          <w:sz w:val="18"/>
          <w:szCs w:val="18"/>
          <w:color w:val="auto"/>
        </w:rPr>
        <w:t>For the three months ended March 31, 2022, 1.4 million of potentially dilutive unvested time and performance based RSUs outstanding were excluded from the computation of diluted net income (loss) per common share because to do so would have been anti-dilutive for the period.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Note 9. Stockholders' Equity</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Preferred Stock</w:t>
      </w:r>
    </w:p>
    <w:p>
      <w:pPr>
        <w:spacing w:after="0" w:line="175" w:lineRule="exact"/>
        <w:rPr>
          <w:sz w:val="20"/>
          <w:szCs w:val="20"/>
          <w:color w:val="auto"/>
        </w:rPr>
      </w:pPr>
    </w:p>
    <w:p>
      <w:pPr>
        <w:jc w:val="both"/>
        <w:ind w:firstLine="445"/>
        <w:spacing w:after="0" w:line="255" w:lineRule="auto"/>
        <w:rPr>
          <w:sz w:val="20"/>
          <w:szCs w:val="20"/>
          <w:color w:val="auto"/>
        </w:rPr>
      </w:pPr>
      <w:r>
        <w:rPr>
          <w:rFonts w:ascii="Times New Roman" w:cs="Times New Roman" w:eastAsia="Times New Roman" w:hAnsi="Times New Roman"/>
          <w:sz w:val="18"/>
          <w:szCs w:val="18"/>
          <w:color w:val="auto"/>
        </w:rPr>
        <w:t>We are authorized to designate and issue up to 10.0 million shares of preferred stock in one or more classes or series. As of March 31, 2022 and December 31, 2021, 13,800, 10,350, 16,100 and 23,000 shares of preferred stock were designated as 7.00% Series C Fixed-to-Floating Rate Cumulative Redeemable Preferred Stock, 6.875% Series D Fixed-to-Floating Rate Cumulative Redeemable Preferred Stock, 6.50% Series E Fixed-to-Floating Rate Cumulative Redeemable Preferred Stock and 6.125% Series F Fixed-to-Floating Rate Cumulative Redeemable Preferred Stock, respectively, (referred to as "Series C, D, E and F Preferred Stock", respectively). As of March 31, 2022 and December 31, 2021, 13,000, 9,400, 16,100 and 23,000 shares of Series C, D, E and F Preferred Stock, respectively, were issued and outstanding. Each share of preferred stock is represented by 1,000 depositary shares. Each share of preferred stock has a liquidation preference of $25,000 per share ($25 per depositary share).</w:t>
      </w:r>
    </w:p>
    <w:p>
      <w:pPr>
        <w:spacing w:after="0" w:line="135" w:lineRule="exact"/>
        <w:rPr>
          <w:sz w:val="20"/>
          <w:szCs w:val="20"/>
          <w:color w:val="auto"/>
        </w:rPr>
      </w:pPr>
    </w:p>
    <w:p>
      <w:pPr>
        <w:jc w:val="both"/>
        <w:ind w:firstLine="405"/>
        <w:spacing w:after="0" w:line="256" w:lineRule="auto"/>
        <w:rPr>
          <w:sz w:val="20"/>
          <w:szCs w:val="20"/>
          <w:color w:val="auto"/>
        </w:rPr>
      </w:pPr>
      <w:r>
        <w:rPr>
          <w:rFonts w:ascii="Times New Roman" w:cs="Times New Roman" w:eastAsia="Times New Roman" w:hAnsi="Times New Roman"/>
          <w:sz w:val="18"/>
          <w:szCs w:val="18"/>
          <w:color w:val="auto"/>
        </w:rPr>
        <w:t>Our preferred stock ranks senior to our common stock with respect to the payment of dividends and the distribution of assets upon a voluntary or involuntary liquidation, dissolution or winding up of the Company. Our preferred stock has no stated maturity, is not subject to any sinking fund or mandatory redemption and each series of preferred stock ranks on parity with one another. Under certain circumstances upon a change of control, our preferred stock is convertible to shares of our common stock. Holders of our preferred stock and depositary shares underlying our preferred stock have no voting rights, except under limited conditions. Beginning on each series' optional redemption date, we may redeem shares at $25.00 per depositary share, plus accumulated and unpaid dividends (whether or not declared), exclusively at our option.</w:t>
      </w:r>
    </w:p>
    <w:p>
      <w:pPr>
        <w:spacing w:after="0" w:line="133" w:lineRule="exact"/>
        <w:rPr>
          <w:sz w:val="20"/>
          <w:szCs w:val="20"/>
          <w:color w:val="auto"/>
        </w:rPr>
      </w:pPr>
    </w:p>
    <w:p>
      <w:pPr>
        <w:jc w:val="both"/>
        <w:ind w:firstLine="405"/>
        <w:spacing w:after="0" w:line="282" w:lineRule="auto"/>
        <w:rPr>
          <w:sz w:val="20"/>
          <w:szCs w:val="20"/>
          <w:color w:val="auto"/>
        </w:rPr>
      </w:pPr>
      <w:r>
        <w:rPr>
          <w:rFonts w:ascii="Times New Roman" w:cs="Times New Roman" w:eastAsia="Times New Roman" w:hAnsi="Times New Roman"/>
          <w:sz w:val="18"/>
          <w:szCs w:val="18"/>
          <w:color w:val="auto"/>
        </w:rPr>
        <w:t>The following table includes a summary of preferred stock depositary shares issued and outstanding as of March 31, 2022 (dollars and shares in millions):</w:t>
      </w:r>
    </w:p>
    <w:p>
      <w:pPr>
        <w:spacing w:after="0" w:line="12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9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0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4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Depositary</w:t>
            </w:r>
          </w:p>
        </w:tc>
        <w:tc>
          <w:tcPr>
            <w:tcW w:w="16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8"/>
        </w:trPr>
        <w:tc>
          <w:tcPr>
            <w:tcW w:w="20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Fixed-to-Floating Rate</w:t>
            </w:r>
          </w:p>
        </w:tc>
        <w:tc>
          <w:tcPr>
            <w:tcW w:w="10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4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w w:val="98"/>
              </w:rPr>
              <w:t>Shares</w:t>
            </w:r>
          </w:p>
        </w:tc>
        <w:tc>
          <w:tcPr>
            <w:tcW w:w="16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vMerge w:val="restart"/>
          </w:tcPr>
          <w:p>
            <w:pPr>
              <w:jc w:val="center"/>
              <w:ind w:right="30"/>
              <w:spacing w:after="0"/>
              <w:rPr>
                <w:sz w:val="20"/>
                <w:szCs w:val="20"/>
                <w:color w:val="auto"/>
              </w:rPr>
            </w:pPr>
            <w:r>
              <w:rPr>
                <w:rFonts w:ascii="Times New Roman" w:cs="Times New Roman" w:eastAsia="Times New Roman" w:hAnsi="Times New Roman"/>
                <w:sz w:val="14"/>
                <w:szCs w:val="14"/>
                <w:b w:val="1"/>
                <w:bCs w:val="1"/>
                <w:color w:val="auto"/>
              </w:rPr>
              <w:t>Aggregate</w:t>
            </w:r>
          </w:p>
        </w:tc>
        <w:tc>
          <w:tcPr>
            <w:tcW w:w="10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160" w:type="dxa"/>
            <w:vAlign w:val="bottom"/>
            <w:gridSpan w:val="2"/>
            <w:vMerge w:val="restart"/>
          </w:tcPr>
          <w:p>
            <w:pPr>
              <w:jc w:val="center"/>
              <w:ind w:right="80"/>
              <w:spacing w:after="0"/>
              <w:rPr>
                <w:sz w:val="20"/>
                <w:szCs w:val="20"/>
                <w:color w:val="auto"/>
              </w:rPr>
            </w:pPr>
            <w:r>
              <w:rPr>
                <w:rFonts w:ascii="Times New Roman" w:cs="Times New Roman" w:eastAsia="Times New Roman" w:hAnsi="Times New Roman"/>
                <w:sz w:val="14"/>
                <w:szCs w:val="14"/>
                <w:b w:val="1"/>
                <w:bCs w:val="1"/>
                <w:color w:val="auto"/>
                <w:w w:val="98"/>
              </w:rPr>
              <w:t>Optional</w:t>
            </w:r>
          </w:p>
        </w:tc>
        <w:tc>
          <w:tcPr>
            <w:tcW w:w="122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w w:val="99"/>
              </w:rPr>
              <w:t>Fixed-to-Floating</w:t>
            </w:r>
          </w:p>
        </w:tc>
        <w:tc>
          <w:tcPr>
            <w:tcW w:w="12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continue"/>
          </w:tcPr>
          <w:p>
            <w:pPr>
              <w:spacing w:after="0"/>
              <w:rPr>
                <w:sz w:val="11"/>
                <w:szCs w:val="11"/>
                <w:color w:val="auto"/>
              </w:rPr>
            </w:pPr>
          </w:p>
        </w:tc>
        <w:tc>
          <w:tcPr>
            <w:tcW w:w="11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w w:val="97"/>
              </w:rPr>
              <w:t>Issuance</w:t>
            </w:r>
          </w:p>
        </w:tc>
        <w:tc>
          <w:tcPr>
            <w:tcW w:w="1140" w:type="dxa"/>
            <w:vAlign w:val="bottom"/>
            <w:gridSpan w:val="2"/>
          </w:tcPr>
          <w:p>
            <w:pPr>
              <w:jc w:val="center"/>
              <w:ind w:right="80"/>
              <w:spacing w:after="0" w:line="135" w:lineRule="exact"/>
              <w:rPr>
                <w:sz w:val="20"/>
                <w:szCs w:val="20"/>
                <w:color w:val="auto"/>
              </w:rPr>
            </w:pPr>
            <w:r>
              <w:rPr>
                <w:rFonts w:ascii="Times New Roman" w:cs="Times New Roman" w:eastAsia="Times New Roman" w:hAnsi="Times New Roman"/>
                <w:sz w:val="14"/>
                <w:szCs w:val="14"/>
                <w:b w:val="1"/>
                <w:bCs w:val="1"/>
                <w:color w:val="auto"/>
                <w:w w:val="99"/>
              </w:rPr>
              <w:t>Issued</w:t>
            </w:r>
          </w:p>
        </w:tc>
        <w:tc>
          <w:tcPr>
            <w:tcW w:w="160" w:type="dxa"/>
            <w:vAlign w:val="bottom"/>
          </w:tcPr>
          <w:p>
            <w:pPr>
              <w:spacing w:after="0"/>
              <w:rPr>
                <w:sz w:val="11"/>
                <w:szCs w:val="11"/>
                <w:color w:val="auto"/>
              </w:rPr>
            </w:pPr>
          </w:p>
        </w:tc>
        <w:tc>
          <w:tcPr>
            <w:tcW w:w="92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Carrying</w:t>
            </w:r>
          </w:p>
        </w:tc>
        <w:tc>
          <w:tcPr>
            <w:tcW w:w="120" w:type="dxa"/>
            <w:vAlign w:val="bottom"/>
          </w:tcPr>
          <w:p>
            <w:pPr>
              <w:spacing w:after="0"/>
              <w:rPr>
                <w:sz w:val="11"/>
                <w:szCs w:val="11"/>
                <w:color w:val="auto"/>
              </w:rPr>
            </w:pPr>
          </w:p>
        </w:tc>
        <w:tc>
          <w:tcPr>
            <w:tcW w:w="920" w:type="dxa"/>
            <w:vAlign w:val="bottom"/>
            <w:vMerge w:val="continue"/>
          </w:tcPr>
          <w:p>
            <w:pPr>
              <w:spacing w:after="0"/>
              <w:rPr>
                <w:sz w:val="11"/>
                <w:szCs w:val="11"/>
                <w:color w:val="auto"/>
              </w:rPr>
            </w:pPr>
          </w:p>
        </w:tc>
        <w:tc>
          <w:tcPr>
            <w:tcW w:w="1120" w:type="dxa"/>
            <w:vAlign w:val="bottom"/>
            <w:gridSpan w:val="2"/>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Fixed</w:t>
            </w:r>
          </w:p>
        </w:tc>
        <w:tc>
          <w:tcPr>
            <w:tcW w:w="1160" w:type="dxa"/>
            <w:vAlign w:val="bottom"/>
            <w:gridSpan w:val="2"/>
            <w:vMerge w:val="continue"/>
          </w:tcPr>
          <w:p>
            <w:pPr>
              <w:spacing w:after="0"/>
              <w:rPr>
                <w:sz w:val="11"/>
                <w:szCs w:val="11"/>
                <w:color w:val="auto"/>
              </w:rPr>
            </w:pPr>
          </w:p>
        </w:tc>
        <w:tc>
          <w:tcPr>
            <w:tcW w:w="1220" w:type="dxa"/>
            <w:vAlign w:val="bottom"/>
            <w:gridSpan w:val="2"/>
          </w:tcPr>
          <w:p>
            <w:pPr>
              <w:jc w:val="center"/>
              <w:ind w:right="100"/>
              <w:spacing w:after="0" w:line="135" w:lineRule="exact"/>
              <w:rPr>
                <w:sz w:val="20"/>
                <w:szCs w:val="20"/>
                <w:color w:val="auto"/>
              </w:rPr>
            </w:pPr>
            <w:r>
              <w:rPr>
                <w:rFonts w:ascii="Times New Roman" w:cs="Times New Roman" w:eastAsia="Times New Roman" w:hAnsi="Times New Roman"/>
                <w:sz w:val="14"/>
                <w:szCs w:val="14"/>
                <w:b w:val="1"/>
                <w:bCs w:val="1"/>
                <w:color w:val="auto"/>
                <w:w w:val="99"/>
              </w:rPr>
              <w:t>Rate</w:t>
            </w:r>
          </w:p>
        </w:tc>
        <w:tc>
          <w:tcPr>
            <w:tcW w:w="122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Floating</w:t>
            </w:r>
          </w:p>
        </w:tc>
        <w:tc>
          <w:tcPr>
            <w:tcW w:w="0" w:type="dxa"/>
            <w:vAlign w:val="bottom"/>
          </w:tcPr>
          <w:p>
            <w:pPr>
              <w:spacing w:after="0"/>
              <w:rPr>
                <w:sz w:val="1"/>
                <w:szCs w:val="1"/>
                <w:color w:val="auto"/>
              </w:rPr>
            </w:pPr>
          </w:p>
        </w:tc>
      </w:tr>
      <w:tr>
        <w:trPr>
          <w:trHeight w:val="135"/>
        </w:trPr>
        <w:tc>
          <w:tcPr>
            <w:tcW w:w="2040" w:type="dxa"/>
            <w:vAlign w:val="bottom"/>
            <w:gridSpan w:val="2"/>
          </w:tcPr>
          <w:p>
            <w:pPr>
              <w:ind w:left="20"/>
              <w:spacing w:after="0" w:line="135" w:lineRule="exact"/>
              <w:rPr>
                <w:sz w:val="20"/>
                <w:szCs w:val="20"/>
                <w:color w:val="auto"/>
              </w:rPr>
            </w:pPr>
            <w:r>
              <w:rPr>
                <w:rFonts w:ascii="Times New Roman" w:cs="Times New Roman" w:eastAsia="Times New Roman" w:hAnsi="Times New Roman"/>
                <w:sz w:val="14"/>
                <w:szCs w:val="14"/>
                <w:b w:val="1"/>
                <w:bCs w:val="1"/>
                <w:color w:val="auto"/>
              </w:rPr>
              <w:t>Cumulative Redeemable</w:t>
            </w:r>
          </w:p>
        </w:tc>
        <w:tc>
          <w:tcPr>
            <w:tcW w:w="1180" w:type="dxa"/>
            <w:vAlign w:val="bottom"/>
            <w:gridSpan w:val="2"/>
            <w:vMerge w:val="continue"/>
          </w:tcPr>
          <w:p>
            <w:pPr>
              <w:spacing w:after="0"/>
              <w:rPr>
                <w:sz w:val="11"/>
                <w:szCs w:val="11"/>
                <w:color w:val="auto"/>
              </w:rPr>
            </w:pPr>
          </w:p>
        </w:tc>
        <w:tc>
          <w:tcPr>
            <w:tcW w:w="1140" w:type="dxa"/>
            <w:vAlign w:val="bottom"/>
            <w:gridSpan w:val="2"/>
          </w:tcPr>
          <w:p>
            <w:pPr>
              <w:jc w:val="center"/>
              <w:ind w:right="100"/>
              <w:spacing w:after="0" w:line="135" w:lineRule="exact"/>
              <w:rPr>
                <w:sz w:val="20"/>
                <w:szCs w:val="20"/>
                <w:color w:val="auto"/>
              </w:rPr>
            </w:pPr>
            <w:r>
              <w:rPr>
                <w:rFonts w:ascii="Times New Roman" w:cs="Times New Roman" w:eastAsia="Times New Roman" w:hAnsi="Times New Roman"/>
                <w:sz w:val="14"/>
                <w:szCs w:val="14"/>
                <w:b w:val="1"/>
                <w:bCs w:val="1"/>
                <w:color w:val="auto"/>
              </w:rPr>
              <w:t>and</w:t>
            </w:r>
          </w:p>
        </w:tc>
        <w:tc>
          <w:tcPr>
            <w:tcW w:w="160" w:type="dxa"/>
            <w:vAlign w:val="bottom"/>
          </w:tcPr>
          <w:p>
            <w:pPr>
              <w:spacing w:after="0"/>
              <w:rPr>
                <w:sz w:val="11"/>
                <w:szCs w:val="11"/>
                <w:color w:val="auto"/>
              </w:rPr>
            </w:pPr>
          </w:p>
        </w:tc>
        <w:tc>
          <w:tcPr>
            <w:tcW w:w="920" w:type="dxa"/>
            <w:vAlign w:val="bottom"/>
            <w:gridSpan w:val="2"/>
            <w:vMerge w:val="continue"/>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tcPr>
          <w:p>
            <w:pPr>
              <w:jc w:val="center"/>
              <w:ind w:right="70"/>
              <w:spacing w:after="0" w:line="135" w:lineRule="exact"/>
              <w:rPr>
                <w:sz w:val="20"/>
                <w:szCs w:val="20"/>
                <w:color w:val="auto"/>
              </w:rPr>
            </w:pPr>
            <w:r>
              <w:rPr>
                <w:rFonts w:ascii="Times New Roman" w:cs="Times New Roman" w:eastAsia="Times New Roman" w:hAnsi="Times New Roman"/>
                <w:sz w:val="14"/>
                <w:szCs w:val="14"/>
                <w:b w:val="1"/>
                <w:bCs w:val="1"/>
                <w:color w:val="auto"/>
                <w:w w:val="98"/>
              </w:rPr>
              <w:t>Liquidation</w:t>
            </w:r>
          </w:p>
        </w:tc>
        <w:tc>
          <w:tcPr>
            <w:tcW w:w="1120" w:type="dxa"/>
            <w:vAlign w:val="bottom"/>
            <w:gridSpan w:val="2"/>
            <w:vMerge w:val="continue"/>
          </w:tcPr>
          <w:p>
            <w:pPr>
              <w:spacing w:after="0"/>
              <w:rPr>
                <w:sz w:val="11"/>
                <w:szCs w:val="11"/>
                <w:color w:val="auto"/>
              </w:rPr>
            </w:pPr>
          </w:p>
        </w:tc>
        <w:tc>
          <w:tcPr>
            <w:tcW w:w="1160" w:type="dxa"/>
            <w:vAlign w:val="bottom"/>
            <w:gridSpan w:val="2"/>
          </w:tcPr>
          <w:p>
            <w:pPr>
              <w:jc w:val="center"/>
              <w:ind w:right="80"/>
              <w:spacing w:after="0" w:line="135" w:lineRule="exact"/>
              <w:rPr>
                <w:sz w:val="20"/>
                <w:szCs w:val="20"/>
                <w:color w:val="auto"/>
              </w:rPr>
            </w:pPr>
            <w:r>
              <w:rPr>
                <w:rFonts w:ascii="Times New Roman" w:cs="Times New Roman" w:eastAsia="Times New Roman" w:hAnsi="Times New Roman"/>
                <w:sz w:val="14"/>
                <w:szCs w:val="14"/>
                <w:b w:val="1"/>
                <w:bCs w:val="1"/>
                <w:color w:val="auto"/>
                <w:w w:val="98"/>
              </w:rPr>
              <w:t>Redemption</w:t>
            </w:r>
          </w:p>
        </w:tc>
        <w:tc>
          <w:tcPr>
            <w:tcW w:w="1220" w:type="dxa"/>
            <w:vAlign w:val="bottom"/>
            <w:gridSpan w:val="2"/>
          </w:tcPr>
          <w:p>
            <w:pPr>
              <w:jc w:val="center"/>
              <w:ind w:right="100"/>
              <w:spacing w:after="0" w:line="135" w:lineRule="exact"/>
              <w:rPr>
                <w:sz w:val="20"/>
                <w:szCs w:val="20"/>
                <w:color w:val="auto"/>
              </w:rPr>
            </w:pPr>
            <w:r>
              <w:rPr>
                <w:rFonts w:ascii="Times New Roman" w:cs="Times New Roman" w:eastAsia="Times New Roman" w:hAnsi="Times New Roman"/>
                <w:sz w:val="14"/>
                <w:szCs w:val="14"/>
                <w:b w:val="1"/>
                <w:bCs w:val="1"/>
                <w:color w:val="auto"/>
                <w:w w:val="99"/>
              </w:rPr>
              <w:t>Conversion</w:t>
            </w:r>
          </w:p>
        </w:tc>
        <w:tc>
          <w:tcPr>
            <w:tcW w:w="12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03"/>
        </w:trPr>
        <w:tc>
          <w:tcPr>
            <w:tcW w:w="1920" w:type="dxa"/>
            <w:vAlign w:val="bottom"/>
            <w:tcBorders>
              <w:bottom w:val="single" w:sz="8" w:color="auto"/>
            </w:tcBorders>
          </w:tcPr>
          <w:p>
            <w:pPr>
              <w:ind w:left="20"/>
              <w:spacing w:after="0" w:line="202" w:lineRule="exact"/>
              <w:rPr>
                <w:sz w:val="20"/>
                <w:szCs w:val="20"/>
                <w:color w:val="auto"/>
              </w:rPr>
            </w:pPr>
            <w:r>
              <w:rPr>
                <w:rFonts w:ascii="Times New Roman" w:cs="Times New Roman" w:eastAsia="Times New Roman" w:hAnsi="Times New Roman"/>
                <w:sz w:val="14"/>
                <w:szCs w:val="14"/>
                <w:b w:val="1"/>
                <w:bCs w:val="1"/>
                <w:color w:val="auto"/>
              </w:rPr>
              <w:t xml:space="preserve">Preferred Stock </w:t>
            </w:r>
            <w:r>
              <w:rPr>
                <w:rFonts w:ascii="Times New Roman" w:cs="Times New Roman" w:eastAsia="Times New Roman" w:hAnsi="Times New Roman"/>
                <w:sz w:val="18"/>
                <w:szCs w:val="18"/>
                <w:b w:val="1"/>
                <w:bCs w:val="1"/>
                <w:color w:val="auto"/>
                <w:vertAlign w:val="superscript"/>
              </w:rPr>
              <w:t>1</w:t>
            </w:r>
          </w:p>
        </w:tc>
        <w:tc>
          <w:tcPr>
            <w:tcW w:w="120" w:type="dxa"/>
            <w:vAlign w:val="bottom"/>
            <w:tcBorders>
              <w:bottom w:val="single" w:sz="8" w:color="CCEEFF"/>
            </w:tcBorders>
          </w:tcPr>
          <w:p>
            <w:pPr>
              <w:spacing w:after="0"/>
              <w:rPr>
                <w:sz w:val="17"/>
                <w:szCs w:val="17"/>
                <w:color w:val="auto"/>
              </w:rPr>
            </w:pPr>
          </w:p>
        </w:tc>
        <w:tc>
          <w:tcPr>
            <w:tcW w:w="10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Date</w:t>
            </w:r>
          </w:p>
        </w:tc>
        <w:tc>
          <w:tcPr>
            <w:tcW w:w="100" w:type="dxa"/>
            <w:vAlign w:val="bottom"/>
            <w:tcBorders>
              <w:bottom w:val="single" w:sz="8" w:color="CCEEFF"/>
            </w:tcBorders>
          </w:tcPr>
          <w:p>
            <w:pPr>
              <w:spacing w:after="0"/>
              <w:rPr>
                <w:sz w:val="17"/>
                <w:szCs w:val="17"/>
                <w:color w:val="auto"/>
              </w:rPr>
            </w:pPr>
          </w:p>
        </w:tc>
        <w:tc>
          <w:tcPr>
            <w:tcW w:w="10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Outstanding</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23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20" w:type="dxa"/>
            <w:vAlign w:val="bottom"/>
            <w:tcBorders>
              <w:bottom w:val="single" w:sz="8" w:color="auto"/>
            </w:tcBorders>
          </w:tcPr>
          <w:p>
            <w:pPr>
              <w:jc w:val="center"/>
              <w:ind w:right="50"/>
              <w:spacing w:after="0"/>
              <w:rPr>
                <w:sz w:val="20"/>
                <w:szCs w:val="20"/>
                <w:color w:val="auto"/>
              </w:rPr>
            </w:pPr>
            <w:r>
              <w:rPr>
                <w:rFonts w:ascii="Times New Roman" w:cs="Times New Roman" w:eastAsia="Times New Roman" w:hAnsi="Times New Roman"/>
                <w:sz w:val="14"/>
                <w:szCs w:val="14"/>
                <w:b w:val="1"/>
                <w:bCs w:val="1"/>
                <w:color w:val="auto"/>
                <w:w w:val="99"/>
              </w:rPr>
              <w:t>Preference</w:t>
            </w:r>
          </w:p>
        </w:tc>
        <w:tc>
          <w:tcPr>
            <w:tcW w:w="1020" w:type="dxa"/>
            <w:vAlign w:val="bottom"/>
            <w:tcBorders>
              <w:bottom w:val="single" w:sz="8" w:color="auto"/>
            </w:tcBorders>
          </w:tcPr>
          <w:p>
            <w:pPr>
              <w:jc w:val="center"/>
              <w:ind w:left="70"/>
              <w:spacing w:after="0"/>
              <w:rPr>
                <w:sz w:val="20"/>
                <w:szCs w:val="20"/>
                <w:color w:val="auto"/>
              </w:rPr>
            </w:pPr>
            <w:r>
              <w:rPr>
                <w:rFonts w:ascii="Times New Roman" w:cs="Times New Roman" w:eastAsia="Times New Roman" w:hAnsi="Times New Roman"/>
                <w:sz w:val="14"/>
                <w:szCs w:val="14"/>
                <w:b w:val="1"/>
                <w:bCs w:val="1"/>
                <w:color w:val="auto"/>
                <w:w w:val="99"/>
              </w:rPr>
              <w:t>Rate</w:t>
            </w:r>
          </w:p>
        </w:tc>
        <w:tc>
          <w:tcPr>
            <w:tcW w:w="100" w:type="dxa"/>
            <w:vAlign w:val="bottom"/>
            <w:tcBorders>
              <w:bottom w:val="single" w:sz="8" w:color="CCEEFF"/>
            </w:tcBorders>
          </w:tcPr>
          <w:p>
            <w:pPr>
              <w:spacing w:after="0"/>
              <w:rPr>
                <w:sz w:val="17"/>
                <w:szCs w:val="17"/>
                <w:color w:val="auto"/>
              </w:rPr>
            </w:pPr>
          </w:p>
        </w:tc>
        <w:tc>
          <w:tcPr>
            <w:tcW w:w="1060" w:type="dxa"/>
            <w:vAlign w:val="bottom"/>
            <w:tcBorders>
              <w:bottom w:val="single" w:sz="8" w:color="auto"/>
            </w:tcBorders>
          </w:tcPr>
          <w:p>
            <w:pPr>
              <w:jc w:val="center"/>
              <w:spacing w:after="0" w:line="202" w:lineRule="exact"/>
              <w:rPr>
                <w:sz w:val="20"/>
                <w:szCs w:val="20"/>
                <w:color w:val="auto"/>
              </w:rPr>
            </w:pPr>
            <w:r>
              <w:rPr>
                <w:rFonts w:ascii="Times New Roman" w:cs="Times New Roman" w:eastAsia="Times New Roman" w:hAnsi="Times New Roman"/>
                <w:sz w:val="14"/>
                <w:szCs w:val="14"/>
                <w:b w:val="1"/>
                <w:bCs w:val="1"/>
                <w:color w:val="auto"/>
                <w:w w:val="95"/>
              </w:rPr>
              <w:t xml:space="preserve">Date </w:t>
            </w:r>
            <w:r>
              <w:rPr>
                <w:rFonts w:ascii="Times New Roman" w:cs="Times New Roman" w:eastAsia="Times New Roman" w:hAnsi="Times New Roman"/>
                <w:sz w:val="18"/>
                <w:szCs w:val="18"/>
                <w:b w:val="1"/>
                <w:bCs w:val="1"/>
                <w:color w:val="auto"/>
                <w:w w:val="95"/>
                <w:vertAlign w:val="superscript"/>
              </w:rPr>
              <w:t>2</w:t>
            </w:r>
          </w:p>
        </w:tc>
        <w:tc>
          <w:tcPr>
            <w:tcW w:w="100" w:type="dxa"/>
            <w:vAlign w:val="bottom"/>
            <w:tcBorders>
              <w:bottom w:val="single" w:sz="8" w:color="CCEEFF"/>
            </w:tcBorders>
          </w:tcPr>
          <w:p>
            <w:pPr>
              <w:spacing w:after="0"/>
              <w:rPr>
                <w:sz w:val="17"/>
                <w:szCs w:val="17"/>
                <w:color w:val="auto"/>
              </w:rPr>
            </w:pPr>
          </w:p>
        </w:tc>
        <w:tc>
          <w:tcPr>
            <w:tcW w:w="11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Date</w:t>
            </w:r>
          </w:p>
        </w:tc>
        <w:tc>
          <w:tcPr>
            <w:tcW w:w="100" w:type="dxa"/>
            <w:vAlign w:val="bottom"/>
            <w:tcBorders>
              <w:bottom w:val="single" w:sz="8" w:color="CCEEFF"/>
            </w:tcBorders>
          </w:tcPr>
          <w:p>
            <w:pPr>
              <w:spacing w:after="0"/>
              <w:rPr>
                <w:sz w:val="17"/>
                <w:szCs w:val="17"/>
                <w:color w:val="auto"/>
              </w:rPr>
            </w:pPr>
          </w:p>
        </w:tc>
        <w:tc>
          <w:tcPr>
            <w:tcW w:w="12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Annual Rate</w:t>
            </w:r>
          </w:p>
        </w:tc>
        <w:tc>
          <w:tcPr>
            <w:tcW w:w="0" w:type="dxa"/>
            <w:vAlign w:val="bottom"/>
          </w:tcPr>
          <w:p>
            <w:pPr>
              <w:spacing w:after="0"/>
              <w:rPr>
                <w:sz w:val="1"/>
                <w:szCs w:val="1"/>
                <w:color w:val="auto"/>
              </w:rPr>
            </w:pPr>
          </w:p>
        </w:tc>
      </w:tr>
      <w:tr>
        <w:trPr>
          <w:trHeight w:val="128"/>
        </w:trPr>
        <w:tc>
          <w:tcPr>
            <w:tcW w:w="2040" w:type="dxa"/>
            <w:vAlign w:val="bottom"/>
            <w:gridSpan w:val="2"/>
            <w:vMerge w:val="restart"/>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Series C</w:t>
            </w:r>
          </w:p>
        </w:tc>
        <w:tc>
          <w:tcPr>
            <w:tcW w:w="1180" w:type="dxa"/>
            <w:vAlign w:val="bottom"/>
            <w:gridSpan w:val="2"/>
            <w:vMerge w:val="restart"/>
            <w:shd w:val="clear" w:color="auto" w:fill="CCEEFF"/>
          </w:tcPr>
          <w:p>
            <w:pPr>
              <w:jc w:val="center"/>
              <w:ind w:right="100"/>
              <w:spacing w:after="0"/>
              <w:rPr>
                <w:sz w:val="20"/>
                <w:szCs w:val="20"/>
                <w:color w:val="auto"/>
              </w:rPr>
            </w:pPr>
            <w:r>
              <w:rPr>
                <w:rFonts w:ascii="Times New Roman" w:cs="Times New Roman" w:eastAsia="Times New Roman" w:hAnsi="Times New Roman"/>
                <w:sz w:val="14"/>
                <w:szCs w:val="14"/>
                <w:color w:val="auto"/>
                <w:w w:val="98"/>
              </w:rPr>
              <w:t>August 22, 2017</w:t>
            </w:r>
          </w:p>
        </w:tc>
        <w:tc>
          <w:tcPr>
            <w:tcW w:w="10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13.0</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315</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325</w:t>
            </w:r>
          </w:p>
        </w:tc>
        <w:tc>
          <w:tcPr>
            <w:tcW w:w="1020" w:type="dxa"/>
            <w:vAlign w:val="bottom"/>
            <w:vMerge w:val="restart"/>
            <w:shd w:val="clear" w:color="auto" w:fill="CCEEFF"/>
          </w:tcPr>
          <w:p>
            <w:pPr>
              <w:jc w:val="center"/>
              <w:ind w:left="70"/>
              <w:spacing w:after="0"/>
              <w:rPr>
                <w:sz w:val="20"/>
                <w:szCs w:val="20"/>
                <w:color w:val="auto"/>
              </w:rPr>
            </w:pPr>
            <w:r>
              <w:rPr>
                <w:rFonts w:ascii="Times New Roman" w:cs="Times New Roman" w:eastAsia="Times New Roman" w:hAnsi="Times New Roman"/>
                <w:sz w:val="14"/>
                <w:szCs w:val="14"/>
                <w:color w:val="auto"/>
              </w:rPr>
              <w:t>7.000%</w:t>
            </w:r>
          </w:p>
        </w:tc>
        <w:tc>
          <w:tcPr>
            <w:tcW w:w="100" w:type="dxa"/>
            <w:vAlign w:val="bottom"/>
            <w:shd w:val="clear" w:color="auto" w:fill="CCEEFF"/>
          </w:tcPr>
          <w:p>
            <w:pPr>
              <w:spacing w:after="0"/>
              <w:rPr>
                <w:sz w:val="11"/>
                <w:szCs w:val="11"/>
                <w:color w:val="auto"/>
              </w:rPr>
            </w:pPr>
          </w:p>
        </w:tc>
        <w:tc>
          <w:tcPr>
            <w:tcW w:w="1160" w:type="dxa"/>
            <w:vAlign w:val="bottom"/>
            <w:gridSpan w:val="2"/>
            <w:vMerge w:val="restart"/>
            <w:shd w:val="clear" w:color="auto" w:fill="CCEEFF"/>
          </w:tcPr>
          <w:p>
            <w:pPr>
              <w:jc w:val="center"/>
              <w:ind w:right="100"/>
              <w:spacing w:after="0"/>
              <w:rPr>
                <w:sz w:val="20"/>
                <w:szCs w:val="20"/>
                <w:color w:val="auto"/>
              </w:rPr>
            </w:pPr>
            <w:r>
              <w:rPr>
                <w:rFonts w:ascii="Times New Roman" w:cs="Times New Roman" w:eastAsia="Times New Roman" w:hAnsi="Times New Roman"/>
                <w:sz w:val="14"/>
                <w:szCs w:val="14"/>
                <w:color w:val="auto"/>
              </w:rPr>
              <w:t>October 15, 2022</w:t>
            </w:r>
          </w:p>
        </w:tc>
        <w:tc>
          <w:tcPr>
            <w:tcW w:w="1220" w:type="dxa"/>
            <w:vAlign w:val="bottom"/>
            <w:gridSpan w:val="2"/>
            <w:vMerge w:val="restart"/>
            <w:shd w:val="clear" w:color="auto" w:fill="CCEEFF"/>
          </w:tcPr>
          <w:p>
            <w:pPr>
              <w:jc w:val="center"/>
              <w:ind w:right="100"/>
              <w:spacing w:after="0"/>
              <w:rPr>
                <w:sz w:val="20"/>
                <w:szCs w:val="20"/>
                <w:color w:val="auto"/>
              </w:rPr>
            </w:pPr>
            <w:r>
              <w:rPr>
                <w:rFonts w:ascii="Times New Roman" w:cs="Times New Roman" w:eastAsia="Times New Roman" w:hAnsi="Times New Roman"/>
                <w:sz w:val="14"/>
                <w:szCs w:val="14"/>
                <w:color w:val="auto"/>
                <w:w w:val="98"/>
              </w:rPr>
              <w:t>October 15, 2022</w:t>
            </w:r>
          </w:p>
        </w:tc>
        <w:tc>
          <w:tcPr>
            <w:tcW w:w="1220" w:type="dxa"/>
            <w:vAlign w:val="bottom"/>
            <w:shd w:val="clear" w:color="auto" w:fill="CCEEFF"/>
          </w:tcPr>
          <w:p>
            <w:pPr>
              <w:jc w:val="center"/>
              <w:spacing w:after="0" w:line="129" w:lineRule="exact"/>
              <w:rPr>
                <w:sz w:val="20"/>
                <w:szCs w:val="20"/>
                <w:color w:val="auto"/>
              </w:rPr>
            </w:pPr>
            <w:r>
              <w:rPr>
                <w:rFonts w:ascii="Times New Roman" w:cs="Times New Roman" w:eastAsia="Times New Roman" w:hAnsi="Times New Roman"/>
                <w:sz w:val="14"/>
                <w:szCs w:val="14"/>
                <w:color w:val="auto"/>
                <w:w w:val="99"/>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shd w:val="clear" w:color="auto" w:fill="CCEEFF"/>
          </w:tcPr>
          <w:p>
            <w:pPr>
              <w:spacing w:after="0"/>
              <w:rPr>
                <w:sz w:val="9"/>
                <w:szCs w:val="9"/>
                <w:color w:val="auto"/>
              </w:rPr>
            </w:pPr>
          </w:p>
        </w:tc>
        <w:tc>
          <w:tcPr>
            <w:tcW w:w="1180" w:type="dxa"/>
            <w:vAlign w:val="bottom"/>
            <w:gridSpan w:val="2"/>
            <w:vMerge w:val="continue"/>
            <w:shd w:val="clear" w:color="auto" w:fill="CCEEFF"/>
          </w:tcPr>
          <w:p>
            <w:pPr>
              <w:spacing w:after="0"/>
              <w:rPr>
                <w:sz w:val="9"/>
                <w:szCs w:val="9"/>
                <w:color w:val="auto"/>
              </w:rPr>
            </w:pPr>
          </w:p>
        </w:tc>
        <w:tc>
          <w:tcPr>
            <w:tcW w:w="104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0" w:type="dxa"/>
            <w:vAlign w:val="bottom"/>
            <w:vMerge w:val="continue"/>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920" w:type="dxa"/>
            <w:vAlign w:val="bottom"/>
            <w:vMerge w:val="continue"/>
            <w:shd w:val="clear" w:color="auto" w:fill="CCEEFF"/>
          </w:tcPr>
          <w:p>
            <w:pPr>
              <w:spacing w:after="0"/>
              <w:rPr>
                <w:sz w:val="9"/>
                <w:szCs w:val="9"/>
                <w:color w:val="auto"/>
              </w:rPr>
            </w:pPr>
          </w:p>
        </w:tc>
        <w:tc>
          <w:tcPr>
            <w:tcW w:w="102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160" w:type="dxa"/>
            <w:vAlign w:val="bottom"/>
            <w:gridSpan w:val="2"/>
            <w:vMerge w:val="continue"/>
            <w:shd w:val="clear" w:color="auto" w:fill="CCEEFF"/>
          </w:tcPr>
          <w:p>
            <w:pPr>
              <w:spacing w:after="0"/>
              <w:rPr>
                <w:sz w:val="9"/>
                <w:szCs w:val="9"/>
                <w:color w:val="auto"/>
              </w:rPr>
            </w:pPr>
          </w:p>
        </w:tc>
        <w:tc>
          <w:tcPr>
            <w:tcW w:w="1220" w:type="dxa"/>
            <w:vAlign w:val="bottom"/>
            <w:gridSpan w:val="2"/>
            <w:vMerge w:val="continue"/>
            <w:shd w:val="clear" w:color="auto" w:fill="CCEEFF"/>
          </w:tcPr>
          <w:p>
            <w:pPr>
              <w:spacing w:after="0"/>
              <w:rPr>
                <w:sz w:val="9"/>
                <w:szCs w:val="9"/>
                <w:color w:val="auto"/>
              </w:rPr>
            </w:pPr>
          </w:p>
        </w:tc>
        <w:tc>
          <w:tcPr>
            <w:tcW w:w="1220" w:type="dxa"/>
            <w:vAlign w:val="bottom"/>
            <w:vMerge w:val="restart"/>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7"/>
              </w:rPr>
              <w:t>5.111%</w:t>
            </w:r>
          </w:p>
        </w:tc>
        <w:tc>
          <w:tcPr>
            <w:tcW w:w="0" w:type="dxa"/>
            <w:vAlign w:val="bottom"/>
          </w:tcPr>
          <w:p>
            <w:pPr>
              <w:spacing w:after="0"/>
              <w:rPr>
                <w:sz w:val="1"/>
                <w:szCs w:val="1"/>
                <w:color w:val="auto"/>
              </w:rPr>
            </w:pPr>
          </w:p>
        </w:tc>
      </w:tr>
      <w:tr>
        <w:trPr>
          <w:trHeight w:val="73"/>
        </w:trPr>
        <w:tc>
          <w:tcPr>
            <w:tcW w:w="192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108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04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60" w:type="dxa"/>
            <w:vAlign w:val="bottom"/>
            <w:tcBorders>
              <w:bottom w:val="single" w:sz="8" w:color="CCEEFF"/>
            </w:tcBorders>
            <w:shd w:val="clear" w:color="auto" w:fill="CCEEFF"/>
          </w:tcPr>
          <w:p>
            <w:pPr>
              <w:spacing w:after="0"/>
              <w:rPr>
                <w:sz w:val="6"/>
                <w:szCs w:val="6"/>
                <w:color w:val="auto"/>
              </w:rPr>
            </w:pPr>
          </w:p>
        </w:tc>
        <w:tc>
          <w:tcPr>
            <w:tcW w:w="80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920" w:type="dxa"/>
            <w:vAlign w:val="bottom"/>
            <w:tcBorders>
              <w:bottom w:val="single" w:sz="8" w:color="CCEEFF"/>
            </w:tcBorders>
            <w:shd w:val="clear" w:color="auto" w:fill="CCEEFF"/>
          </w:tcPr>
          <w:p>
            <w:pPr>
              <w:spacing w:after="0"/>
              <w:rPr>
                <w:sz w:val="6"/>
                <w:szCs w:val="6"/>
                <w:color w:val="auto"/>
              </w:rPr>
            </w:pPr>
          </w:p>
        </w:tc>
        <w:tc>
          <w:tcPr>
            <w:tcW w:w="102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06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12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220" w:type="dxa"/>
            <w:vAlign w:val="bottom"/>
            <w:tcBorders>
              <w:bottom w:val="single" w:sz="8" w:color="CCEEFF"/>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color w:val="auto"/>
              </w:rPr>
              <w:t>Series D</w:t>
            </w:r>
          </w:p>
        </w:tc>
        <w:tc>
          <w:tcPr>
            <w:tcW w:w="11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color w:val="auto"/>
                <w:w w:val="99"/>
              </w:rPr>
              <w:t>March 6, 2019</w:t>
            </w: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9.4</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227</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235</w:t>
            </w:r>
          </w:p>
        </w:tc>
        <w:tc>
          <w:tcPr>
            <w:tcW w:w="1020" w:type="dxa"/>
            <w:vAlign w:val="bottom"/>
            <w:vMerge w:val="restart"/>
          </w:tcPr>
          <w:p>
            <w:pPr>
              <w:jc w:val="center"/>
              <w:ind w:left="70"/>
              <w:spacing w:after="0"/>
              <w:rPr>
                <w:sz w:val="20"/>
                <w:szCs w:val="20"/>
                <w:color w:val="auto"/>
              </w:rPr>
            </w:pPr>
            <w:r>
              <w:rPr>
                <w:rFonts w:ascii="Times New Roman" w:cs="Times New Roman" w:eastAsia="Times New Roman" w:hAnsi="Times New Roman"/>
                <w:sz w:val="14"/>
                <w:szCs w:val="14"/>
                <w:color w:val="auto"/>
              </w:rPr>
              <w:t>6.875%</w:t>
            </w:r>
          </w:p>
        </w:tc>
        <w:tc>
          <w:tcPr>
            <w:tcW w:w="100" w:type="dxa"/>
            <w:vAlign w:val="bottom"/>
          </w:tcPr>
          <w:p>
            <w:pPr>
              <w:spacing w:after="0"/>
              <w:rPr>
                <w:sz w:val="11"/>
                <w:szCs w:val="11"/>
                <w:color w:val="auto"/>
              </w:rPr>
            </w:pPr>
          </w:p>
        </w:tc>
        <w:tc>
          <w:tcPr>
            <w:tcW w:w="116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color w:val="auto"/>
                <w:w w:val="99"/>
              </w:rPr>
              <w:t>April 15, 2024</w:t>
            </w:r>
          </w:p>
        </w:tc>
        <w:tc>
          <w:tcPr>
            <w:tcW w:w="1220" w:type="dxa"/>
            <w:vAlign w:val="bottom"/>
            <w:gridSpan w:val="2"/>
            <w:vMerge w:val="restart"/>
          </w:tcPr>
          <w:p>
            <w:pPr>
              <w:jc w:val="center"/>
              <w:ind w:right="80"/>
              <w:spacing w:after="0"/>
              <w:rPr>
                <w:sz w:val="20"/>
                <w:szCs w:val="20"/>
                <w:color w:val="auto"/>
              </w:rPr>
            </w:pPr>
            <w:r>
              <w:rPr>
                <w:rFonts w:ascii="Times New Roman" w:cs="Times New Roman" w:eastAsia="Times New Roman" w:hAnsi="Times New Roman"/>
                <w:sz w:val="14"/>
                <w:szCs w:val="14"/>
                <w:color w:val="auto"/>
                <w:w w:val="99"/>
              </w:rPr>
              <w:t>April 15, 2024</w:t>
            </w:r>
          </w:p>
        </w:tc>
        <w:tc>
          <w:tcPr>
            <w:tcW w:w="1220" w:type="dxa"/>
            <w:vAlign w:val="bottom"/>
          </w:tcPr>
          <w:p>
            <w:pPr>
              <w:jc w:val="center"/>
              <w:spacing w:after="0" w:line="135" w:lineRule="exact"/>
              <w:rPr>
                <w:sz w:val="20"/>
                <w:szCs w:val="20"/>
                <w:color w:val="auto"/>
              </w:rPr>
            </w:pPr>
            <w:r>
              <w:rPr>
                <w:rFonts w:ascii="Times New Roman" w:cs="Times New Roman" w:eastAsia="Times New Roman" w:hAnsi="Times New Roman"/>
                <w:sz w:val="14"/>
                <w:szCs w:val="14"/>
                <w:color w:val="auto"/>
                <w:w w:val="99"/>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122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color w:val="auto"/>
                <w:w w:val="97"/>
              </w:rPr>
              <w:t>4.332%</w:t>
            </w:r>
          </w:p>
        </w:tc>
        <w:tc>
          <w:tcPr>
            <w:tcW w:w="0" w:type="dxa"/>
            <w:vAlign w:val="bottom"/>
          </w:tcPr>
          <w:p>
            <w:pPr>
              <w:spacing w:after="0"/>
              <w:rPr>
                <w:sz w:val="1"/>
                <w:szCs w:val="1"/>
                <w:color w:val="auto"/>
              </w:rPr>
            </w:pPr>
          </w:p>
        </w:tc>
      </w:tr>
      <w:tr>
        <w:trPr>
          <w:trHeight w:val="73"/>
        </w:trPr>
        <w:tc>
          <w:tcPr>
            <w:tcW w:w="19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1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35"/>
        </w:trPr>
        <w:tc>
          <w:tcPr>
            <w:tcW w:w="2040" w:type="dxa"/>
            <w:vAlign w:val="bottom"/>
            <w:gridSpan w:val="2"/>
            <w:vMerge w:val="restart"/>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Series E</w:t>
            </w:r>
          </w:p>
        </w:tc>
        <w:tc>
          <w:tcPr>
            <w:tcW w:w="1180" w:type="dxa"/>
            <w:vAlign w:val="bottom"/>
            <w:gridSpan w:val="2"/>
            <w:vMerge w:val="restart"/>
            <w:shd w:val="clear" w:color="auto" w:fill="CCEEFF"/>
          </w:tcPr>
          <w:p>
            <w:pPr>
              <w:jc w:val="center"/>
              <w:ind w:right="120"/>
              <w:spacing w:after="0"/>
              <w:rPr>
                <w:sz w:val="20"/>
                <w:szCs w:val="20"/>
                <w:color w:val="auto"/>
              </w:rPr>
            </w:pPr>
            <w:r>
              <w:rPr>
                <w:rFonts w:ascii="Times New Roman" w:cs="Times New Roman" w:eastAsia="Times New Roman" w:hAnsi="Times New Roman"/>
                <w:sz w:val="14"/>
                <w:szCs w:val="14"/>
                <w:color w:val="auto"/>
                <w:w w:val="99"/>
              </w:rPr>
              <w:t>October 3, 2019</w:t>
            </w:r>
          </w:p>
        </w:tc>
        <w:tc>
          <w:tcPr>
            <w:tcW w:w="10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16.1</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8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390</w:t>
            </w:r>
          </w:p>
        </w:tc>
        <w:tc>
          <w:tcPr>
            <w:tcW w:w="120" w:type="dxa"/>
            <w:vAlign w:val="bottom"/>
            <w:shd w:val="clear" w:color="auto" w:fill="CCEEFF"/>
          </w:tcPr>
          <w:p>
            <w:pPr>
              <w:spacing w:after="0"/>
              <w:rPr>
                <w:sz w:val="11"/>
                <w:szCs w:val="11"/>
                <w:color w:val="auto"/>
              </w:rPr>
            </w:pPr>
          </w:p>
        </w:tc>
        <w:tc>
          <w:tcPr>
            <w:tcW w:w="120" w:type="dxa"/>
            <w:vAlign w:val="bottom"/>
            <w:shd w:val="clear" w:color="auto" w:fill="CCEEFF"/>
          </w:tcPr>
          <w:p>
            <w:pPr>
              <w:spacing w:after="0"/>
              <w:rPr>
                <w:sz w:val="11"/>
                <w:szCs w:val="11"/>
                <w:color w:val="auto"/>
              </w:rPr>
            </w:pPr>
          </w:p>
        </w:tc>
        <w:tc>
          <w:tcPr>
            <w:tcW w:w="9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403</w:t>
            </w:r>
          </w:p>
        </w:tc>
        <w:tc>
          <w:tcPr>
            <w:tcW w:w="1020" w:type="dxa"/>
            <w:vAlign w:val="bottom"/>
            <w:vMerge w:val="restart"/>
            <w:shd w:val="clear" w:color="auto" w:fill="CCEEFF"/>
          </w:tcPr>
          <w:p>
            <w:pPr>
              <w:jc w:val="center"/>
              <w:ind w:left="70"/>
              <w:spacing w:after="0"/>
              <w:rPr>
                <w:sz w:val="20"/>
                <w:szCs w:val="20"/>
                <w:color w:val="auto"/>
              </w:rPr>
            </w:pPr>
            <w:r>
              <w:rPr>
                <w:rFonts w:ascii="Times New Roman" w:cs="Times New Roman" w:eastAsia="Times New Roman" w:hAnsi="Times New Roman"/>
                <w:sz w:val="14"/>
                <w:szCs w:val="14"/>
                <w:color w:val="auto"/>
              </w:rPr>
              <w:t>6.500%</w:t>
            </w:r>
          </w:p>
        </w:tc>
        <w:tc>
          <w:tcPr>
            <w:tcW w:w="100" w:type="dxa"/>
            <w:vAlign w:val="bottom"/>
            <w:shd w:val="clear" w:color="auto" w:fill="CCEEFF"/>
          </w:tcPr>
          <w:p>
            <w:pPr>
              <w:spacing w:after="0"/>
              <w:rPr>
                <w:sz w:val="11"/>
                <w:szCs w:val="11"/>
                <w:color w:val="auto"/>
              </w:rPr>
            </w:pPr>
          </w:p>
        </w:tc>
        <w:tc>
          <w:tcPr>
            <w:tcW w:w="1160" w:type="dxa"/>
            <w:vAlign w:val="bottom"/>
            <w:gridSpan w:val="2"/>
            <w:vMerge w:val="restart"/>
            <w:shd w:val="clear" w:color="auto" w:fill="CCEEFF"/>
          </w:tcPr>
          <w:p>
            <w:pPr>
              <w:jc w:val="center"/>
              <w:ind w:right="100"/>
              <w:spacing w:after="0"/>
              <w:rPr>
                <w:sz w:val="20"/>
                <w:szCs w:val="20"/>
                <w:color w:val="auto"/>
              </w:rPr>
            </w:pPr>
            <w:r>
              <w:rPr>
                <w:rFonts w:ascii="Times New Roman" w:cs="Times New Roman" w:eastAsia="Times New Roman" w:hAnsi="Times New Roman"/>
                <w:sz w:val="14"/>
                <w:szCs w:val="14"/>
                <w:color w:val="auto"/>
              </w:rPr>
              <w:t>October 15, 2024</w:t>
            </w:r>
          </w:p>
        </w:tc>
        <w:tc>
          <w:tcPr>
            <w:tcW w:w="1220" w:type="dxa"/>
            <w:vAlign w:val="bottom"/>
            <w:gridSpan w:val="2"/>
            <w:vMerge w:val="restart"/>
            <w:shd w:val="clear" w:color="auto" w:fill="CCEEFF"/>
          </w:tcPr>
          <w:p>
            <w:pPr>
              <w:jc w:val="center"/>
              <w:ind w:right="100"/>
              <w:spacing w:after="0"/>
              <w:rPr>
                <w:sz w:val="20"/>
                <w:szCs w:val="20"/>
                <w:color w:val="auto"/>
              </w:rPr>
            </w:pPr>
            <w:r>
              <w:rPr>
                <w:rFonts w:ascii="Times New Roman" w:cs="Times New Roman" w:eastAsia="Times New Roman" w:hAnsi="Times New Roman"/>
                <w:sz w:val="14"/>
                <w:szCs w:val="14"/>
                <w:color w:val="auto"/>
                <w:w w:val="98"/>
              </w:rPr>
              <w:t>October 15, 2024</w:t>
            </w:r>
          </w:p>
        </w:tc>
        <w:tc>
          <w:tcPr>
            <w:tcW w:w="1220" w:type="dxa"/>
            <w:vAlign w:val="bottom"/>
            <w:shd w:val="clear" w:color="auto" w:fill="CCEEFF"/>
          </w:tcPr>
          <w:p>
            <w:pPr>
              <w:jc w:val="center"/>
              <w:spacing w:after="0" w:line="135" w:lineRule="exact"/>
              <w:rPr>
                <w:sz w:val="20"/>
                <w:szCs w:val="20"/>
                <w:color w:val="auto"/>
              </w:rPr>
            </w:pPr>
            <w:r>
              <w:rPr>
                <w:rFonts w:ascii="Times New Roman" w:cs="Times New Roman" w:eastAsia="Times New Roman" w:hAnsi="Times New Roman"/>
                <w:sz w:val="14"/>
                <w:szCs w:val="14"/>
                <w:color w:val="auto"/>
                <w:w w:val="99"/>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shd w:val="clear" w:color="auto" w:fill="CCEEFF"/>
          </w:tcPr>
          <w:p>
            <w:pPr>
              <w:spacing w:after="0"/>
              <w:rPr>
                <w:sz w:val="9"/>
                <w:szCs w:val="9"/>
                <w:color w:val="auto"/>
              </w:rPr>
            </w:pPr>
          </w:p>
        </w:tc>
        <w:tc>
          <w:tcPr>
            <w:tcW w:w="1180" w:type="dxa"/>
            <w:vAlign w:val="bottom"/>
            <w:gridSpan w:val="2"/>
            <w:vMerge w:val="continue"/>
            <w:shd w:val="clear" w:color="auto" w:fill="CCEEFF"/>
          </w:tcPr>
          <w:p>
            <w:pPr>
              <w:spacing w:after="0"/>
              <w:rPr>
                <w:sz w:val="9"/>
                <w:szCs w:val="9"/>
                <w:color w:val="auto"/>
              </w:rPr>
            </w:pPr>
          </w:p>
        </w:tc>
        <w:tc>
          <w:tcPr>
            <w:tcW w:w="104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60" w:type="dxa"/>
            <w:vAlign w:val="bottom"/>
            <w:shd w:val="clear" w:color="auto" w:fill="CCEEFF"/>
          </w:tcPr>
          <w:p>
            <w:pPr>
              <w:spacing w:after="0"/>
              <w:rPr>
                <w:sz w:val="9"/>
                <w:szCs w:val="9"/>
                <w:color w:val="auto"/>
              </w:rPr>
            </w:pPr>
          </w:p>
        </w:tc>
        <w:tc>
          <w:tcPr>
            <w:tcW w:w="800" w:type="dxa"/>
            <w:vAlign w:val="bottom"/>
            <w:vMerge w:val="continue"/>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120" w:type="dxa"/>
            <w:vAlign w:val="bottom"/>
            <w:shd w:val="clear" w:color="auto" w:fill="CCEEFF"/>
          </w:tcPr>
          <w:p>
            <w:pPr>
              <w:spacing w:after="0"/>
              <w:rPr>
                <w:sz w:val="9"/>
                <w:szCs w:val="9"/>
                <w:color w:val="auto"/>
              </w:rPr>
            </w:pPr>
          </w:p>
        </w:tc>
        <w:tc>
          <w:tcPr>
            <w:tcW w:w="920" w:type="dxa"/>
            <w:vAlign w:val="bottom"/>
            <w:vMerge w:val="continue"/>
            <w:shd w:val="clear" w:color="auto" w:fill="CCEEFF"/>
          </w:tcPr>
          <w:p>
            <w:pPr>
              <w:spacing w:after="0"/>
              <w:rPr>
                <w:sz w:val="9"/>
                <w:szCs w:val="9"/>
                <w:color w:val="auto"/>
              </w:rPr>
            </w:pPr>
          </w:p>
        </w:tc>
        <w:tc>
          <w:tcPr>
            <w:tcW w:w="1020" w:type="dxa"/>
            <w:vAlign w:val="bottom"/>
            <w:vMerge w:val="continue"/>
            <w:shd w:val="clear" w:color="auto" w:fill="CCEEFF"/>
          </w:tcPr>
          <w:p>
            <w:pPr>
              <w:spacing w:after="0"/>
              <w:rPr>
                <w:sz w:val="9"/>
                <w:szCs w:val="9"/>
                <w:color w:val="auto"/>
              </w:rPr>
            </w:pPr>
          </w:p>
        </w:tc>
        <w:tc>
          <w:tcPr>
            <w:tcW w:w="100" w:type="dxa"/>
            <w:vAlign w:val="bottom"/>
            <w:shd w:val="clear" w:color="auto" w:fill="CCEEFF"/>
          </w:tcPr>
          <w:p>
            <w:pPr>
              <w:spacing w:after="0"/>
              <w:rPr>
                <w:sz w:val="9"/>
                <w:szCs w:val="9"/>
                <w:color w:val="auto"/>
              </w:rPr>
            </w:pPr>
          </w:p>
        </w:tc>
        <w:tc>
          <w:tcPr>
            <w:tcW w:w="1160" w:type="dxa"/>
            <w:vAlign w:val="bottom"/>
            <w:gridSpan w:val="2"/>
            <w:vMerge w:val="continue"/>
            <w:shd w:val="clear" w:color="auto" w:fill="CCEEFF"/>
          </w:tcPr>
          <w:p>
            <w:pPr>
              <w:spacing w:after="0"/>
              <w:rPr>
                <w:sz w:val="9"/>
                <w:szCs w:val="9"/>
                <w:color w:val="auto"/>
              </w:rPr>
            </w:pPr>
          </w:p>
        </w:tc>
        <w:tc>
          <w:tcPr>
            <w:tcW w:w="1220" w:type="dxa"/>
            <w:vAlign w:val="bottom"/>
            <w:gridSpan w:val="2"/>
            <w:vMerge w:val="continue"/>
            <w:shd w:val="clear" w:color="auto" w:fill="CCEEFF"/>
          </w:tcPr>
          <w:p>
            <w:pPr>
              <w:spacing w:after="0"/>
              <w:rPr>
                <w:sz w:val="9"/>
                <w:szCs w:val="9"/>
                <w:color w:val="auto"/>
              </w:rPr>
            </w:pPr>
          </w:p>
        </w:tc>
        <w:tc>
          <w:tcPr>
            <w:tcW w:w="1220" w:type="dxa"/>
            <w:vAlign w:val="bottom"/>
            <w:vMerge w:val="restart"/>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7"/>
              </w:rPr>
              <w:t>4.993%</w:t>
            </w:r>
          </w:p>
        </w:tc>
        <w:tc>
          <w:tcPr>
            <w:tcW w:w="0" w:type="dxa"/>
            <w:vAlign w:val="bottom"/>
          </w:tcPr>
          <w:p>
            <w:pPr>
              <w:spacing w:after="0"/>
              <w:rPr>
                <w:sz w:val="1"/>
                <w:szCs w:val="1"/>
                <w:color w:val="auto"/>
              </w:rPr>
            </w:pPr>
          </w:p>
        </w:tc>
      </w:tr>
      <w:tr>
        <w:trPr>
          <w:trHeight w:val="73"/>
        </w:trPr>
        <w:tc>
          <w:tcPr>
            <w:tcW w:w="192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108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04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60" w:type="dxa"/>
            <w:vAlign w:val="bottom"/>
            <w:tcBorders>
              <w:bottom w:val="single" w:sz="8" w:color="CCEEFF"/>
            </w:tcBorders>
            <w:shd w:val="clear" w:color="auto" w:fill="CCEEFF"/>
          </w:tcPr>
          <w:p>
            <w:pPr>
              <w:spacing w:after="0"/>
              <w:rPr>
                <w:sz w:val="6"/>
                <w:szCs w:val="6"/>
                <w:color w:val="auto"/>
              </w:rPr>
            </w:pPr>
          </w:p>
        </w:tc>
        <w:tc>
          <w:tcPr>
            <w:tcW w:w="80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120" w:type="dxa"/>
            <w:vAlign w:val="bottom"/>
            <w:tcBorders>
              <w:bottom w:val="single" w:sz="8" w:color="CCEEFF"/>
            </w:tcBorders>
            <w:shd w:val="clear" w:color="auto" w:fill="CCEEFF"/>
          </w:tcPr>
          <w:p>
            <w:pPr>
              <w:spacing w:after="0"/>
              <w:rPr>
                <w:sz w:val="6"/>
                <w:szCs w:val="6"/>
                <w:color w:val="auto"/>
              </w:rPr>
            </w:pPr>
          </w:p>
        </w:tc>
        <w:tc>
          <w:tcPr>
            <w:tcW w:w="920" w:type="dxa"/>
            <w:vAlign w:val="bottom"/>
            <w:tcBorders>
              <w:bottom w:val="single" w:sz="8" w:color="CCEEFF"/>
            </w:tcBorders>
            <w:shd w:val="clear" w:color="auto" w:fill="CCEEFF"/>
          </w:tcPr>
          <w:p>
            <w:pPr>
              <w:spacing w:after="0"/>
              <w:rPr>
                <w:sz w:val="6"/>
                <w:szCs w:val="6"/>
                <w:color w:val="auto"/>
              </w:rPr>
            </w:pPr>
          </w:p>
        </w:tc>
        <w:tc>
          <w:tcPr>
            <w:tcW w:w="102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06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120" w:type="dxa"/>
            <w:vAlign w:val="bottom"/>
            <w:tcBorders>
              <w:bottom w:val="single" w:sz="8" w:color="CCEEFF"/>
            </w:tcBorders>
            <w:shd w:val="clear" w:color="auto" w:fill="CCEEFF"/>
          </w:tcPr>
          <w:p>
            <w:pPr>
              <w:spacing w:after="0"/>
              <w:rPr>
                <w:sz w:val="6"/>
                <w:szCs w:val="6"/>
                <w:color w:val="auto"/>
              </w:rPr>
            </w:pPr>
          </w:p>
        </w:tc>
        <w:tc>
          <w:tcPr>
            <w:tcW w:w="100" w:type="dxa"/>
            <w:vAlign w:val="bottom"/>
            <w:tcBorders>
              <w:bottom w:val="single" w:sz="8" w:color="CCEEFF"/>
            </w:tcBorders>
            <w:shd w:val="clear" w:color="auto" w:fill="CCEEFF"/>
          </w:tcPr>
          <w:p>
            <w:pPr>
              <w:spacing w:after="0"/>
              <w:rPr>
                <w:sz w:val="6"/>
                <w:szCs w:val="6"/>
                <w:color w:val="auto"/>
              </w:rPr>
            </w:pPr>
          </w:p>
        </w:tc>
        <w:tc>
          <w:tcPr>
            <w:tcW w:w="1220" w:type="dxa"/>
            <w:vAlign w:val="bottom"/>
            <w:tcBorders>
              <w:bottom w:val="single" w:sz="8" w:color="CCEEFF"/>
            </w:tcBorders>
            <w:vMerge w:val="continue"/>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135"/>
        </w:trPr>
        <w:tc>
          <w:tcPr>
            <w:tcW w:w="20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color w:val="auto"/>
              </w:rPr>
              <w:t>Series F</w:t>
            </w:r>
          </w:p>
        </w:tc>
        <w:tc>
          <w:tcPr>
            <w:tcW w:w="1180" w:type="dxa"/>
            <w:vAlign w:val="bottom"/>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color w:val="auto"/>
                <w:w w:val="98"/>
              </w:rPr>
              <w:t>February 11, 2020</w:t>
            </w:r>
          </w:p>
        </w:tc>
        <w:tc>
          <w:tcPr>
            <w:tcW w:w="10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23.0</w:t>
            </w: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557</w:t>
            </w:r>
          </w:p>
        </w:tc>
        <w:tc>
          <w:tcPr>
            <w:tcW w:w="12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9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575</w:t>
            </w:r>
          </w:p>
        </w:tc>
        <w:tc>
          <w:tcPr>
            <w:tcW w:w="1020" w:type="dxa"/>
            <w:vAlign w:val="bottom"/>
            <w:vMerge w:val="restart"/>
          </w:tcPr>
          <w:p>
            <w:pPr>
              <w:jc w:val="center"/>
              <w:ind w:left="70"/>
              <w:spacing w:after="0"/>
              <w:rPr>
                <w:sz w:val="20"/>
                <w:szCs w:val="20"/>
                <w:color w:val="auto"/>
              </w:rPr>
            </w:pPr>
            <w:r>
              <w:rPr>
                <w:rFonts w:ascii="Times New Roman" w:cs="Times New Roman" w:eastAsia="Times New Roman" w:hAnsi="Times New Roman"/>
                <w:sz w:val="14"/>
                <w:szCs w:val="14"/>
                <w:color w:val="auto"/>
              </w:rPr>
              <w:t>6.125%</w:t>
            </w:r>
          </w:p>
        </w:tc>
        <w:tc>
          <w:tcPr>
            <w:tcW w:w="100" w:type="dxa"/>
            <w:vAlign w:val="bottom"/>
          </w:tcPr>
          <w:p>
            <w:pPr>
              <w:spacing w:after="0"/>
              <w:rPr>
                <w:sz w:val="11"/>
                <w:szCs w:val="11"/>
                <w:color w:val="auto"/>
              </w:rPr>
            </w:pPr>
          </w:p>
        </w:tc>
        <w:tc>
          <w:tcPr>
            <w:tcW w:w="1160" w:type="dxa"/>
            <w:vAlign w:val="bottom"/>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color w:val="auto"/>
                <w:w w:val="99"/>
              </w:rPr>
              <w:t>April 15, 2025</w:t>
            </w:r>
          </w:p>
        </w:tc>
        <w:tc>
          <w:tcPr>
            <w:tcW w:w="1220" w:type="dxa"/>
            <w:vAlign w:val="bottom"/>
            <w:gridSpan w:val="2"/>
            <w:vMerge w:val="restart"/>
          </w:tcPr>
          <w:p>
            <w:pPr>
              <w:jc w:val="center"/>
              <w:ind w:right="80"/>
              <w:spacing w:after="0"/>
              <w:rPr>
                <w:sz w:val="20"/>
                <w:szCs w:val="20"/>
                <w:color w:val="auto"/>
              </w:rPr>
            </w:pPr>
            <w:r>
              <w:rPr>
                <w:rFonts w:ascii="Times New Roman" w:cs="Times New Roman" w:eastAsia="Times New Roman" w:hAnsi="Times New Roman"/>
                <w:sz w:val="14"/>
                <w:szCs w:val="14"/>
                <w:color w:val="auto"/>
                <w:w w:val="99"/>
              </w:rPr>
              <w:t>April 15, 2025</w:t>
            </w:r>
          </w:p>
        </w:tc>
        <w:tc>
          <w:tcPr>
            <w:tcW w:w="1220" w:type="dxa"/>
            <w:vAlign w:val="bottom"/>
          </w:tcPr>
          <w:p>
            <w:pPr>
              <w:jc w:val="center"/>
              <w:spacing w:after="0" w:line="135" w:lineRule="exact"/>
              <w:rPr>
                <w:sz w:val="20"/>
                <w:szCs w:val="20"/>
                <w:color w:val="auto"/>
              </w:rPr>
            </w:pPr>
            <w:r>
              <w:rPr>
                <w:rFonts w:ascii="Times New Roman" w:cs="Times New Roman" w:eastAsia="Times New Roman" w:hAnsi="Times New Roman"/>
                <w:sz w:val="14"/>
                <w:szCs w:val="14"/>
                <w:color w:val="auto"/>
                <w:w w:val="99"/>
              </w:rPr>
              <w:t>3M LIBOR +</w:t>
            </w:r>
          </w:p>
        </w:tc>
        <w:tc>
          <w:tcPr>
            <w:tcW w:w="0" w:type="dxa"/>
            <w:vAlign w:val="bottom"/>
          </w:tcPr>
          <w:p>
            <w:pPr>
              <w:spacing w:after="0"/>
              <w:rPr>
                <w:sz w:val="1"/>
                <w:szCs w:val="1"/>
                <w:color w:val="auto"/>
              </w:rPr>
            </w:pPr>
          </w:p>
        </w:tc>
      </w:tr>
      <w:tr>
        <w:trPr>
          <w:trHeight w:val="110"/>
        </w:trPr>
        <w:tc>
          <w:tcPr>
            <w:tcW w:w="2040" w:type="dxa"/>
            <w:vAlign w:val="bottom"/>
            <w:gridSpan w:val="2"/>
            <w:vMerge w:val="continue"/>
          </w:tcPr>
          <w:p>
            <w:pPr>
              <w:spacing w:after="0"/>
              <w:rPr>
                <w:sz w:val="9"/>
                <w:szCs w:val="9"/>
                <w:color w:val="auto"/>
              </w:rPr>
            </w:pPr>
          </w:p>
        </w:tc>
        <w:tc>
          <w:tcPr>
            <w:tcW w:w="1180" w:type="dxa"/>
            <w:vAlign w:val="bottom"/>
            <w:gridSpan w:val="2"/>
            <w:vMerge w:val="continue"/>
          </w:tcPr>
          <w:p>
            <w:pPr>
              <w:spacing w:after="0"/>
              <w:rPr>
                <w:sz w:val="9"/>
                <w:szCs w:val="9"/>
                <w:color w:val="auto"/>
              </w:rPr>
            </w:pPr>
          </w:p>
        </w:tc>
        <w:tc>
          <w:tcPr>
            <w:tcW w:w="104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60" w:type="dxa"/>
            <w:vAlign w:val="bottom"/>
          </w:tcPr>
          <w:p>
            <w:pPr>
              <w:spacing w:after="0"/>
              <w:rPr>
                <w:sz w:val="9"/>
                <w:szCs w:val="9"/>
                <w:color w:val="auto"/>
              </w:rPr>
            </w:pPr>
          </w:p>
        </w:tc>
        <w:tc>
          <w:tcPr>
            <w:tcW w:w="800" w:type="dxa"/>
            <w:vAlign w:val="bottom"/>
            <w:vMerge w:val="continue"/>
          </w:tcPr>
          <w:p>
            <w:pPr>
              <w:spacing w:after="0"/>
              <w:rPr>
                <w:sz w:val="9"/>
                <w:szCs w:val="9"/>
                <w:color w:val="auto"/>
              </w:rPr>
            </w:pPr>
          </w:p>
        </w:tc>
        <w:tc>
          <w:tcPr>
            <w:tcW w:w="120" w:type="dxa"/>
            <w:vAlign w:val="bottom"/>
          </w:tcPr>
          <w:p>
            <w:pPr>
              <w:spacing w:after="0"/>
              <w:rPr>
                <w:sz w:val="9"/>
                <w:szCs w:val="9"/>
                <w:color w:val="auto"/>
              </w:rPr>
            </w:pPr>
          </w:p>
        </w:tc>
        <w:tc>
          <w:tcPr>
            <w:tcW w:w="120" w:type="dxa"/>
            <w:vAlign w:val="bottom"/>
          </w:tcPr>
          <w:p>
            <w:pPr>
              <w:spacing w:after="0"/>
              <w:rPr>
                <w:sz w:val="9"/>
                <w:szCs w:val="9"/>
                <w:color w:val="auto"/>
              </w:rPr>
            </w:pPr>
          </w:p>
        </w:tc>
        <w:tc>
          <w:tcPr>
            <w:tcW w:w="920" w:type="dxa"/>
            <w:vAlign w:val="bottom"/>
            <w:vMerge w:val="continue"/>
          </w:tcPr>
          <w:p>
            <w:pPr>
              <w:spacing w:after="0"/>
              <w:rPr>
                <w:sz w:val="9"/>
                <w:szCs w:val="9"/>
                <w:color w:val="auto"/>
              </w:rPr>
            </w:pPr>
          </w:p>
        </w:tc>
        <w:tc>
          <w:tcPr>
            <w:tcW w:w="10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1220" w:type="dxa"/>
            <w:vAlign w:val="bottom"/>
            <w:gridSpan w:val="2"/>
            <w:vMerge w:val="continue"/>
          </w:tcPr>
          <w:p>
            <w:pPr>
              <w:spacing w:after="0"/>
              <w:rPr>
                <w:sz w:val="9"/>
                <w:szCs w:val="9"/>
                <w:color w:val="auto"/>
              </w:rPr>
            </w:pPr>
          </w:p>
        </w:tc>
        <w:tc>
          <w:tcPr>
            <w:tcW w:w="122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color w:val="auto"/>
                <w:w w:val="97"/>
              </w:rPr>
              <w:t>4.697%</w:t>
            </w:r>
          </w:p>
        </w:tc>
        <w:tc>
          <w:tcPr>
            <w:tcW w:w="0" w:type="dxa"/>
            <w:vAlign w:val="bottom"/>
          </w:tcPr>
          <w:p>
            <w:pPr>
              <w:spacing w:after="0"/>
              <w:rPr>
                <w:sz w:val="1"/>
                <w:szCs w:val="1"/>
                <w:color w:val="auto"/>
              </w:rPr>
            </w:pPr>
          </w:p>
        </w:tc>
      </w:tr>
      <w:tr>
        <w:trPr>
          <w:trHeight w:val="73"/>
        </w:trPr>
        <w:tc>
          <w:tcPr>
            <w:tcW w:w="19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8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40" w:type="dxa"/>
            <w:vAlign w:val="bottom"/>
          </w:tcPr>
          <w:p>
            <w:pPr>
              <w:spacing w:after="0"/>
              <w:rPr>
                <w:sz w:val="6"/>
                <w:szCs w:val="6"/>
                <w:color w:val="auto"/>
              </w:rPr>
            </w:pPr>
          </w:p>
        </w:tc>
        <w:tc>
          <w:tcPr>
            <w:tcW w:w="100" w:type="dxa"/>
            <w:vAlign w:val="bottom"/>
          </w:tcPr>
          <w:p>
            <w:pPr>
              <w:spacing w:after="0"/>
              <w:rPr>
                <w:sz w:val="6"/>
                <w:szCs w:val="6"/>
                <w:color w:val="auto"/>
              </w:rPr>
            </w:pPr>
          </w:p>
        </w:tc>
        <w:tc>
          <w:tcPr>
            <w:tcW w:w="160" w:type="dxa"/>
            <w:vAlign w:val="bottom"/>
          </w:tcPr>
          <w:p>
            <w:pPr>
              <w:spacing w:after="0"/>
              <w:rPr>
                <w:sz w:val="6"/>
                <w:szCs w:val="6"/>
                <w:color w:val="auto"/>
              </w:rPr>
            </w:pPr>
          </w:p>
        </w:tc>
        <w:tc>
          <w:tcPr>
            <w:tcW w:w="800" w:type="dxa"/>
            <w:vAlign w:val="bottom"/>
          </w:tcPr>
          <w:p>
            <w:pPr>
              <w:spacing w:after="0"/>
              <w:rPr>
                <w:sz w:val="6"/>
                <w:szCs w:val="6"/>
                <w:color w:val="auto"/>
              </w:rPr>
            </w:pPr>
          </w:p>
        </w:tc>
        <w:tc>
          <w:tcPr>
            <w:tcW w:w="120" w:type="dxa"/>
            <w:vAlign w:val="bottom"/>
          </w:tcPr>
          <w:p>
            <w:pPr>
              <w:spacing w:after="0"/>
              <w:rPr>
                <w:sz w:val="6"/>
                <w:szCs w:val="6"/>
                <w:color w:val="auto"/>
              </w:rPr>
            </w:pPr>
          </w:p>
        </w:tc>
        <w:tc>
          <w:tcPr>
            <w:tcW w:w="120" w:type="dxa"/>
            <w:vAlign w:val="bottom"/>
          </w:tcPr>
          <w:p>
            <w:pPr>
              <w:spacing w:after="0"/>
              <w:rPr>
                <w:sz w:val="6"/>
                <w:szCs w:val="6"/>
                <w:color w:val="auto"/>
              </w:rPr>
            </w:pPr>
          </w:p>
        </w:tc>
        <w:tc>
          <w:tcPr>
            <w:tcW w:w="920" w:type="dxa"/>
            <w:vAlign w:val="bottom"/>
          </w:tcPr>
          <w:p>
            <w:pPr>
              <w:spacing w:after="0"/>
              <w:rPr>
                <w:sz w:val="6"/>
                <w:szCs w:val="6"/>
                <w:color w:val="auto"/>
              </w:rPr>
            </w:pPr>
          </w:p>
        </w:tc>
        <w:tc>
          <w:tcPr>
            <w:tcW w:w="10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060" w:type="dxa"/>
            <w:vAlign w:val="bottom"/>
          </w:tcPr>
          <w:p>
            <w:pPr>
              <w:spacing w:after="0"/>
              <w:rPr>
                <w:sz w:val="6"/>
                <w:szCs w:val="6"/>
                <w:color w:val="auto"/>
              </w:rPr>
            </w:pPr>
          </w:p>
        </w:tc>
        <w:tc>
          <w:tcPr>
            <w:tcW w:w="1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1220" w:type="dxa"/>
            <w:vAlign w:val="bottom"/>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
        </w:trPr>
        <w:tc>
          <w:tcPr>
            <w:tcW w:w="19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08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CCEEFF"/>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0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06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1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1220" w:type="dxa"/>
            <w:vAlign w:val="bottom"/>
            <w:tcBorders>
              <w:bottom w:val="single" w:sz="8" w:color="CCEEFF"/>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04"/>
        </w:trPr>
        <w:tc>
          <w:tcPr>
            <w:tcW w:w="2040" w:type="dxa"/>
            <w:vAlign w:val="bottom"/>
            <w:tcBorders>
              <w:bottom w:val="single" w:sz="8" w:color="CCEEFF"/>
            </w:tcBorders>
            <w:gridSpan w:val="2"/>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Total</w:t>
            </w:r>
          </w:p>
        </w:tc>
        <w:tc>
          <w:tcPr>
            <w:tcW w:w="108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61.5</w:t>
            </w:r>
          </w:p>
        </w:tc>
        <w:tc>
          <w:tcPr>
            <w:tcW w:w="100" w:type="dxa"/>
            <w:vAlign w:val="bottom"/>
            <w:tcBorders>
              <w:bottom w:val="single" w:sz="8" w:color="CCEEFF"/>
            </w:tcBorders>
            <w:shd w:val="clear" w:color="auto" w:fill="CCEEFF"/>
          </w:tcPr>
          <w:p>
            <w:pPr>
              <w:spacing w:after="0"/>
              <w:rPr>
                <w:sz w:val="17"/>
                <w:szCs w:val="17"/>
                <w:color w:val="auto"/>
              </w:rPr>
            </w:pPr>
          </w:p>
        </w:tc>
        <w:tc>
          <w:tcPr>
            <w:tcW w:w="1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1,489</w:t>
            </w:r>
          </w:p>
        </w:tc>
        <w:tc>
          <w:tcPr>
            <w:tcW w:w="12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1,538</w:t>
            </w:r>
          </w:p>
        </w:tc>
        <w:tc>
          <w:tcPr>
            <w:tcW w:w="10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0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12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22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9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0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20" w:type="dxa"/>
            <w:vAlign w:val="bottom"/>
            <w:tcBorders>
              <w:top w:val="single" w:sz="8" w:color="CCEEFF"/>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 w:lineRule="exact"/>
        <w:rPr>
          <w:sz w:val="20"/>
          <w:szCs w:val="20"/>
          <w:color w:val="auto"/>
        </w:rPr>
      </w:pPr>
    </w:p>
    <w:p>
      <w:pPr>
        <w:ind w:left="660" w:hanging="328"/>
        <w:spacing w:after="0" w:line="259" w:lineRule="auto"/>
        <w:tabs>
          <w:tab w:leader="none" w:pos="660" w:val="left"/>
        </w:tabs>
        <w:numPr>
          <w:ilvl w:val="0"/>
          <w:numId w:val="1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Fixed-to-floating rate redeemable preferred stock accrue dividends at an annual fixed rate of the $25.00 liquidation preference per depositary share from the issuance date up to, but not including, the fixed-to-floating rate conversion date; thereafter, dividends will accrue on a floating rate basis equal to 3-month LIBOR plus a fixed spread.</w:t>
      </w:r>
    </w:p>
    <w:p>
      <w:pPr>
        <w:ind w:left="660" w:hanging="328"/>
        <w:spacing w:after="0"/>
        <w:tabs>
          <w:tab w:leader="none" w:pos="660" w:val="left"/>
        </w:tabs>
        <w:numPr>
          <w:ilvl w:val="0"/>
          <w:numId w:val="1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Shares may be redeemed prior to our optional redemption date under certain circumstances intended to preserve our qualification as a REIT for U.S federal income tax purposes.</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11" w:right="339" w:bottom="1440" w:gutter="0" w:footer="0" w:header="0"/>
        </w:sectPr>
      </w:pPr>
    </w:p>
    <w:bookmarkStart w:id="23" w:name="page24"/>
    <w:bookmarkEnd w:id="23"/>
    <w:p>
      <w:pPr>
        <w:spacing w:after="0"/>
        <w:rPr>
          <w:sz w:val="20"/>
          <w:szCs w:val="20"/>
          <w:color w:val="auto"/>
        </w:rPr>
      </w:pPr>
      <w:r>
        <w:rPr>
          <w:rFonts w:ascii="Times New Roman" w:cs="Times New Roman" w:eastAsia="Times New Roman" w:hAnsi="Times New Roman"/>
          <w:sz w:val="18"/>
          <w:szCs w:val="18"/>
          <w:b w:val="1"/>
          <w:bCs w:val="1"/>
          <w:i w:val="1"/>
          <w:iCs w:val="1"/>
          <w:color w:val="auto"/>
        </w:rPr>
        <w:t>At-the-Market Offering Program</w:t>
      </w:r>
    </w:p>
    <w:p>
      <w:pPr>
        <w:spacing w:after="0" w:line="175"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We are authorized by our Board of Directors to enter into agreements with sales agents to publicly offer and sell shares of our common stock in privately negotiated and/or at-the-market transactions from time-to-time up to a maximum aggregate offering price of our common stock. As of March 31, 2022, shares of our common stock with an aggregate offering price of $1.25 billion remained authorized for issuance under this program through June 11, 2024. We did not issue shares under the program during the three months ended March 31, 2022.</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Common Stock Repurchase Program</w:t>
      </w:r>
    </w:p>
    <w:p>
      <w:pPr>
        <w:spacing w:after="0" w:line="175"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We are authorized by our Board of Directors to repurchase shares of our common stock in open market or through privately negotiated transactions or pursuant to a trading plan that may be adopted in accordance with Rule 10b5-1 of the Securities Exchange Act of 1934, as amended (the "Exchange Act"). As of March 31, 2022, shares of our common stock with an aggregate repurchase price of $958 million remained authorized for repurchase through December 31, 2022. We did not repurchase shares under the program during the three months ended March 31, 2022.</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Accumulated Other Comprehensive Income (Loss)</w:t>
      </w:r>
    </w:p>
    <w:p>
      <w:pPr>
        <w:spacing w:after="0" w:line="17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The following table summarizes changes to accumulated OCI for the three months ended March 31, 2022 and 2021 (in millions):</w:t>
      </w:r>
    </w:p>
    <w:p>
      <w:pPr>
        <w:spacing w:after="0" w:line="123" w:lineRule="exact"/>
        <w:rPr>
          <w:sz w:val="20"/>
          <w:szCs w:val="20"/>
          <w:color w:val="auto"/>
        </w:rPr>
      </w:pPr>
    </w:p>
    <w:tbl>
      <w:tblPr>
        <w:tblLayout w:type="fixed"/>
        <w:tblInd w:w="980" w:type="dxa"/>
        <w:tblCellMar>
          <w:top w:w="0" w:type="dxa"/>
          <w:left w:w="0" w:type="dxa"/>
          <w:bottom w:w="0" w:type="dxa"/>
          <w:right w:w="0" w:type="dxa"/>
        </w:tblCellMar>
      </w:tblPr>
      <w:tr>
        <w:trPr>
          <w:trHeight w:val="161"/>
        </w:trPr>
        <w:tc>
          <w:tcPr>
            <w:tcW w:w="72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920" w:type="dxa"/>
            <w:vAlign w:val="bottom"/>
            <w:gridSpan w:val="5"/>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Three Months Ended March</w:t>
            </w:r>
          </w:p>
        </w:tc>
        <w:tc>
          <w:tcPr>
            <w:tcW w:w="0" w:type="dxa"/>
            <w:vAlign w:val="bottom"/>
          </w:tcPr>
          <w:p>
            <w:pPr>
              <w:spacing w:after="0"/>
              <w:rPr>
                <w:sz w:val="1"/>
                <w:szCs w:val="1"/>
                <w:color w:val="auto"/>
              </w:rPr>
            </w:pPr>
          </w:p>
        </w:tc>
      </w:tr>
      <w:tr>
        <w:trPr>
          <w:trHeight w:val="196"/>
        </w:trPr>
        <w:tc>
          <w:tcPr>
            <w:tcW w:w="72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020" w:type="dxa"/>
            <w:vAlign w:val="bottom"/>
            <w:tcBorders>
              <w:bottom w:val="single" w:sz="8" w:color="auto"/>
            </w:tcBorders>
            <w:gridSpan w:val="3"/>
          </w:tcPr>
          <w:p>
            <w:pPr>
              <w:jc w:val="right"/>
              <w:ind w:right="88"/>
              <w:spacing w:after="0"/>
              <w:rPr>
                <w:sz w:val="20"/>
                <w:szCs w:val="20"/>
                <w:color w:val="auto"/>
              </w:rPr>
            </w:pPr>
            <w:r>
              <w:rPr>
                <w:rFonts w:ascii="Times New Roman" w:cs="Times New Roman" w:eastAsia="Times New Roman" w:hAnsi="Times New Roman"/>
                <w:sz w:val="14"/>
                <w:szCs w:val="14"/>
                <w:b w:val="1"/>
                <w:bCs w:val="1"/>
                <w:color w:val="auto"/>
              </w:rPr>
              <w:t>31,</w:t>
            </w:r>
          </w:p>
        </w:tc>
        <w:tc>
          <w:tcPr>
            <w:tcW w:w="7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73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Accumulated Other Comprehensive Income (Loss)</w:t>
            </w:r>
          </w:p>
        </w:tc>
        <w:tc>
          <w:tcPr>
            <w:tcW w:w="200" w:type="dxa"/>
            <w:vAlign w:val="bottom"/>
          </w:tcPr>
          <w:p>
            <w:pPr>
              <w:spacing w:after="0"/>
              <w:rPr>
                <w:sz w:val="17"/>
                <w:szCs w:val="17"/>
                <w:color w:val="auto"/>
              </w:rPr>
            </w:pPr>
          </w:p>
        </w:tc>
        <w:tc>
          <w:tcPr>
            <w:tcW w:w="720" w:type="dxa"/>
            <w:vAlign w:val="bottom"/>
          </w:tcPr>
          <w:p>
            <w:pPr>
              <w:jc w:val="right"/>
              <w:ind w:right="248"/>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tcPr>
          <w:p>
            <w:pPr>
              <w:jc w:val="right"/>
              <w:ind w:right="228"/>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196"/>
        </w:trPr>
        <w:tc>
          <w:tcPr>
            <w:tcW w:w="726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Beginning Balance</w:t>
            </w:r>
          </w:p>
        </w:tc>
        <w:tc>
          <w:tcPr>
            <w:tcW w:w="100" w:type="dxa"/>
            <w:vAlign w:val="bottom"/>
          </w:tcPr>
          <w:p>
            <w:pPr>
              <w:spacing w:after="0"/>
              <w:rPr>
                <w:sz w:val="17"/>
                <w:szCs w:val="17"/>
                <w:color w:val="auto"/>
              </w:rPr>
            </w:pPr>
          </w:p>
        </w:tc>
        <w:tc>
          <w:tcPr>
            <w:tcW w:w="200" w:type="dxa"/>
            <w:vAlign w:val="bottom"/>
            <w:tcBorders>
              <w:top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301</w:t>
            </w:r>
          </w:p>
        </w:tc>
        <w:tc>
          <w:tcPr>
            <w:tcW w:w="80" w:type="dxa"/>
            <w:vAlign w:val="bottom"/>
          </w:tcPr>
          <w:p>
            <w:pPr>
              <w:spacing w:after="0"/>
              <w:rPr>
                <w:sz w:val="17"/>
                <w:szCs w:val="17"/>
                <w:color w:val="auto"/>
              </w:rPr>
            </w:pPr>
          </w:p>
        </w:tc>
        <w:tc>
          <w:tcPr>
            <w:tcW w:w="220" w:type="dxa"/>
            <w:vAlign w:val="bottom"/>
            <w:tcBorders>
              <w:top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719</w:t>
            </w:r>
          </w:p>
        </w:tc>
        <w:tc>
          <w:tcPr>
            <w:tcW w:w="0" w:type="dxa"/>
            <w:vAlign w:val="bottom"/>
          </w:tcPr>
          <w:p>
            <w:pPr>
              <w:spacing w:after="0"/>
              <w:rPr>
                <w:sz w:val="1"/>
                <w:szCs w:val="1"/>
                <w:color w:val="auto"/>
              </w:rPr>
            </w:pPr>
          </w:p>
        </w:tc>
      </w:tr>
      <w:tr>
        <w:trPr>
          <w:trHeight w:val="209"/>
        </w:trPr>
        <w:tc>
          <w:tcPr>
            <w:tcW w:w="736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OCI before reclassifications</w:t>
            </w:r>
          </w:p>
        </w:tc>
        <w:tc>
          <w:tcPr>
            <w:tcW w:w="20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(491)</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(219)</w:t>
            </w:r>
          </w:p>
        </w:tc>
        <w:tc>
          <w:tcPr>
            <w:tcW w:w="0" w:type="dxa"/>
            <w:vAlign w:val="bottom"/>
          </w:tcPr>
          <w:p>
            <w:pPr>
              <w:spacing w:after="0"/>
              <w:rPr>
                <w:sz w:val="1"/>
                <w:szCs w:val="1"/>
                <w:color w:val="auto"/>
              </w:rPr>
            </w:pPr>
          </w:p>
        </w:tc>
      </w:tr>
      <w:tr>
        <w:trPr>
          <w:trHeight w:val="135"/>
        </w:trPr>
        <w:tc>
          <w:tcPr>
            <w:tcW w:w="7360" w:type="dxa"/>
            <w:vAlign w:val="bottom"/>
            <w:gridSpan w:val="2"/>
          </w:tcPr>
          <w:p>
            <w:pPr>
              <w:ind w:left="180"/>
              <w:spacing w:after="0" w:line="135" w:lineRule="exact"/>
              <w:rPr>
                <w:sz w:val="20"/>
                <w:szCs w:val="20"/>
                <w:color w:val="auto"/>
              </w:rPr>
            </w:pPr>
            <w:r>
              <w:rPr>
                <w:rFonts w:ascii="Times New Roman" w:cs="Times New Roman" w:eastAsia="Times New Roman" w:hAnsi="Times New Roman"/>
                <w:sz w:val="14"/>
                <w:szCs w:val="14"/>
                <w:color w:val="auto"/>
              </w:rPr>
              <w:t>Net loss amounts for available-for-sale securities reclassified from accumulated OCI to realized gain (loss) on sale of</w:t>
            </w:r>
          </w:p>
        </w:tc>
        <w:tc>
          <w:tcPr>
            <w:tcW w:w="200" w:type="dxa"/>
            <w:vAlign w:val="bottom"/>
          </w:tcPr>
          <w:p>
            <w:pPr>
              <w:spacing w:after="0"/>
              <w:rPr>
                <w:sz w:val="11"/>
                <w:szCs w:val="11"/>
                <w:color w:val="auto"/>
              </w:rPr>
            </w:pPr>
          </w:p>
        </w:tc>
        <w:tc>
          <w:tcPr>
            <w:tcW w:w="800" w:type="dxa"/>
            <w:vAlign w:val="bottom"/>
            <w:gridSpan w:val="2"/>
            <w:vMerge w:val="restart"/>
          </w:tcPr>
          <w:p>
            <w:pPr>
              <w:jc w:val="right"/>
              <w:ind w:right="140"/>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tcPr>
          <w:p>
            <w:pPr>
              <w:spacing w:after="0"/>
              <w:rPr>
                <w:sz w:val="11"/>
                <w:szCs w:val="11"/>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0" w:type="dxa"/>
            <w:vAlign w:val="bottom"/>
          </w:tcPr>
          <w:p>
            <w:pPr>
              <w:spacing w:after="0"/>
              <w:rPr>
                <w:sz w:val="1"/>
                <w:szCs w:val="1"/>
                <w:color w:val="auto"/>
              </w:rPr>
            </w:pPr>
          </w:p>
        </w:tc>
      </w:tr>
      <w:tr>
        <w:trPr>
          <w:trHeight w:val="196"/>
        </w:trPr>
        <w:tc>
          <w:tcPr>
            <w:tcW w:w="736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investment securities, net</w:t>
            </w:r>
          </w:p>
        </w:tc>
        <w:tc>
          <w:tcPr>
            <w:tcW w:w="200" w:type="dxa"/>
            <w:vAlign w:val="bottom"/>
          </w:tcPr>
          <w:p>
            <w:pPr>
              <w:spacing w:after="0"/>
              <w:rPr>
                <w:sz w:val="17"/>
                <w:szCs w:val="17"/>
                <w:color w:val="auto"/>
              </w:rPr>
            </w:pPr>
          </w:p>
        </w:tc>
        <w:tc>
          <w:tcPr>
            <w:tcW w:w="80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8"/>
        </w:trPr>
        <w:tc>
          <w:tcPr>
            <w:tcW w:w="7360" w:type="dxa"/>
            <w:vAlign w:val="bottom"/>
            <w:tcBorders>
              <w:top w:val="single" w:sz="8" w:color="CCEEFF"/>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Ending Balance</w:t>
            </w: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(190)</w:t>
            </w:r>
          </w:p>
        </w:tc>
        <w:tc>
          <w:tcPr>
            <w:tcW w:w="8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482</w:t>
            </w:r>
          </w:p>
        </w:tc>
        <w:tc>
          <w:tcPr>
            <w:tcW w:w="0" w:type="dxa"/>
            <w:vAlign w:val="bottom"/>
          </w:tcPr>
          <w:p>
            <w:pPr>
              <w:spacing w:after="0"/>
              <w:rPr>
                <w:sz w:val="1"/>
                <w:szCs w:val="1"/>
                <w:color w:val="auto"/>
              </w:rPr>
            </w:pPr>
          </w:p>
        </w:tc>
      </w:tr>
      <w:tr>
        <w:trPr>
          <w:trHeight w:val="20"/>
        </w:trPr>
        <w:tc>
          <w:tcPr>
            <w:tcW w:w="72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2. </w:t>
      </w:r>
      <w:r>
        <w:rPr>
          <w:rFonts w:ascii="Times New Roman" w:cs="Times New Roman" w:eastAsia="Times New Roman" w:hAnsi="Times New Roman"/>
          <w:sz w:val="18"/>
          <w:szCs w:val="18"/>
          <w:b w:val="1"/>
          <w:bCs w:val="1"/>
          <w:i w:val="1"/>
          <w:iCs w:val="1"/>
          <w:color w:val="auto"/>
        </w:rPr>
        <w:t>Management's Discussion and Analysis of Financial Condition and Results of Operations</w:t>
      </w:r>
    </w:p>
    <w:p>
      <w:pPr>
        <w:spacing w:after="0" w:line="175"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Management's Discussion and Analysis of Financial Condition and Results of Operations ("MD&amp;A") is designed to provide a reader of AGNC Investment Corp.'s consolidated financial statements with a narrative from the perspective of management and should be read in conjunction with the consolidated financial statements and accompanying notes included in this Quarterly Report on Form 10-Q for quarterly period ended March 31, 2022. Our MD&amp;A is presented in the following sections:</w:t>
      </w:r>
    </w:p>
    <w:p>
      <w:pPr>
        <w:spacing w:after="0" w:line="45" w:lineRule="exact"/>
        <w:rPr>
          <w:sz w:val="20"/>
          <w:szCs w:val="20"/>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Executive Overview</w:t>
      </w:r>
    </w:p>
    <w:p>
      <w:pPr>
        <w:spacing w:after="0" w:line="6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Financial Condition</w:t>
      </w:r>
    </w:p>
    <w:p>
      <w:pPr>
        <w:spacing w:after="0" w:line="6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Results of Operations</w:t>
      </w:r>
    </w:p>
    <w:p>
      <w:pPr>
        <w:spacing w:after="0" w:line="6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Liquidity and Capital Resources</w:t>
      </w:r>
    </w:p>
    <w:p>
      <w:pPr>
        <w:spacing w:after="0" w:line="6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Off-Balance Sheet Arrangements</w:t>
      </w:r>
    </w:p>
    <w:p>
      <w:pPr>
        <w:spacing w:after="0" w:line="63"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Forward-Looking Statements</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EXECUTIVE OVERVIEW</w:t>
      </w:r>
    </w:p>
    <w:p>
      <w:pPr>
        <w:spacing w:after="0" w:line="175" w:lineRule="exact"/>
        <w:rPr>
          <w:sz w:val="20"/>
          <w:szCs w:val="20"/>
          <w:color w:val="auto"/>
        </w:rPr>
      </w:pPr>
    </w:p>
    <w:p>
      <w:pPr>
        <w:jc w:val="both"/>
        <w:ind w:firstLine="405"/>
        <w:spacing w:after="0" w:line="255" w:lineRule="auto"/>
        <w:rPr>
          <w:sz w:val="20"/>
          <w:szCs w:val="20"/>
          <w:color w:val="auto"/>
        </w:rPr>
      </w:pPr>
      <w:r>
        <w:rPr>
          <w:rFonts w:ascii="Times New Roman" w:cs="Times New Roman" w:eastAsia="Times New Roman" w:hAnsi="Times New Roman"/>
          <w:sz w:val="18"/>
          <w:szCs w:val="18"/>
          <w:color w:val="auto"/>
        </w:rPr>
        <w:t>We are a leading provider of private capital to the U.S. housing market, enhancing liquidity in the residential real estate mortgage markets and, in turn, facilitating home ownership in the U.S. We invest primarily in Agency residential mortgage-backed securities ("Agency RMBS") on a leveraged basis. These investments consist of residential mortgage pass-through securities and collateralized mortgage obligations for which the principal and interest payments are guaranteed by a U.S. Government-sponsored enterprise, such as Federal National Mortgage Association ("Fannie Mae") and Federal Home Loan Mortgage Corporation ("Freddie Mac," and together with Fannie Mae, the "GSEs"), or by a U.S. Government agency, such as Government National Mortgage Association ("Ginnie Mae"). We may also invest in other assets related to the housing, mortgage or real estate markets that are not guaranteed by a GSE or U.S. Government agency.</w:t>
      </w:r>
    </w:p>
    <w:p>
      <w:pPr>
        <w:spacing w:after="0" w:line="135" w:lineRule="exact"/>
        <w:rPr>
          <w:sz w:val="20"/>
          <w:szCs w:val="20"/>
          <w:color w:val="auto"/>
        </w:rPr>
      </w:pPr>
    </w:p>
    <w:p>
      <w:pPr>
        <w:jc w:val="both"/>
        <w:ind w:firstLine="405"/>
        <w:spacing w:after="0" w:line="266" w:lineRule="auto"/>
        <w:rPr>
          <w:sz w:val="20"/>
          <w:szCs w:val="20"/>
          <w:color w:val="auto"/>
        </w:rPr>
      </w:pPr>
      <w:r>
        <w:rPr>
          <w:rFonts w:ascii="Times New Roman" w:cs="Times New Roman" w:eastAsia="Times New Roman" w:hAnsi="Times New Roman"/>
          <w:sz w:val="18"/>
          <w:szCs w:val="18"/>
          <w:color w:val="auto"/>
        </w:rPr>
        <w:t>We are internally managed with the principal objective of providing our stockholders with favorable long-term returns on a risk-adjusted basis through attractive monthly dividends. We generate income from the interest earned on our investments, net of associated borrowing and hedging costs, and net realized gains and losses on our investment and hedging activities. We fund</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24" w:name="page25"/>
    <w:bookmarkEnd w:id="24"/>
    <w:p>
      <w:pPr>
        <w:jc w:val="both"/>
        <w:spacing w:after="0" w:line="282" w:lineRule="auto"/>
        <w:rPr>
          <w:sz w:val="20"/>
          <w:szCs w:val="20"/>
          <w:color w:val="auto"/>
        </w:rPr>
      </w:pPr>
      <w:r>
        <w:rPr>
          <w:rFonts w:ascii="Times New Roman" w:cs="Times New Roman" w:eastAsia="Times New Roman" w:hAnsi="Times New Roman"/>
          <w:sz w:val="18"/>
          <w:szCs w:val="18"/>
          <w:color w:val="auto"/>
        </w:rPr>
        <w:t>our investments primarily through collateralized borrowings structured as repurchase agreements. We operate in a manner to qualify to be taxed as a REIT under the Internal Revenue Code.</w:t>
      </w:r>
    </w:p>
    <w:p>
      <w:pPr>
        <w:spacing w:after="0" w:line="108"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The size and composition of our investment portfolio depends on the investment strategies we implement, availability of attractively priced investments, suitable financing to appropriately leverage our investment portfolio and overall market conditions. Market conditions are influenced by a variety of factors, including interest rates, prepayment expectations, liquidity, housing prices, unemployment rates, general economic conditions, government participation in the mortgage market, regulations and relative returns on other assets.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Trends and Recent Market Impacts</w:t>
      </w:r>
    </w:p>
    <w:p>
      <w:pPr>
        <w:spacing w:after="0" w:line="175"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18"/>
          <w:szCs w:val="18"/>
          <w:color w:val="auto"/>
        </w:rPr>
        <w:t>The investment environment was very challenging in the first quarter as the market faced elevated geopolitical risk, growing inflation concerns, and the expectation of significantly tighter monetary policy. Against this backdrop, interest rates repriced materially higher, the yield curve flattened, and fixed income spreads to benchmark interest rates widened. These conditions led to a “risk-off” sentiment that pressured equity markets and caused unprecedented price declines across fixed income markets as evidenced by the Bloomberg Aggregate Bond Index, the broadest fixed income market measure, posting its worst quarterly performance in more than 40 years.</w:t>
      </w:r>
    </w:p>
    <w:p>
      <w:pPr>
        <w:spacing w:after="0" w:line="129" w:lineRule="exact"/>
        <w:rPr>
          <w:sz w:val="20"/>
          <w:szCs w:val="20"/>
          <w:color w:val="auto"/>
        </w:rPr>
      </w:pPr>
    </w:p>
    <w:p>
      <w:pPr>
        <w:jc w:val="both"/>
        <w:ind w:firstLine="405"/>
        <w:spacing w:after="0" w:line="254" w:lineRule="auto"/>
        <w:rPr>
          <w:sz w:val="20"/>
          <w:szCs w:val="20"/>
          <w:color w:val="auto"/>
        </w:rPr>
      </w:pPr>
      <w:r>
        <w:rPr>
          <w:rFonts w:ascii="Times New Roman" w:cs="Times New Roman" w:eastAsia="Times New Roman" w:hAnsi="Times New Roman"/>
          <w:sz w:val="18"/>
          <w:szCs w:val="18"/>
          <w:color w:val="auto"/>
        </w:rPr>
        <w:t>Major monetary policy transitions are difficult for fixed income markets broadly and the Agency MBS market specifically, given its unique role in monetary policy and the overall economy. The Federal Reserve (the “Fed”) indicated at its March meeting that the portfolio runoff plan will include an Agency RMBS cap of $35 billion per month and provided greater clarity at its May meeting that the runoff will begin on June 1, 2022 with an initial cap of $17.5 billion per month for the first three months before increasing to the previously announced $35 billion per month level. This guidance was largely in line with investor expectations. Concerns associated with the Fed’s balance sheet normalization drove Agency RMBS spreads significantly wider during the first quarter relative to interest rate swap and U.S. Treasury hedges. This mortgage spread widening was, in turn, the primary driver of AGNC’s 14.4% economic loss on tangible net asset value per common share for the quarter, which consisted of a 16.7% decline of our tangible net book value to $13.12 per common share as of March 31, 2022 and dividends declared during the quarter of $0.36 per common share.</w:t>
      </w:r>
    </w:p>
    <w:p>
      <w:pPr>
        <w:spacing w:after="0" w:line="138"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18"/>
          <w:szCs w:val="18"/>
          <w:color w:val="auto"/>
        </w:rPr>
        <w:t>As a result of the significant repricing of Agency RMBS over the past several quarters, we believe that risk-adjusted returns on many segments of the Agency RMBS market are now attractive on both an absolute and relative basis. However, we expect markets to remain volatile over the near-term as a result of the uncertain and rapidly shifting economic backdrop. Although Agency RMBS could experience additional valuation declines over the near-term, which may negatively impact our tangible net book value per share of common stock, we would likely view such declines as a favorable buying opportunity in light of the enhanced projected returns on new investments.</w:t>
      </w:r>
    </w:p>
    <w:p>
      <w:pPr>
        <w:spacing w:after="0" w:line="129" w:lineRule="exact"/>
        <w:rPr>
          <w:sz w:val="20"/>
          <w:szCs w:val="20"/>
          <w:color w:val="auto"/>
        </w:rPr>
      </w:pPr>
    </w:p>
    <w:p>
      <w:pPr>
        <w:jc w:val="both"/>
        <w:ind w:firstLine="405"/>
        <w:spacing w:after="0" w:line="254" w:lineRule="auto"/>
        <w:rPr>
          <w:sz w:val="20"/>
          <w:szCs w:val="20"/>
          <w:color w:val="auto"/>
        </w:rPr>
      </w:pPr>
      <w:r>
        <w:rPr>
          <w:rFonts w:ascii="Times New Roman" w:cs="Times New Roman" w:eastAsia="Times New Roman" w:hAnsi="Times New Roman"/>
          <w:sz w:val="18"/>
          <w:szCs w:val="18"/>
          <w:color w:val="auto"/>
        </w:rPr>
        <w:t>Our at-risk leverage remained below our historical operating levels during the first quarter as we continued to maintain a defensive position. As of the end of the first quarter, our leverage was 7.5x tangible equity, slightly lower than 7.7x as of the end of the end of the fourth quarter. Given the elevated interest rate volatility and ongoing uncertainty around quantitative tightening measures, we took additional actions to reduce our aggregate risk profile during the quarter by reducing our asset position, shifting our Agency RMBS portfolio toward higher coupon securities, and increasing our interest rate hedge position relative to our funding liabilities. As of March 31, 2022, our interest rate hedges totaled 121% of the outstanding balance of our Agency repurchase agreements, net TBA position and other debt, compared to 101% as of December 31, 2021. As of March 31, 2022, our duration gap, which is a measure of the difference between the interest rate sensitivity of our assets and liabilities, inclusive of our interest rate hedges, was 0.3 years, up slightly from 0.1 years as of December 31, 2021. Our unencumbered cash and Agency RMBS position, which excludes both unencumbered credit assets and assets held at our captive broker-dealer subsidiary, was $3.5 billion as of March 31, 2022, compared to $4.9 billion as of December 31, 2021.</w:t>
      </w:r>
    </w:p>
    <w:p>
      <w:pPr>
        <w:spacing w:after="0" w:line="134" w:lineRule="exact"/>
        <w:rPr>
          <w:sz w:val="20"/>
          <w:szCs w:val="20"/>
          <w:color w:val="auto"/>
        </w:rPr>
      </w:pPr>
    </w:p>
    <w:p>
      <w:pPr>
        <w:jc w:val="both"/>
        <w:ind w:firstLine="405"/>
        <w:spacing w:after="0" w:line="254" w:lineRule="auto"/>
        <w:rPr>
          <w:sz w:val="20"/>
          <w:szCs w:val="20"/>
          <w:color w:val="auto"/>
        </w:rPr>
      </w:pPr>
      <w:r>
        <w:rPr>
          <w:rFonts w:ascii="Times New Roman" w:cs="Times New Roman" w:eastAsia="Times New Roman" w:hAnsi="Times New Roman"/>
          <w:sz w:val="18"/>
          <w:szCs w:val="18"/>
          <w:color w:val="auto"/>
        </w:rPr>
        <w:t>Consistent with higher interest rates, the average projected life CPR on our portfolio decreased to 7.9% as of March 31, 2022, from 10.9% as of the end of the prior quarter. Actual CPRs on our portfolio also continued to trend lower, averaging 14.5% for the first quarter. Our net interest spread for the quarter increased to 219 basis points, from 215 basis points for the fourth quarter, as the improvement in asset yields due to declining prepayment speeds, portfolio repositioning, and very strong TBA dollar roll performance more than offset a modest increase in our cost of funds. Thus, despite a smaller asset base, our net spread and dollar roll income, excluding “catch-up” premium amortization due to changes in CPR projections, remained relatively stable at $0.72 per share of common stock (a non-GAAP measure), compared to $0.75 for the prior quarter. While we anticipate that TBA dollar roll performance will moderate over time to levels more consistent with historical averages, our interest rate swap position should provide considerable protection for our cost of funds against the significant increase in short-term rates that is expected to occur over the remainder of the year.</w:t>
      </w: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25" w:name="page26"/>
    <w:bookmarkEnd w:id="25"/>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Although the underperformance of Agency RMBS has negatively impacted our tangible net book value in the short-run, higher rates and wider spreads have significantly improved our investment outlook on both our existing portfolio and new Agency RMBS investments. We believe we are well-positioned to take advantage of favorable investment opportunities as market conditions stabilize, which should improve the long-term earnings profile of our investment portfolio.</w:t>
      </w:r>
    </w:p>
    <w:p>
      <w:pPr>
        <w:spacing w:after="0" w:line="126"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 xml:space="preserve">For information regarding non-GAAP financial measures, including reconciliations to the most comparable GAAP measure, and information regarding our average implied TBA dollar roll financing, please refer to Results of Operations included in this MD&amp;A below. For further discussion regarding the sensitivity of our tangible net book value to changes in interest rates and mortgage spreads, please refer to Item 3. </w:t>
      </w:r>
      <w:r>
        <w:rPr>
          <w:rFonts w:ascii="Times New Roman" w:cs="Times New Roman" w:eastAsia="Times New Roman" w:hAnsi="Times New Roman"/>
          <w:sz w:val="18"/>
          <w:szCs w:val="18"/>
          <w:i w:val="1"/>
          <w:iCs w:val="1"/>
          <w:color w:val="auto"/>
        </w:rPr>
        <w:t>Quantitative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Qualitative Disclosures about Market Risk </w:t>
      </w:r>
      <w:r>
        <w:rPr>
          <w:rFonts w:ascii="Times New Roman" w:cs="Times New Roman" w:eastAsia="Times New Roman" w:hAnsi="Times New Roman"/>
          <w:sz w:val="18"/>
          <w:szCs w:val="18"/>
          <w:color w:val="auto"/>
        </w:rPr>
        <w:t>in this form 10-Q.</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Market Information</w:t>
      </w:r>
    </w:p>
    <w:p>
      <w:pPr>
        <w:spacing w:after="0" w:line="17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The following table summarizes interest rates and prices of generic fixed rate Agency RMBS as of each date presented below:</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Mar. 31,</w:t>
            </w:r>
          </w:p>
        </w:tc>
        <w:tc>
          <w:tcPr>
            <w:tcW w:w="9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Sept. 30,</w:t>
            </w:r>
          </w:p>
        </w:tc>
        <w:tc>
          <w:tcPr>
            <w:tcW w:w="960" w:type="dxa"/>
            <w:vAlign w:val="bottom"/>
            <w:gridSpan w:val="2"/>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Dec. 31,</w:t>
            </w:r>
          </w:p>
        </w:tc>
        <w:tc>
          <w:tcPr>
            <w:tcW w:w="9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Mar. 31,</w:t>
            </w: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Mar. 31, 2022</w:t>
            </w:r>
          </w:p>
        </w:tc>
        <w:tc>
          <w:tcPr>
            <w:tcW w:w="0" w:type="dxa"/>
            <w:vAlign w:val="bottom"/>
          </w:tcPr>
          <w:p>
            <w:pPr>
              <w:spacing w:after="0"/>
              <w:rPr>
                <w:sz w:val="1"/>
                <w:szCs w:val="1"/>
                <w:color w:val="auto"/>
              </w:rPr>
            </w:pPr>
          </w:p>
        </w:tc>
      </w:tr>
      <w:tr>
        <w:trPr>
          <w:trHeight w:val="146"/>
        </w:trPr>
        <w:tc>
          <w:tcPr>
            <w:tcW w:w="5360" w:type="dxa"/>
            <w:vAlign w:val="bottom"/>
            <w:gridSpan w:val="2"/>
            <w:vMerge w:val="restart"/>
          </w:tcPr>
          <w:p>
            <w:pPr>
              <w:ind w:left="1700"/>
              <w:spacing w:after="0"/>
              <w:rPr>
                <w:sz w:val="20"/>
                <w:szCs w:val="20"/>
                <w:color w:val="auto"/>
              </w:rPr>
            </w:pPr>
            <w:r>
              <w:rPr>
                <w:rFonts w:ascii="Times New Roman" w:cs="Times New Roman" w:eastAsia="Times New Roman" w:hAnsi="Times New Roman"/>
                <w:sz w:val="14"/>
                <w:szCs w:val="14"/>
                <w:b w:val="1"/>
                <w:bCs w:val="1"/>
                <w:color w:val="auto"/>
              </w:rPr>
              <w:t xml:space="preserve">Interest Rate/Security Price </w:t>
            </w:r>
            <w:r>
              <w:rPr>
                <w:rFonts w:ascii="Times New Roman" w:cs="Times New Roman" w:eastAsia="Times New Roman" w:hAnsi="Times New Roman"/>
                <w:sz w:val="18"/>
                <w:szCs w:val="18"/>
                <w:b w:val="1"/>
                <w:bCs w:val="1"/>
                <w:color w:val="auto"/>
                <w:vertAlign w:val="superscript"/>
              </w:rPr>
              <w:t>1</w:t>
            </w:r>
          </w:p>
        </w:tc>
        <w:tc>
          <w:tcPr>
            <w:tcW w:w="94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520" w:type="dxa"/>
            <w:vAlign w:val="bottom"/>
          </w:tcPr>
          <w:p>
            <w:pPr>
              <w:spacing w:after="0"/>
              <w:rPr>
                <w:sz w:val="12"/>
                <w:szCs w:val="12"/>
                <w:color w:val="auto"/>
              </w:rPr>
            </w:pPr>
          </w:p>
        </w:tc>
        <w:tc>
          <w:tcPr>
            <w:tcW w:w="640" w:type="dxa"/>
            <w:vAlign w:val="bottom"/>
          </w:tcPr>
          <w:p>
            <w:pPr>
              <w:jc w:val="center"/>
              <w:ind w:right="448"/>
              <w:spacing w:after="0" w:line="146" w:lineRule="exact"/>
              <w:rPr>
                <w:sz w:val="20"/>
                <w:szCs w:val="20"/>
                <w:color w:val="auto"/>
              </w:rPr>
            </w:pPr>
            <w:r>
              <w:rPr>
                <w:rFonts w:ascii="Times New Roman" w:cs="Times New Roman" w:eastAsia="Times New Roman" w:hAnsi="Times New Roman"/>
                <w:sz w:val="14"/>
                <w:szCs w:val="14"/>
                <w:b w:val="1"/>
                <w:bCs w:val="1"/>
                <w:color w:val="auto"/>
                <w:w w:val="96"/>
              </w:rPr>
              <w:t>vs</w:t>
            </w:r>
          </w:p>
        </w:tc>
        <w:tc>
          <w:tcPr>
            <w:tcW w:w="0" w:type="dxa"/>
            <w:vAlign w:val="bottom"/>
          </w:tcPr>
          <w:p>
            <w:pPr>
              <w:spacing w:after="0"/>
              <w:rPr>
                <w:sz w:val="1"/>
                <w:szCs w:val="1"/>
                <w:color w:val="auto"/>
              </w:rPr>
            </w:pPr>
          </w:p>
        </w:tc>
      </w:tr>
      <w:tr>
        <w:trPr>
          <w:trHeight w:val="203"/>
        </w:trPr>
        <w:tc>
          <w:tcPr>
            <w:tcW w:w="5360" w:type="dxa"/>
            <w:vAlign w:val="bottom"/>
            <w:gridSpan w:val="2"/>
            <w:vMerge w:val="continue"/>
          </w:tcPr>
          <w:p>
            <w:pPr>
              <w:spacing w:after="0"/>
              <w:rPr>
                <w:sz w:val="17"/>
                <w:szCs w:val="17"/>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6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2021</w:t>
            </w:r>
          </w:p>
        </w:tc>
        <w:tc>
          <w:tcPr>
            <w:tcW w:w="16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60" w:type="dxa"/>
            <w:vAlign w:val="bottom"/>
          </w:tcPr>
          <w:p>
            <w:pPr>
              <w:spacing w:after="0"/>
              <w:rPr>
                <w:sz w:val="17"/>
                <w:szCs w:val="17"/>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6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160" w:type="dxa"/>
            <w:vAlign w:val="bottom"/>
          </w:tcPr>
          <w:p>
            <w:pPr>
              <w:spacing w:after="0"/>
              <w:rPr>
                <w:sz w:val="17"/>
                <w:szCs w:val="17"/>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Dec. 31, 2021</w:t>
            </w:r>
          </w:p>
        </w:tc>
        <w:tc>
          <w:tcPr>
            <w:tcW w:w="0" w:type="dxa"/>
            <w:vAlign w:val="bottom"/>
          </w:tcPr>
          <w:p>
            <w:pPr>
              <w:spacing w:after="0"/>
              <w:rPr>
                <w:sz w:val="1"/>
                <w:szCs w:val="1"/>
                <w:color w:val="auto"/>
              </w:rPr>
            </w:pPr>
          </w:p>
        </w:tc>
      </w:tr>
      <w:tr>
        <w:trPr>
          <w:trHeight w:val="196"/>
        </w:trPr>
        <w:tc>
          <w:tcPr>
            <w:tcW w:w="52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Target Federal Funds Rate:</w:t>
            </w:r>
          </w:p>
        </w:tc>
        <w:tc>
          <w:tcPr>
            <w:tcW w:w="16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536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Target Federal Funds Rate - Upper Band</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0.25%</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0.25%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0.50%</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6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210"/>
        </w:trPr>
        <w:tc>
          <w:tcPr>
            <w:tcW w:w="53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SOFR:</w:t>
            </w: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536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SOFR Rate</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0.01%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0.05%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0.05%</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0.05%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0.29%</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w:t>
            </w:r>
          </w:p>
        </w:tc>
        <w:tc>
          <w:tcPr>
            <w:tcW w:w="6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210"/>
        </w:trPr>
        <w:tc>
          <w:tcPr>
            <w:tcW w:w="53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SOFR Interest Rate Swap Rate:</w:t>
            </w: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536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2-Year Swap</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0.12%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0.24%</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0.74%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2.28%</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+154</w:t>
            </w:r>
          </w:p>
        </w:tc>
        <w:tc>
          <w:tcPr>
            <w:tcW w:w="6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210"/>
        </w:trPr>
        <w:tc>
          <w:tcPr>
            <w:tcW w:w="536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5-Year Swap</w:t>
            </w: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0.82%</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0.75%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0.83%</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1.12%</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2.25%</w:t>
            </w: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+113</w:t>
            </w:r>
          </w:p>
        </w:tc>
        <w:tc>
          <w:tcPr>
            <w:tcW w:w="6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195"/>
        </w:trPr>
        <w:tc>
          <w:tcPr>
            <w:tcW w:w="536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10-Year Swap</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1.52%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1.26%</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1.32%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2.13%</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+81</w:t>
            </w:r>
          </w:p>
        </w:tc>
        <w:tc>
          <w:tcPr>
            <w:tcW w:w="6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210"/>
        </w:trPr>
        <w:tc>
          <w:tcPr>
            <w:tcW w:w="536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30-Year Swap</w:t>
            </w: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1.92%</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1.50%</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1.52%</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1.46%</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1.97%</w:t>
            </w: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+51</w:t>
            </w:r>
          </w:p>
        </w:tc>
        <w:tc>
          <w:tcPr>
            <w:tcW w:w="6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196"/>
        </w:trPr>
        <w:tc>
          <w:tcPr>
            <w:tcW w:w="53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U.S. Treasury Security Rate:</w:t>
            </w: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536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2-Year U.S. Treasury</w:t>
            </w: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0.16%</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0.25%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0.28%</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0.73%</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2.34%</w:t>
            </w: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+161</w:t>
            </w:r>
          </w:p>
        </w:tc>
        <w:tc>
          <w:tcPr>
            <w:tcW w:w="6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195"/>
        </w:trPr>
        <w:tc>
          <w:tcPr>
            <w:tcW w:w="536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5-Year U.S. Treasury</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0.94%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0.89%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0.97%</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1.26%</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2.46%</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+120</w:t>
            </w:r>
          </w:p>
        </w:tc>
        <w:tc>
          <w:tcPr>
            <w:tcW w:w="6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210"/>
        </w:trPr>
        <w:tc>
          <w:tcPr>
            <w:tcW w:w="536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10-Year U.S. Treasury</w:t>
            </w: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1.74%</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1.47%</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1.49%</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1.51%</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2.34%</w:t>
            </w: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+83</w:t>
            </w:r>
          </w:p>
        </w:tc>
        <w:tc>
          <w:tcPr>
            <w:tcW w:w="6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195"/>
        </w:trPr>
        <w:tc>
          <w:tcPr>
            <w:tcW w:w="536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30-Year U.S. Treasury</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2.41%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2.09%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2.05%</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1.90%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2.45%</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+55</w:t>
            </w:r>
          </w:p>
        </w:tc>
        <w:tc>
          <w:tcPr>
            <w:tcW w:w="6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210"/>
        </w:trPr>
        <w:tc>
          <w:tcPr>
            <w:tcW w:w="53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30-Year Fixed Rate Agency Price:</w:t>
            </w: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520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2.0%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$99.70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$101.09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$100.21</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$99.79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$92.84</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w w:val="99"/>
              </w:rPr>
              <w:t>-$6.95</w:t>
            </w:r>
          </w:p>
        </w:tc>
        <w:tc>
          <w:tcPr>
            <w:tcW w:w="0" w:type="dxa"/>
            <w:vAlign w:val="bottom"/>
          </w:tcPr>
          <w:p>
            <w:pPr>
              <w:spacing w:after="0"/>
              <w:rPr>
                <w:sz w:val="1"/>
                <w:szCs w:val="1"/>
                <w:color w:val="auto"/>
              </w:rPr>
            </w:pPr>
          </w:p>
        </w:tc>
      </w:tr>
      <w:tr>
        <w:trPr>
          <w:trHeight w:val="210"/>
        </w:trPr>
        <w:tc>
          <w:tcPr>
            <w:tcW w:w="52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2.5%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$102.55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$103.48</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$103.04</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$102.12</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$95.45</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-$6.67</w:t>
            </w:r>
          </w:p>
        </w:tc>
        <w:tc>
          <w:tcPr>
            <w:tcW w:w="0" w:type="dxa"/>
            <w:vAlign w:val="bottom"/>
          </w:tcPr>
          <w:p>
            <w:pPr>
              <w:spacing w:after="0"/>
              <w:rPr>
                <w:sz w:val="1"/>
                <w:szCs w:val="1"/>
                <w:color w:val="auto"/>
              </w:rPr>
            </w:pPr>
          </w:p>
        </w:tc>
      </w:tr>
      <w:tr>
        <w:trPr>
          <w:trHeight w:val="195"/>
        </w:trPr>
        <w:tc>
          <w:tcPr>
            <w:tcW w:w="520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3.0%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$104.13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$104.27</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$104.61</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$103.68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$97.86</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w w:val="99"/>
              </w:rPr>
              <w:t>-$5.82</w:t>
            </w:r>
          </w:p>
        </w:tc>
        <w:tc>
          <w:tcPr>
            <w:tcW w:w="0" w:type="dxa"/>
            <w:vAlign w:val="bottom"/>
          </w:tcPr>
          <w:p>
            <w:pPr>
              <w:spacing w:after="0"/>
              <w:rPr>
                <w:sz w:val="1"/>
                <w:szCs w:val="1"/>
                <w:color w:val="auto"/>
              </w:rPr>
            </w:pPr>
          </w:p>
        </w:tc>
      </w:tr>
      <w:tr>
        <w:trPr>
          <w:trHeight w:val="210"/>
        </w:trPr>
        <w:tc>
          <w:tcPr>
            <w:tcW w:w="52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3.5%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$105.63</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$105.28</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$105.80</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$105.32</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$100.21</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-$5.11</w:t>
            </w:r>
          </w:p>
        </w:tc>
        <w:tc>
          <w:tcPr>
            <w:tcW w:w="0" w:type="dxa"/>
            <w:vAlign w:val="bottom"/>
          </w:tcPr>
          <w:p>
            <w:pPr>
              <w:spacing w:after="0"/>
              <w:rPr>
                <w:sz w:val="1"/>
                <w:szCs w:val="1"/>
                <w:color w:val="auto"/>
              </w:rPr>
            </w:pPr>
          </w:p>
        </w:tc>
      </w:tr>
      <w:tr>
        <w:trPr>
          <w:trHeight w:val="195"/>
        </w:trPr>
        <w:tc>
          <w:tcPr>
            <w:tcW w:w="520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4.0%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$107.31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$106.53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$107.13</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$106.44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$102.10</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w w:val="99"/>
              </w:rPr>
              <w:t>-$4.34</w:t>
            </w:r>
          </w:p>
        </w:tc>
        <w:tc>
          <w:tcPr>
            <w:tcW w:w="0" w:type="dxa"/>
            <w:vAlign w:val="bottom"/>
          </w:tcPr>
          <w:p>
            <w:pPr>
              <w:spacing w:after="0"/>
              <w:rPr>
                <w:sz w:val="1"/>
                <w:szCs w:val="1"/>
                <w:color w:val="auto"/>
              </w:rPr>
            </w:pPr>
          </w:p>
        </w:tc>
      </w:tr>
      <w:tr>
        <w:trPr>
          <w:trHeight w:val="210"/>
        </w:trPr>
        <w:tc>
          <w:tcPr>
            <w:tcW w:w="52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4.5%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$108.91</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$107.66</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$108.13</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$107.19</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$103.73</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-$3.46</w:t>
            </w:r>
          </w:p>
        </w:tc>
        <w:tc>
          <w:tcPr>
            <w:tcW w:w="0" w:type="dxa"/>
            <w:vAlign w:val="bottom"/>
          </w:tcPr>
          <w:p>
            <w:pPr>
              <w:spacing w:after="0"/>
              <w:rPr>
                <w:sz w:val="1"/>
                <w:szCs w:val="1"/>
                <w:color w:val="auto"/>
              </w:rPr>
            </w:pPr>
          </w:p>
        </w:tc>
      </w:tr>
      <w:tr>
        <w:trPr>
          <w:trHeight w:val="196"/>
        </w:trPr>
        <w:tc>
          <w:tcPr>
            <w:tcW w:w="53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15-Year Fixed Rate Agency Price:</w:t>
            </w: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6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52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1.5%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$100.40</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$101.23</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$100.95</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$100.33</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$94.81</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-$5.52</w:t>
            </w:r>
          </w:p>
        </w:tc>
        <w:tc>
          <w:tcPr>
            <w:tcW w:w="0" w:type="dxa"/>
            <w:vAlign w:val="bottom"/>
          </w:tcPr>
          <w:p>
            <w:pPr>
              <w:spacing w:after="0"/>
              <w:rPr>
                <w:sz w:val="1"/>
                <w:szCs w:val="1"/>
                <w:color w:val="auto"/>
              </w:rPr>
            </w:pPr>
          </w:p>
        </w:tc>
      </w:tr>
      <w:tr>
        <w:trPr>
          <w:trHeight w:val="195"/>
        </w:trPr>
        <w:tc>
          <w:tcPr>
            <w:tcW w:w="520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2.0%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$102.61</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$103.19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$102.96</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$102.45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8"/>
              </w:rPr>
              <w:t>$97.11</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w w:val="99"/>
              </w:rPr>
              <w:t>-$5.34</w:t>
            </w:r>
          </w:p>
        </w:tc>
        <w:tc>
          <w:tcPr>
            <w:tcW w:w="0" w:type="dxa"/>
            <w:vAlign w:val="bottom"/>
          </w:tcPr>
          <w:p>
            <w:pPr>
              <w:spacing w:after="0"/>
              <w:rPr>
                <w:sz w:val="1"/>
                <w:szCs w:val="1"/>
                <w:color w:val="auto"/>
              </w:rPr>
            </w:pPr>
          </w:p>
        </w:tc>
      </w:tr>
      <w:tr>
        <w:trPr>
          <w:trHeight w:val="210"/>
        </w:trPr>
        <w:tc>
          <w:tcPr>
            <w:tcW w:w="52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2.5%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$104.06</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$104.29</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$104.16</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$103.45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$98.83</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-$4.62</w:t>
            </w:r>
          </w:p>
        </w:tc>
        <w:tc>
          <w:tcPr>
            <w:tcW w:w="0" w:type="dxa"/>
            <w:vAlign w:val="bottom"/>
          </w:tcPr>
          <w:p>
            <w:pPr>
              <w:spacing w:after="0"/>
              <w:rPr>
                <w:sz w:val="1"/>
                <w:szCs w:val="1"/>
                <w:color w:val="auto"/>
              </w:rPr>
            </w:pPr>
          </w:p>
        </w:tc>
      </w:tr>
      <w:tr>
        <w:trPr>
          <w:trHeight w:val="195"/>
        </w:trPr>
        <w:tc>
          <w:tcPr>
            <w:tcW w:w="520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3.0%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$105.59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$105.05</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$105.14</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$104.59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$100.70</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w w:val="99"/>
              </w:rPr>
              <w:t>-$3.89</w:t>
            </w:r>
          </w:p>
        </w:tc>
        <w:tc>
          <w:tcPr>
            <w:tcW w:w="0" w:type="dxa"/>
            <w:vAlign w:val="bottom"/>
          </w:tcPr>
          <w:p>
            <w:pPr>
              <w:spacing w:after="0"/>
              <w:rPr>
                <w:sz w:val="1"/>
                <w:szCs w:val="1"/>
                <w:color w:val="auto"/>
              </w:rPr>
            </w:pPr>
          </w:p>
        </w:tc>
      </w:tr>
      <w:tr>
        <w:trPr>
          <w:trHeight w:val="210"/>
        </w:trPr>
        <w:tc>
          <w:tcPr>
            <w:tcW w:w="5200" w:type="dxa"/>
            <w:vAlign w:val="bottom"/>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3.5%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$106.69</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$106.83</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$106.56</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$105.52</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$101.97</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-$3.55</w:t>
            </w:r>
          </w:p>
        </w:tc>
        <w:tc>
          <w:tcPr>
            <w:tcW w:w="0" w:type="dxa"/>
            <w:vAlign w:val="bottom"/>
          </w:tcPr>
          <w:p>
            <w:pPr>
              <w:spacing w:after="0"/>
              <w:rPr>
                <w:sz w:val="1"/>
                <w:szCs w:val="1"/>
                <w:color w:val="auto"/>
              </w:rPr>
            </w:pPr>
          </w:p>
        </w:tc>
      </w:tr>
      <w:tr>
        <w:trPr>
          <w:trHeight w:val="188"/>
        </w:trPr>
        <w:tc>
          <w:tcPr>
            <w:tcW w:w="5200" w:type="dxa"/>
            <w:vAlign w:val="bottom"/>
          </w:tcPr>
          <w:p>
            <w:pPr>
              <w:ind w:left="180"/>
              <w:spacing w:after="0"/>
              <w:rPr>
                <w:sz w:val="20"/>
                <w:szCs w:val="20"/>
                <w:color w:val="auto"/>
              </w:rPr>
            </w:pPr>
            <w:r>
              <w:rPr>
                <w:rFonts w:ascii="Times New Roman" w:cs="Times New Roman" w:eastAsia="Times New Roman" w:hAnsi="Times New Roman"/>
                <w:sz w:val="14"/>
                <w:szCs w:val="14"/>
                <w:color w:val="auto"/>
              </w:rPr>
              <w:t>4.0%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$106.34</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$106.19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$106.06</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$105.47</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$102.50</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w w:val="99"/>
              </w:rPr>
              <w:t>-$2.97</w:t>
            </w:r>
          </w:p>
        </w:tc>
        <w:tc>
          <w:tcPr>
            <w:tcW w:w="0" w:type="dxa"/>
            <w:vAlign w:val="bottom"/>
          </w:tcPr>
          <w:p>
            <w:pPr>
              <w:spacing w:after="0"/>
              <w:rPr>
                <w:sz w:val="1"/>
                <w:szCs w:val="1"/>
                <w:color w:val="auto"/>
              </w:rPr>
            </w:pPr>
          </w:p>
        </w:tc>
      </w:tr>
    </w:tbl>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line="281" w:lineRule="auto"/>
        <w:tabs>
          <w:tab w:leader="none" w:pos="660" w:val="left"/>
        </w:tabs>
        <w:numPr>
          <w:ilvl w:val="0"/>
          <w:numId w:val="1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Price information is for generic instruments only and is not reflective of our specific portfolio holdings. Price information is as of 3:00 p.m. (EST) on such date and can vary by source. Prices in the table above were obtained from Barclays. Interest rates were obtained from Bloomberg.</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26" w:name="page27"/>
    <w:bookmarkEnd w:id="26"/>
    <w:p>
      <w:pPr>
        <w:ind w:left="420"/>
        <w:spacing w:after="0"/>
        <w:rPr>
          <w:sz w:val="20"/>
          <w:szCs w:val="20"/>
          <w:color w:val="auto"/>
        </w:rPr>
      </w:pPr>
      <w:r>
        <w:rPr>
          <w:rFonts w:ascii="Times New Roman" w:cs="Times New Roman" w:eastAsia="Times New Roman" w:hAnsi="Times New Roman"/>
          <w:sz w:val="18"/>
          <w:szCs w:val="18"/>
          <w:color w:val="auto"/>
        </w:rPr>
        <w:t>The following table summarizes mortgage rates and credit spreads as of each date presented below:</w:t>
      </w:r>
    </w:p>
    <w:p>
      <w:pPr>
        <w:spacing w:after="0" w:line="193"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2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9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Mar. 31,</w:t>
            </w:r>
          </w:p>
        </w:tc>
        <w:tc>
          <w:tcPr>
            <w:tcW w:w="920" w:type="dxa"/>
            <w:vAlign w:val="bottom"/>
            <w:gridSpan w:val="2"/>
            <w:vMerge w:val="restart"/>
          </w:tcPr>
          <w:p>
            <w:pPr>
              <w:ind w:left="120"/>
              <w:spacing w:after="0"/>
              <w:rPr>
                <w:sz w:val="20"/>
                <w:szCs w:val="20"/>
                <w:color w:val="auto"/>
              </w:rPr>
            </w:pPr>
            <w:r>
              <w:rPr>
                <w:rFonts w:ascii="Times New Roman" w:cs="Times New Roman" w:eastAsia="Times New Roman" w:hAnsi="Times New Roman"/>
                <w:sz w:val="14"/>
                <w:szCs w:val="14"/>
                <w:b w:val="1"/>
                <w:bCs w:val="1"/>
                <w:color w:val="auto"/>
              </w:rPr>
              <w:t>June 30,</w:t>
            </w:r>
          </w:p>
        </w:tc>
        <w:tc>
          <w:tcPr>
            <w:tcW w:w="9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Sept. 30,</w:t>
            </w:r>
          </w:p>
        </w:tc>
        <w:tc>
          <w:tcPr>
            <w:tcW w:w="960" w:type="dxa"/>
            <w:vAlign w:val="bottom"/>
            <w:gridSpan w:val="2"/>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Dec. 31,</w:t>
            </w:r>
          </w:p>
        </w:tc>
        <w:tc>
          <w:tcPr>
            <w:tcW w:w="940" w:type="dxa"/>
            <w:vAlign w:val="bottom"/>
            <w:gridSpan w:val="2"/>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Mar. 31,</w:t>
            </w: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Mar. 31, 2022</w:t>
            </w:r>
          </w:p>
        </w:tc>
        <w:tc>
          <w:tcPr>
            <w:tcW w:w="0" w:type="dxa"/>
            <w:vAlign w:val="bottom"/>
          </w:tcPr>
          <w:p>
            <w:pPr>
              <w:spacing w:after="0"/>
              <w:rPr>
                <w:sz w:val="1"/>
                <w:szCs w:val="1"/>
                <w:color w:val="auto"/>
              </w:rPr>
            </w:pPr>
          </w:p>
        </w:tc>
      </w:tr>
      <w:tr>
        <w:trPr>
          <w:trHeight w:val="146"/>
        </w:trPr>
        <w:tc>
          <w:tcPr>
            <w:tcW w:w="5380" w:type="dxa"/>
            <w:vAlign w:val="bottom"/>
            <w:gridSpan w:val="2"/>
            <w:vMerge w:val="restart"/>
          </w:tcPr>
          <w:p>
            <w:pPr>
              <w:ind w:left="1700"/>
              <w:spacing w:after="0"/>
              <w:rPr>
                <w:sz w:val="20"/>
                <w:szCs w:val="20"/>
                <w:color w:val="auto"/>
              </w:rPr>
            </w:pPr>
            <w:r>
              <w:rPr>
                <w:rFonts w:ascii="Times New Roman" w:cs="Times New Roman" w:eastAsia="Times New Roman" w:hAnsi="Times New Roman"/>
                <w:sz w:val="14"/>
                <w:szCs w:val="14"/>
                <w:b w:val="1"/>
                <w:bCs w:val="1"/>
                <w:color w:val="auto"/>
              </w:rPr>
              <w:t>Mortgage Rate/Credit Spread</w:t>
            </w:r>
          </w:p>
        </w:tc>
        <w:tc>
          <w:tcPr>
            <w:tcW w:w="940" w:type="dxa"/>
            <w:vAlign w:val="bottom"/>
            <w:gridSpan w:val="2"/>
            <w:vMerge w:val="continue"/>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960" w:type="dxa"/>
            <w:vAlign w:val="bottom"/>
            <w:gridSpan w:val="2"/>
            <w:vMerge w:val="continue"/>
          </w:tcPr>
          <w:p>
            <w:pPr>
              <w:spacing w:after="0"/>
              <w:rPr>
                <w:sz w:val="12"/>
                <w:szCs w:val="12"/>
                <w:color w:val="auto"/>
              </w:rPr>
            </w:pPr>
          </w:p>
        </w:tc>
        <w:tc>
          <w:tcPr>
            <w:tcW w:w="940" w:type="dxa"/>
            <w:vAlign w:val="bottom"/>
            <w:gridSpan w:val="2"/>
            <w:vMerge w:val="continue"/>
          </w:tcPr>
          <w:p>
            <w:pPr>
              <w:spacing w:after="0"/>
              <w:rPr>
                <w:sz w:val="12"/>
                <w:szCs w:val="12"/>
                <w:color w:val="auto"/>
              </w:rPr>
            </w:pPr>
          </w:p>
        </w:tc>
        <w:tc>
          <w:tcPr>
            <w:tcW w:w="520" w:type="dxa"/>
            <w:vAlign w:val="bottom"/>
          </w:tcPr>
          <w:p>
            <w:pPr>
              <w:spacing w:after="0"/>
              <w:rPr>
                <w:sz w:val="12"/>
                <w:szCs w:val="12"/>
                <w:color w:val="auto"/>
              </w:rPr>
            </w:pPr>
          </w:p>
        </w:tc>
        <w:tc>
          <w:tcPr>
            <w:tcW w:w="640" w:type="dxa"/>
            <w:vAlign w:val="bottom"/>
          </w:tcPr>
          <w:p>
            <w:pPr>
              <w:jc w:val="center"/>
              <w:ind w:right="448"/>
              <w:spacing w:after="0" w:line="146" w:lineRule="exact"/>
              <w:rPr>
                <w:sz w:val="20"/>
                <w:szCs w:val="20"/>
                <w:color w:val="auto"/>
              </w:rPr>
            </w:pPr>
            <w:r>
              <w:rPr>
                <w:rFonts w:ascii="Times New Roman" w:cs="Times New Roman" w:eastAsia="Times New Roman" w:hAnsi="Times New Roman"/>
                <w:sz w:val="14"/>
                <w:szCs w:val="14"/>
                <w:b w:val="1"/>
                <w:bCs w:val="1"/>
                <w:color w:val="auto"/>
                <w:w w:val="96"/>
              </w:rPr>
              <w:t>vs</w:t>
            </w:r>
          </w:p>
        </w:tc>
        <w:tc>
          <w:tcPr>
            <w:tcW w:w="0" w:type="dxa"/>
            <w:vAlign w:val="bottom"/>
          </w:tcPr>
          <w:p>
            <w:pPr>
              <w:spacing w:after="0"/>
              <w:rPr>
                <w:sz w:val="1"/>
                <w:szCs w:val="1"/>
                <w:color w:val="auto"/>
              </w:rPr>
            </w:pPr>
          </w:p>
        </w:tc>
      </w:tr>
      <w:tr>
        <w:trPr>
          <w:trHeight w:val="198"/>
        </w:trPr>
        <w:tc>
          <w:tcPr>
            <w:tcW w:w="5380" w:type="dxa"/>
            <w:vAlign w:val="bottom"/>
            <w:gridSpan w:val="2"/>
            <w:vMerge w:val="continue"/>
          </w:tcPr>
          <w:p>
            <w:pPr>
              <w:spacing w:after="0"/>
              <w:rPr>
                <w:sz w:val="17"/>
                <w:szCs w:val="17"/>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60" w:type="dxa"/>
            <w:vAlign w:val="bottom"/>
          </w:tcPr>
          <w:p>
            <w:pPr>
              <w:spacing w:after="0"/>
              <w:rPr>
                <w:sz w:val="17"/>
                <w:szCs w:val="17"/>
                <w:color w:val="auto"/>
              </w:rPr>
            </w:pPr>
          </w:p>
        </w:tc>
        <w:tc>
          <w:tcPr>
            <w:tcW w:w="7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6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60" w:type="dxa"/>
            <w:vAlign w:val="bottom"/>
          </w:tcPr>
          <w:p>
            <w:pPr>
              <w:spacing w:after="0"/>
              <w:rPr>
                <w:sz w:val="17"/>
                <w:szCs w:val="17"/>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2021</w:t>
            </w:r>
          </w:p>
        </w:tc>
        <w:tc>
          <w:tcPr>
            <w:tcW w:w="160" w:type="dxa"/>
            <w:vAlign w:val="bottom"/>
          </w:tcPr>
          <w:p>
            <w:pPr>
              <w:spacing w:after="0"/>
              <w:rPr>
                <w:sz w:val="17"/>
                <w:szCs w:val="17"/>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160" w:type="dxa"/>
            <w:vAlign w:val="bottom"/>
          </w:tcPr>
          <w:p>
            <w:pPr>
              <w:spacing w:after="0"/>
              <w:rPr>
                <w:sz w:val="17"/>
                <w:szCs w:val="17"/>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Dec. 31, 2021</w:t>
            </w:r>
          </w:p>
        </w:tc>
        <w:tc>
          <w:tcPr>
            <w:tcW w:w="0" w:type="dxa"/>
            <w:vAlign w:val="bottom"/>
          </w:tcPr>
          <w:p>
            <w:pPr>
              <w:spacing w:after="0"/>
              <w:rPr>
                <w:sz w:val="1"/>
                <w:szCs w:val="1"/>
                <w:color w:val="auto"/>
              </w:rPr>
            </w:pPr>
          </w:p>
        </w:tc>
      </w:tr>
      <w:tr>
        <w:trPr>
          <w:trHeight w:val="201"/>
        </w:trPr>
        <w:tc>
          <w:tcPr>
            <w:tcW w:w="5220" w:type="dxa"/>
            <w:vAlign w:val="bottom"/>
            <w:tcBorders>
              <w:top w:val="single" w:sz="8" w:color="auto"/>
            </w:tcBorders>
            <w:shd w:val="clear" w:color="auto" w:fill="CCEEFF"/>
          </w:tcPr>
          <w:p>
            <w:pPr>
              <w:ind w:left="20"/>
              <w:spacing w:after="0" w:line="201" w:lineRule="exact"/>
              <w:rPr>
                <w:sz w:val="20"/>
                <w:szCs w:val="20"/>
                <w:color w:val="auto"/>
              </w:rPr>
            </w:pPr>
            <w:r>
              <w:rPr>
                <w:rFonts w:ascii="Times New Roman" w:cs="Times New Roman" w:eastAsia="Times New Roman" w:hAnsi="Times New Roman"/>
                <w:sz w:val="14"/>
                <w:szCs w:val="14"/>
                <w:b w:val="1"/>
                <w:bCs w:val="1"/>
                <w:color w:val="auto"/>
              </w:rPr>
              <w:t xml:space="preserve">Mortgage Rate: </w:t>
            </w:r>
            <w:r>
              <w:rPr>
                <w:rFonts w:ascii="Times New Roman" w:cs="Times New Roman" w:eastAsia="Times New Roman" w:hAnsi="Times New Roman"/>
                <w:sz w:val="18"/>
                <w:szCs w:val="18"/>
                <w:b w:val="1"/>
                <w:bCs w:val="1"/>
                <w:color w:val="auto"/>
                <w:vertAlign w:val="superscript"/>
              </w:rPr>
              <w:t>1</w:t>
            </w:r>
          </w:p>
        </w:tc>
        <w:tc>
          <w:tcPr>
            <w:tcW w:w="16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6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80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64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538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30-Year Mortgage Rate</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3.27%</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3.13%</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3.18%</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3.27%</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4.90%</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+163</w:t>
            </w:r>
          </w:p>
        </w:tc>
        <w:tc>
          <w:tcPr>
            <w:tcW w:w="6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210"/>
        </w:trPr>
        <w:tc>
          <w:tcPr>
            <w:tcW w:w="538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30-Year Agency Current Coupon</w:t>
            </w: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2.04%</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1.83%</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1.97%</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2.07%</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3.49%</w:t>
            </w: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+142</w:t>
            </w:r>
          </w:p>
        </w:tc>
        <w:tc>
          <w:tcPr>
            <w:tcW w:w="640" w:type="dxa"/>
            <w:vAlign w:val="bottom"/>
            <w:shd w:val="clear" w:color="auto" w:fill="CCEEFF"/>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195"/>
        </w:trPr>
        <w:tc>
          <w:tcPr>
            <w:tcW w:w="538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30-Year Primary to Secondary Spread</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1.23%</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1.30%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1.21%</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1.20%</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1.41%</w:t>
            </w:r>
          </w:p>
        </w:tc>
        <w:tc>
          <w:tcPr>
            <w:tcW w:w="160" w:type="dxa"/>
            <w:vAlign w:val="bottom"/>
          </w:tcPr>
          <w:p>
            <w:pPr>
              <w:spacing w:after="0"/>
              <w:rPr>
                <w:sz w:val="16"/>
                <w:szCs w:val="16"/>
                <w:color w:val="auto"/>
              </w:rPr>
            </w:pPr>
          </w:p>
        </w:tc>
        <w:tc>
          <w:tcPr>
            <w:tcW w:w="5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+21</w:t>
            </w:r>
          </w:p>
        </w:tc>
        <w:tc>
          <w:tcPr>
            <w:tcW w:w="640" w:type="dxa"/>
            <w:vAlign w:val="bottom"/>
          </w:tcPr>
          <w:p>
            <w:pPr>
              <w:ind w:left="80"/>
              <w:spacing w:after="0"/>
              <w:rPr>
                <w:sz w:val="20"/>
                <w:szCs w:val="20"/>
                <w:color w:val="auto"/>
              </w:rPr>
            </w:pPr>
            <w:r>
              <w:rPr>
                <w:rFonts w:ascii="Times New Roman" w:cs="Times New Roman" w:eastAsia="Times New Roman" w:hAnsi="Times New Roman"/>
                <w:sz w:val="14"/>
                <w:szCs w:val="14"/>
                <w:color w:val="auto"/>
              </w:rPr>
              <w:t>bps</w:t>
            </w:r>
          </w:p>
        </w:tc>
        <w:tc>
          <w:tcPr>
            <w:tcW w:w="0" w:type="dxa"/>
            <w:vAlign w:val="bottom"/>
          </w:tcPr>
          <w:p>
            <w:pPr>
              <w:spacing w:after="0"/>
              <w:rPr>
                <w:sz w:val="1"/>
                <w:szCs w:val="1"/>
                <w:color w:val="auto"/>
              </w:rPr>
            </w:pPr>
          </w:p>
        </w:tc>
      </w:tr>
      <w:tr>
        <w:trPr>
          <w:trHeight w:val="210"/>
        </w:trPr>
        <w:tc>
          <w:tcPr>
            <w:tcW w:w="53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 xml:space="preserve">Credit Spread (in bps): </w:t>
            </w:r>
            <w:r>
              <w:rPr>
                <w:rFonts w:ascii="Times New Roman" w:cs="Times New Roman" w:eastAsia="Times New Roman" w:hAnsi="Times New Roman"/>
                <w:sz w:val="18"/>
                <w:szCs w:val="18"/>
                <w:b w:val="1"/>
                <w:bCs w:val="1"/>
                <w:color w:val="auto"/>
                <w:vertAlign w:val="superscript"/>
              </w:rPr>
              <w:t>2</w:t>
            </w: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538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CRT M2</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235</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179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171</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5"/>
              </w:rPr>
              <w:t>182</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319</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w w:val="96"/>
              </w:rPr>
              <w:t>+137</w:t>
            </w:r>
          </w:p>
        </w:tc>
        <w:tc>
          <w:tcPr>
            <w:tcW w:w="0" w:type="dxa"/>
            <w:vAlign w:val="bottom"/>
          </w:tcPr>
          <w:p>
            <w:pPr>
              <w:spacing w:after="0"/>
              <w:rPr>
                <w:sz w:val="1"/>
                <w:szCs w:val="1"/>
                <w:color w:val="auto"/>
              </w:rPr>
            </w:pPr>
          </w:p>
        </w:tc>
      </w:tr>
      <w:tr>
        <w:trPr>
          <w:trHeight w:val="210"/>
        </w:trPr>
        <w:tc>
          <w:tcPr>
            <w:tcW w:w="538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CMBS AAA</w:t>
            </w: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69</w:t>
            </w:r>
          </w:p>
        </w:tc>
        <w:tc>
          <w:tcPr>
            <w:tcW w:w="160" w:type="dxa"/>
            <w:vAlign w:val="bottom"/>
            <w:shd w:val="clear" w:color="auto" w:fill="CCEEFF"/>
          </w:tcPr>
          <w:p>
            <w:pPr>
              <w:spacing w:after="0"/>
              <w:rPr>
                <w:sz w:val="18"/>
                <w:szCs w:val="18"/>
                <w:color w:val="auto"/>
              </w:rPr>
            </w:pPr>
          </w:p>
        </w:tc>
        <w:tc>
          <w:tcPr>
            <w:tcW w:w="7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65</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66</w:t>
            </w:r>
          </w:p>
        </w:tc>
        <w:tc>
          <w:tcPr>
            <w:tcW w:w="160" w:type="dxa"/>
            <w:vAlign w:val="bottom"/>
            <w:shd w:val="clear" w:color="auto" w:fill="CCEEFF"/>
          </w:tcPr>
          <w:p>
            <w:pPr>
              <w:spacing w:after="0"/>
              <w:rPr>
                <w:sz w:val="18"/>
                <w:szCs w:val="18"/>
                <w:color w:val="auto"/>
              </w:rPr>
            </w:pPr>
          </w:p>
        </w:tc>
        <w:tc>
          <w:tcPr>
            <w:tcW w:w="8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68</w:t>
            </w:r>
          </w:p>
        </w:tc>
        <w:tc>
          <w:tcPr>
            <w:tcW w:w="160" w:type="dxa"/>
            <w:vAlign w:val="bottom"/>
            <w:shd w:val="clear" w:color="auto" w:fill="CCEEFF"/>
          </w:tcPr>
          <w:p>
            <w:pPr>
              <w:spacing w:after="0"/>
              <w:rPr>
                <w:sz w:val="18"/>
                <w:szCs w:val="18"/>
                <w:color w:val="auto"/>
              </w:rPr>
            </w:pPr>
          </w:p>
        </w:tc>
        <w:tc>
          <w:tcPr>
            <w:tcW w:w="7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96</w:t>
            </w:r>
          </w:p>
        </w:tc>
        <w:tc>
          <w:tcPr>
            <w:tcW w:w="1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+28</w:t>
            </w:r>
          </w:p>
        </w:tc>
        <w:tc>
          <w:tcPr>
            <w:tcW w:w="0" w:type="dxa"/>
            <w:vAlign w:val="bottom"/>
          </w:tcPr>
          <w:p>
            <w:pPr>
              <w:spacing w:after="0"/>
              <w:rPr>
                <w:sz w:val="1"/>
                <w:szCs w:val="1"/>
                <w:color w:val="auto"/>
              </w:rPr>
            </w:pPr>
          </w:p>
        </w:tc>
      </w:tr>
      <w:tr>
        <w:trPr>
          <w:trHeight w:val="188"/>
        </w:trPr>
        <w:tc>
          <w:tcPr>
            <w:tcW w:w="538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CDX IG</w:t>
            </w: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54</w:t>
            </w:r>
          </w:p>
        </w:tc>
        <w:tc>
          <w:tcPr>
            <w:tcW w:w="160" w:type="dxa"/>
            <w:vAlign w:val="bottom"/>
          </w:tcPr>
          <w:p>
            <w:pPr>
              <w:spacing w:after="0"/>
              <w:rPr>
                <w:sz w:val="16"/>
                <w:szCs w:val="16"/>
                <w:color w:val="auto"/>
              </w:rPr>
            </w:pPr>
          </w:p>
        </w:tc>
        <w:tc>
          <w:tcPr>
            <w:tcW w:w="7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48</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53</w:t>
            </w:r>
          </w:p>
        </w:tc>
        <w:tc>
          <w:tcPr>
            <w:tcW w:w="160" w:type="dxa"/>
            <w:vAlign w:val="bottom"/>
          </w:tcPr>
          <w:p>
            <w:pPr>
              <w:spacing w:after="0"/>
              <w:rPr>
                <w:sz w:val="16"/>
                <w:szCs w:val="16"/>
                <w:color w:val="auto"/>
              </w:rPr>
            </w:pPr>
          </w:p>
        </w:tc>
        <w:tc>
          <w:tcPr>
            <w:tcW w:w="8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49</w:t>
            </w:r>
          </w:p>
        </w:tc>
        <w:tc>
          <w:tcPr>
            <w:tcW w:w="160" w:type="dxa"/>
            <w:vAlign w:val="bottom"/>
          </w:tcPr>
          <w:p>
            <w:pPr>
              <w:spacing w:after="0"/>
              <w:rPr>
                <w:sz w:val="16"/>
                <w:szCs w:val="16"/>
                <w:color w:val="auto"/>
              </w:rPr>
            </w:pPr>
          </w:p>
        </w:tc>
        <w:tc>
          <w:tcPr>
            <w:tcW w:w="78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67</w:t>
            </w:r>
          </w:p>
        </w:tc>
        <w:tc>
          <w:tcPr>
            <w:tcW w:w="160" w:type="dxa"/>
            <w:vAlign w:val="bottom"/>
          </w:tcPr>
          <w:p>
            <w:pPr>
              <w:spacing w:after="0"/>
              <w:rPr>
                <w:sz w:val="16"/>
                <w:szCs w:val="16"/>
                <w:color w:val="auto"/>
              </w:rPr>
            </w:pPr>
          </w:p>
        </w:tc>
        <w:tc>
          <w:tcPr>
            <w:tcW w:w="1160" w:type="dxa"/>
            <w:vAlign w:val="bottom"/>
            <w:gridSpan w:val="2"/>
          </w:tcPr>
          <w:p>
            <w:pPr>
              <w:jc w:val="center"/>
              <w:spacing w:after="0"/>
              <w:rPr>
                <w:sz w:val="20"/>
                <w:szCs w:val="20"/>
                <w:color w:val="auto"/>
              </w:rPr>
            </w:pPr>
            <w:r>
              <w:rPr>
                <w:rFonts w:ascii="Times New Roman" w:cs="Times New Roman" w:eastAsia="Times New Roman" w:hAnsi="Times New Roman"/>
                <w:sz w:val="14"/>
                <w:szCs w:val="14"/>
                <w:color w:val="auto"/>
              </w:rPr>
              <w:t>+18</w:t>
            </w:r>
          </w:p>
        </w:tc>
        <w:tc>
          <w:tcPr>
            <w:tcW w:w="0" w:type="dxa"/>
            <w:vAlign w:val="bottom"/>
          </w:tcPr>
          <w:p>
            <w:pPr>
              <w:spacing w:after="0"/>
              <w:rPr>
                <w:sz w:val="1"/>
                <w:szCs w:val="1"/>
                <w:color w:val="auto"/>
              </w:rPr>
            </w:pPr>
          </w:p>
        </w:tc>
      </w:tr>
    </w:tbl>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67" w:lineRule="exact"/>
        <w:rPr>
          <w:sz w:val="20"/>
          <w:szCs w:val="20"/>
          <w:color w:val="auto"/>
        </w:rPr>
      </w:pPr>
    </w:p>
    <w:p>
      <w:pPr>
        <w:ind w:left="660" w:right="20" w:hanging="328"/>
        <w:spacing w:after="0" w:line="261" w:lineRule="auto"/>
        <w:tabs>
          <w:tab w:leader="none" w:pos="660" w:val="left"/>
        </w:tabs>
        <w:numPr>
          <w:ilvl w:val="0"/>
          <w:numId w:val="2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30-Year Mortgage rates are sourced from Bloomberg; 30-Year Current Coupon rates represent current coupon rates for new production Agency RMBS sourced from Bloomberg; and the 30-Year Primary to Secondary Spreads represent the 30-Year Mortgage Rate and 30-Year Agency Current Coupon rate spread differential as of each date.</w:t>
      </w:r>
    </w:p>
    <w:p>
      <w:pPr>
        <w:ind w:left="660" w:hanging="328"/>
        <w:spacing w:after="0" w:line="283" w:lineRule="auto"/>
        <w:tabs>
          <w:tab w:leader="none" w:pos="660" w:val="left"/>
        </w:tabs>
        <w:numPr>
          <w:ilvl w:val="0"/>
          <w:numId w:val="2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CRT and CMBS spreads are averages of JP Morgan, Bank of America and Wells Fargo. CRT spreads are discount margins. CMBS spreads are spreads to the swap curve. CDX spreads are sourced from JP Morgan.</w:t>
      </w: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27" w:name="page28"/>
    <w:bookmarkEnd w:id="27"/>
    <w:p>
      <w:pPr>
        <w:spacing w:after="0"/>
        <w:rPr>
          <w:sz w:val="20"/>
          <w:szCs w:val="20"/>
          <w:color w:val="auto"/>
        </w:rPr>
      </w:pPr>
      <w:r>
        <w:rPr>
          <w:rFonts w:ascii="Times New Roman" w:cs="Times New Roman" w:eastAsia="Times New Roman" w:hAnsi="Times New Roman"/>
          <w:sz w:val="18"/>
          <w:szCs w:val="18"/>
          <w:b w:val="1"/>
          <w:bCs w:val="1"/>
          <w:color w:val="auto"/>
        </w:rPr>
        <w:t>FINANCIAL CONDITION</w:t>
      </w:r>
    </w:p>
    <w:p>
      <w:pPr>
        <w:spacing w:after="0" w:line="175"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As of March 31, 2022 and December 31, 2021, our investment portfolio totaled $68.6 billion and $82.0 billion, respectively, consisting of: $49.1 billion and $54.4 billion investment securities, at fair value, respectively; $19.5 billion and $27.1 billion net TBA securities, at fair value, respectively; and as of December 31, 2021, $0.4 billion forward settling non-Agency securities, at fair value. The following table is a summary of our investment portfolio as of March 31, 2022 and December 31, 2021 (dollars in millions):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33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00" w:type="dxa"/>
            <w:vAlign w:val="bottom"/>
            <w:gridSpan w:val="4"/>
          </w:tcPr>
          <w:p>
            <w:pPr>
              <w:ind w:left="22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920" w:type="dxa"/>
            <w:vAlign w:val="bottom"/>
            <w:gridSpan w:val="4"/>
          </w:tcPr>
          <w:p>
            <w:pPr>
              <w:ind w:left="12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3360" w:type="dxa"/>
            <w:vAlign w:val="bottom"/>
          </w:tcPr>
          <w:p>
            <w:pPr>
              <w:spacing w:after="0"/>
              <w:rPr>
                <w:sz w:val="2"/>
                <w:szCs w:val="2"/>
                <w:color w:val="auto"/>
              </w:rPr>
            </w:pPr>
          </w:p>
        </w:tc>
        <w:tc>
          <w:tcPr>
            <w:tcW w:w="160" w:type="dxa"/>
            <w:vAlign w:val="bottom"/>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gridSpan w:val="2"/>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60" w:type="dxa"/>
            <w:vAlign w:val="bottom"/>
            <w:tcBorders>
              <w:bottom w:val="single" w:sz="8" w:color="auto"/>
            </w:tcBorders>
            <w:gridSpan w:val="2"/>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gridSpan w:val="2"/>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31"/>
        </w:trPr>
        <w:tc>
          <w:tcPr>
            <w:tcW w:w="35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Investment Portfolio (Includes TBAs)</w:t>
            </w:r>
          </w:p>
        </w:tc>
        <w:tc>
          <w:tcPr>
            <w:tcW w:w="120" w:type="dxa"/>
            <w:vAlign w:val="bottom"/>
          </w:tcPr>
          <w:p>
            <w:pPr>
              <w:spacing w:after="0"/>
              <w:rPr>
                <w:sz w:val="11"/>
                <w:szCs w:val="11"/>
                <w:color w:val="auto"/>
              </w:rPr>
            </w:pPr>
          </w:p>
        </w:tc>
        <w:tc>
          <w:tcPr>
            <w:tcW w:w="960" w:type="dxa"/>
            <w:vAlign w:val="bottom"/>
            <w:gridSpan w:val="2"/>
          </w:tcPr>
          <w:p>
            <w:pPr>
              <w:jc w:val="center"/>
              <w:ind w:right="220"/>
              <w:spacing w:after="0" w:line="131" w:lineRule="exact"/>
              <w:rPr>
                <w:sz w:val="20"/>
                <w:szCs w:val="20"/>
                <w:color w:val="auto"/>
              </w:rPr>
            </w:pPr>
            <w:r>
              <w:rPr>
                <w:rFonts w:ascii="Times New Roman" w:cs="Times New Roman" w:eastAsia="Times New Roman" w:hAnsi="Times New Roman"/>
                <w:sz w:val="14"/>
                <w:szCs w:val="14"/>
                <w:b w:val="1"/>
                <w:bCs w:val="1"/>
                <w:color w:val="auto"/>
              </w:rPr>
              <w:t>Amortized</w:t>
            </w:r>
          </w:p>
        </w:tc>
        <w:tc>
          <w:tcPr>
            <w:tcW w:w="100" w:type="dxa"/>
            <w:vAlign w:val="bottom"/>
          </w:tcPr>
          <w:p>
            <w:pPr>
              <w:spacing w:after="0"/>
              <w:rPr>
                <w:sz w:val="11"/>
                <w:szCs w:val="11"/>
                <w:color w:val="auto"/>
              </w:rPr>
            </w:pPr>
          </w:p>
        </w:tc>
        <w:tc>
          <w:tcPr>
            <w:tcW w:w="8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060" w:type="dxa"/>
            <w:vAlign w:val="bottom"/>
            <w:gridSpan w:val="2"/>
          </w:tcPr>
          <w:p>
            <w:pPr>
              <w:ind w:left="240"/>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680" w:type="dxa"/>
            <w:vAlign w:val="bottom"/>
            <w:vMerge w:val="restart"/>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rPr>
              <w:t>%</w:t>
            </w:r>
          </w:p>
        </w:tc>
        <w:tc>
          <w:tcPr>
            <w:tcW w:w="16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960" w:type="dxa"/>
            <w:vAlign w:val="bottom"/>
            <w:gridSpan w:val="2"/>
          </w:tcPr>
          <w:p>
            <w:pPr>
              <w:jc w:val="center"/>
              <w:ind w:right="240"/>
              <w:spacing w:after="0" w:line="131" w:lineRule="exact"/>
              <w:rPr>
                <w:sz w:val="20"/>
                <w:szCs w:val="20"/>
                <w:color w:val="auto"/>
              </w:rPr>
            </w:pPr>
            <w:r>
              <w:rPr>
                <w:rFonts w:ascii="Times New Roman" w:cs="Times New Roman" w:eastAsia="Times New Roman" w:hAnsi="Times New Roman"/>
                <w:sz w:val="14"/>
                <w:szCs w:val="14"/>
                <w:b w:val="1"/>
                <w:bCs w:val="1"/>
                <w:color w:val="auto"/>
              </w:rPr>
              <w:t>Amortized</w:t>
            </w:r>
          </w:p>
        </w:tc>
        <w:tc>
          <w:tcPr>
            <w:tcW w:w="100" w:type="dxa"/>
            <w:vAlign w:val="bottom"/>
          </w:tcPr>
          <w:p>
            <w:pPr>
              <w:spacing w:after="0"/>
              <w:rPr>
                <w:sz w:val="11"/>
                <w:szCs w:val="11"/>
                <w:color w:val="auto"/>
              </w:rPr>
            </w:pPr>
          </w:p>
        </w:tc>
        <w:tc>
          <w:tcPr>
            <w:tcW w:w="8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1080" w:type="dxa"/>
            <w:vAlign w:val="bottom"/>
            <w:gridSpan w:val="2"/>
          </w:tcPr>
          <w:p>
            <w:pPr>
              <w:ind w:left="240"/>
              <w:spacing w:after="0" w:line="131" w:lineRule="exact"/>
              <w:rPr>
                <w:sz w:val="20"/>
                <w:szCs w:val="20"/>
                <w:color w:val="auto"/>
              </w:rPr>
            </w:pPr>
            <w:r>
              <w:rPr>
                <w:rFonts w:ascii="Times New Roman" w:cs="Times New Roman" w:eastAsia="Times New Roman" w:hAnsi="Times New Roman"/>
                <w:sz w:val="14"/>
                <w:szCs w:val="14"/>
                <w:b w:val="1"/>
                <w:bCs w:val="1"/>
                <w:color w:val="auto"/>
              </w:rPr>
              <w:t>Average</w:t>
            </w:r>
          </w:p>
        </w:tc>
        <w:tc>
          <w:tcPr>
            <w:tcW w:w="680" w:type="dxa"/>
            <w:vAlign w:val="bottom"/>
            <w:vMerge w:val="restart"/>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rPr>
              <w:t>%</w:t>
            </w:r>
          </w:p>
        </w:tc>
        <w:tc>
          <w:tcPr>
            <w:tcW w:w="0" w:type="dxa"/>
            <w:vAlign w:val="bottom"/>
          </w:tcPr>
          <w:p>
            <w:pPr>
              <w:spacing w:after="0"/>
              <w:rPr>
                <w:sz w:val="1"/>
                <w:szCs w:val="1"/>
                <w:color w:val="auto"/>
              </w:rPr>
            </w:pPr>
          </w:p>
        </w:tc>
      </w:tr>
      <w:tr>
        <w:trPr>
          <w:trHeight w:val="195"/>
        </w:trPr>
        <w:tc>
          <w:tcPr>
            <w:tcW w:w="3520" w:type="dxa"/>
            <w:vAlign w:val="bottom"/>
            <w:gridSpan w:val="2"/>
            <w:vMerge w:val="continue"/>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60" w:type="dxa"/>
            <w:vAlign w:val="bottom"/>
            <w:gridSpan w:val="2"/>
          </w:tcPr>
          <w:p>
            <w:pPr>
              <w:ind w:left="240"/>
              <w:spacing w:after="0"/>
              <w:rPr>
                <w:sz w:val="20"/>
                <w:szCs w:val="20"/>
                <w:color w:val="auto"/>
              </w:rPr>
            </w:pPr>
            <w:r>
              <w:rPr>
                <w:rFonts w:ascii="Times New Roman" w:cs="Times New Roman" w:eastAsia="Times New Roman" w:hAnsi="Times New Roman"/>
                <w:sz w:val="14"/>
                <w:szCs w:val="14"/>
                <w:b w:val="1"/>
                <w:bCs w:val="1"/>
                <w:color w:val="auto"/>
              </w:rPr>
              <w:t>Coupon</w:t>
            </w:r>
          </w:p>
        </w:tc>
        <w:tc>
          <w:tcPr>
            <w:tcW w:w="680" w:type="dxa"/>
            <w:vAlign w:val="bottom"/>
            <w:vMerge w:val="continue"/>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96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Cost</w:t>
            </w:r>
          </w:p>
        </w:tc>
        <w:tc>
          <w:tcPr>
            <w:tcW w:w="100" w:type="dxa"/>
            <w:vAlign w:val="bottom"/>
          </w:tcPr>
          <w:p>
            <w:pPr>
              <w:spacing w:after="0"/>
              <w:rPr>
                <w:sz w:val="16"/>
                <w:szCs w:val="16"/>
                <w:color w:val="auto"/>
              </w:rPr>
            </w:pPr>
          </w:p>
        </w:tc>
        <w:tc>
          <w:tcPr>
            <w:tcW w:w="840" w:type="dxa"/>
            <w:vAlign w:val="bottom"/>
            <w:gridSpan w:val="2"/>
            <w:vMerge w:val="continue"/>
          </w:tcPr>
          <w:p>
            <w:pPr>
              <w:spacing w:after="0"/>
              <w:rPr>
                <w:sz w:val="16"/>
                <w:szCs w:val="16"/>
                <w:color w:val="auto"/>
              </w:rPr>
            </w:pPr>
          </w:p>
        </w:tc>
        <w:tc>
          <w:tcPr>
            <w:tcW w:w="1080" w:type="dxa"/>
            <w:vAlign w:val="bottom"/>
            <w:gridSpan w:val="2"/>
          </w:tcPr>
          <w:p>
            <w:pPr>
              <w:ind w:left="240"/>
              <w:spacing w:after="0"/>
              <w:rPr>
                <w:sz w:val="20"/>
                <w:szCs w:val="20"/>
                <w:color w:val="auto"/>
              </w:rPr>
            </w:pPr>
            <w:r>
              <w:rPr>
                <w:rFonts w:ascii="Times New Roman" w:cs="Times New Roman" w:eastAsia="Times New Roman" w:hAnsi="Times New Roman"/>
                <w:sz w:val="14"/>
                <w:szCs w:val="14"/>
                <w:b w:val="1"/>
                <w:bCs w:val="1"/>
                <w:color w:val="auto"/>
              </w:rPr>
              <w:t>Coupon</w:t>
            </w:r>
          </w:p>
        </w:tc>
        <w:tc>
          <w:tcPr>
            <w:tcW w:w="6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33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Fixed rate Agency RMBS and TBA securities:</w:t>
            </w:r>
          </w:p>
        </w:tc>
        <w:tc>
          <w:tcPr>
            <w:tcW w:w="16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3520" w:type="dxa"/>
            <w:vAlign w:val="bottom"/>
            <w:gridSpan w:val="2"/>
          </w:tcPr>
          <w:p>
            <w:pPr>
              <w:ind w:left="140"/>
              <w:spacing w:after="0"/>
              <w:rPr>
                <w:sz w:val="20"/>
                <w:szCs w:val="20"/>
                <w:color w:val="auto"/>
              </w:rPr>
            </w:pPr>
            <w:r>
              <w:rPr>
                <w:rFonts w:ascii="Times New Roman" w:cs="Times New Roman" w:eastAsia="Times New Roman" w:hAnsi="Times New Roman"/>
                <w:sz w:val="14"/>
                <w:szCs w:val="14"/>
                <w:color w:val="auto"/>
              </w:rPr>
              <w:t>≤ 15-year:</w:t>
            </w: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3520" w:type="dxa"/>
            <w:vAlign w:val="bottom"/>
            <w:gridSpan w:val="2"/>
            <w:shd w:val="clear" w:color="auto" w:fill="CCEEFF"/>
          </w:tcPr>
          <w:p>
            <w:pPr>
              <w:ind w:left="300"/>
              <w:spacing w:after="0"/>
              <w:rPr>
                <w:sz w:val="20"/>
                <w:szCs w:val="20"/>
                <w:color w:val="auto"/>
              </w:rPr>
            </w:pPr>
            <w:r>
              <w:rPr>
                <w:rFonts w:ascii="Times New Roman" w:cs="Times New Roman" w:eastAsia="Times New Roman" w:hAnsi="Times New Roman"/>
                <w:sz w:val="14"/>
                <w:szCs w:val="14"/>
                <w:color w:val="auto"/>
              </w:rPr>
              <w:t>≤ 15-year RMBS</w:t>
            </w: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2,140</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2,128</w:t>
            </w: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3.27 %</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w:t>
            </w: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2,570</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2,652</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3.27 %</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w:t>
            </w:r>
          </w:p>
        </w:tc>
        <w:tc>
          <w:tcPr>
            <w:tcW w:w="0" w:type="dxa"/>
            <w:vAlign w:val="bottom"/>
          </w:tcPr>
          <w:p>
            <w:pPr>
              <w:spacing w:after="0"/>
              <w:rPr>
                <w:sz w:val="1"/>
                <w:szCs w:val="1"/>
                <w:color w:val="auto"/>
              </w:rPr>
            </w:pPr>
          </w:p>
        </w:tc>
      </w:tr>
      <w:tr>
        <w:trPr>
          <w:trHeight w:val="203"/>
        </w:trPr>
        <w:tc>
          <w:tcPr>
            <w:tcW w:w="3520" w:type="dxa"/>
            <w:vAlign w:val="bottom"/>
            <w:gridSpan w:val="2"/>
          </w:tcPr>
          <w:p>
            <w:pPr>
              <w:ind w:left="260"/>
              <w:spacing w:after="0" w:line="202" w:lineRule="exact"/>
              <w:rPr>
                <w:sz w:val="20"/>
                <w:szCs w:val="20"/>
                <w:color w:val="auto"/>
              </w:rPr>
            </w:pPr>
            <w:r>
              <w:rPr>
                <w:rFonts w:ascii="Times New Roman" w:cs="Times New Roman" w:eastAsia="Times New Roman" w:hAnsi="Times New Roman"/>
                <w:sz w:val="14"/>
                <w:szCs w:val="14"/>
                <w:color w:val="auto"/>
              </w:rPr>
              <w:t xml:space="preserve">15-year TBA securities, net </w:t>
            </w:r>
            <w:r>
              <w:rPr>
                <w:rFonts w:ascii="Times New Roman" w:cs="Times New Roman" w:eastAsia="Times New Roman" w:hAnsi="Times New Roman"/>
                <w:sz w:val="18"/>
                <w:szCs w:val="18"/>
                <w:color w:val="auto"/>
                <w:vertAlign w:val="superscript"/>
              </w:rPr>
              <w:t>1</w:t>
            </w:r>
          </w:p>
        </w:tc>
        <w:tc>
          <w:tcPr>
            <w:tcW w:w="1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246</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242</w:t>
            </w:r>
          </w:p>
        </w:tc>
        <w:tc>
          <w:tcPr>
            <w:tcW w:w="100" w:type="dxa"/>
            <w:vAlign w:val="bottom"/>
          </w:tcPr>
          <w:p>
            <w:pPr>
              <w:spacing w:after="0"/>
              <w:rPr>
                <w:sz w:val="17"/>
                <w:szCs w:val="17"/>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3.24 %</w:t>
            </w:r>
          </w:p>
        </w:tc>
        <w:tc>
          <w:tcPr>
            <w:tcW w:w="100" w:type="dxa"/>
            <w:vAlign w:val="bottom"/>
          </w:tcPr>
          <w:p>
            <w:pPr>
              <w:spacing w:after="0"/>
              <w:rPr>
                <w:sz w:val="17"/>
                <w:szCs w:val="17"/>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 %</w:t>
            </w:r>
          </w:p>
        </w:tc>
        <w:tc>
          <w:tcPr>
            <w:tcW w:w="140" w:type="dxa"/>
            <w:vAlign w:val="bottom"/>
          </w:tcPr>
          <w:p>
            <w:pPr>
              <w:spacing w:after="0"/>
              <w:rPr>
                <w:sz w:val="17"/>
                <w:szCs w:val="17"/>
                <w:color w:val="auto"/>
              </w:rPr>
            </w:pPr>
          </w:p>
        </w:tc>
        <w:tc>
          <w:tcPr>
            <w:tcW w:w="8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2,056</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2,059</w:t>
            </w:r>
          </w:p>
        </w:tc>
        <w:tc>
          <w:tcPr>
            <w:tcW w:w="10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1.71 %</w:t>
            </w:r>
          </w:p>
        </w:tc>
        <w:tc>
          <w:tcPr>
            <w:tcW w:w="10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3 %</w:t>
            </w:r>
          </w:p>
        </w:tc>
        <w:tc>
          <w:tcPr>
            <w:tcW w:w="0" w:type="dxa"/>
            <w:vAlign w:val="bottom"/>
          </w:tcPr>
          <w:p>
            <w:pPr>
              <w:spacing w:after="0"/>
              <w:rPr>
                <w:sz w:val="1"/>
                <w:szCs w:val="1"/>
                <w:color w:val="auto"/>
              </w:rPr>
            </w:pPr>
          </w:p>
        </w:tc>
      </w:tr>
      <w:tr>
        <w:trPr>
          <w:trHeight w:val="196"/>
        </w:trPr>
        <w:tc>
          <w:tcPr>
            <w:tcW w:w="3520" w:type="dxa"/>
            <w:vAlign w:val="bottom"/>
            <w:tcBorders>
              <w:top w:val="single" w:sz="8" w:color="CCEEFF"/>
            </w:tcBorders>
            <w:gridSpan w:val="2"/>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Total ≤ 15-year</w:t>
            </w:r>
          </w:p>
        </w:tc>
        <w:tc>
          <w:tcPr>
            <w:tcW w:w="1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2,386</w:t>
            </w:r>
          </w:p>
        </w:tc>
        <w:tc>
          <w:tcPr>
            <w:tcW w:w="1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2,370</w:t>
            </w:r>
          </w:p>
        </w:tc>
        <w:tc>
          <w:tcPr>
            <w:tcW w:w="10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3.27 %</w:t>
            </w:r>
          </w:p>
        </w:tc>
        <w:tc>
          <w:tcPr>
            <w:tcW w:w="1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3 %</w:t>
            </w:r>
          </w:p>
        </w:tc>
        <w:tc>
          <w:tcPr>
            <w:tcW w:w="1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spacing w:after="0"/>
              <w:rPr>
                <w:sz w:val="17"/>
                <w:szCs w:val="17"/>
                <w:color w:val="auto"/>
              </w:rPr>
            </w:pPr>
          </w:p>
        </w:tc>
        <w:tc>
          <w:tcPr>
            <w:tcW w:w="86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4,626</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tcBorders>
            <w:shd w:val="clear" w:color="auto" w:fill="CCEEFF"/>
          </w:tcPr>
          <w:p>
            <w:pPr>
              <w:spacing w:after="0"/>
              <w:rPr>
                <w:sz w:val="17"/>
                <w:szCs w:val="17"/>
                <w:color w:val="auto"/>
              </w:rPr>
            </w:pP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4,711</w:t>
            </w:r>
          </w:p>
        </w:tc>
        <w:tc>
          <w:tcPr>
            <w:tcW w:w="1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2.57 %</w:t>
            </w:r>
          </w:p>
        </w:tc>
        <w:tc>
          <w:tcPr>
            <w:tcW w:w="1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6 %</w:t>
            </w:r>
          </w:p>
        </w:tc>
        <w:tc>
          <w:tcPr>
            <w:tcW w:w="0" w:type="dxa"/>
            <w:vAlign w:val="bottom"/>
          </w:tcPr>
          <w:p>
            <w:pPr>
              <w:spacing w:after="0"/>
              <w:rPr>
                <w:sz w:val="1"/>
                <w:szCs w:val="1"/>
                <w:color w:val="auto"/>
              </w:rPr>
            </w:pPr>
          </w:p>
        </w:tc>
      </w:tr>
      <w:tr>
        <w:trPr>
          <w:trHeight w:val="195"/>
        </w:trPr>
        <w:tc>
          <w:tcPr>
            <w:tcW w:w="352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20-year RMBS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1,868</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1,744</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2.51 %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3 %</w:t>
            </w: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1,948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1,942</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2.52 %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2 %</w:t>
            </w:r>
          </w:p>
        </w:tc>
        <w:tc>
          <w:tcPr>
            <w:tcW w:w="0" w:type="dxa"/>
            <w:vAlign w:val="bottom"/>
          </w:tcPr>
          <w:p>
            <w:pPr>
              <w:spacing w:after="0"/>
              <w:rPr>
                <w:sz w:val="1"/>
                <w:szCs w:val="1"/>
                <w:color w:val="auto"/>
              </w:rPr>
            </w:pPr>
          </w:p>
        </w:tc>
      </w:tr>
      <w:tr>
        <w:trPr>
          <w:trHeight w:val="210"/>
        </w:trPr>
        <w:tc>
          <w:tcPr>
            <w:tcW w:w="352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30-year:</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352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30-year RMBS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45,312</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43,252</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3.10 %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63 %</w:t>
            </w: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47,028</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47,695</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3.04 %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58 %</w:t>
            </w:r>
          </w:p>
        </w:tc>
        <w:tc>
          <w:tcPr>
            <w:tcW w:w="0" w:type="dxa"/>
            <w:vAlign w:val="bottom"/>
          </w:tcPr>
          <w:p>
            <w:pPr>
              <w:spacing w:after="0"/>
              <w:rPr>
                <w:sz w:val="1"/>
                <w:szCs w:val="1"/>
                <w:color w:val="auto"/>
              </w:rPr>
            </w:pPr>
          </w:p>
        </w:tc>
      </w:tr>
      <w:tr>
        <w:trPr>
          <w:trHeight w:val="210"/>
        </w:trPr>
        <w:tc>
          <w:tcPr>
            <w:tcW w:w="352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 xml:space="preserve">30-year TBA securities, net </w:t>
            </w:r>
            <w:r>
              <w:rPr>
                <w:rFonts w:ascii="Times New Roman" w:cs="Times New Roman" w:eastAsia="Times New Roman" w:hAnsi="Times New Roman"/>
                <w:sz w:val="18"/>
                <w:szCs w:val="18"/>
                <w:color w:val="auto"/>
                <w:vertAlign w:val="superscript"/>
              </w:rPr>
              <w:t>1</w:t>
            </w:r>
          </w:p>
        </w:tc>
        <w:tc>
          <w:tcPr>
            <w:tcW w:w="120" w:type="dxa"/>
            <w:vAlign w:val="bottom"/>
            <w:tcBorders>
              <w:bottom w:val="single" w:sz="8" w:color="auto"/>
            </w:tcBorders>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19,906</w:t>
            </w:r>
          </w:p>
        </w:tc>
        <w:tc>
          <w:tcPr>
            <w:tcW w:w="12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19,301</w:t>
            </w:r>
          </w:p>
        </w:tc>
        <w:tc>
          <w:tcPr>
            <w:tcW w:w="100" w:type="dxa"/>
            <w:vAlign w:val="bottom"/>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3.48 %</w:t>
            </w:r>
          </w:p>
        </w:tc>
        <w:tc>
          <w:tcPr>
            <w:tcW w:w="10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28 %</w:t>
            </w:r>
          </w:p>
        </w:tc>
        <w:tc>
          <w:tcPr>
            <w:tcW w:w="1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25,128</w:t>
            </w:r>
          </w:p>
        </w:tc>
        <w:tc>
          <w:tcPr>
            <w:tcW w:w="10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25,081</w:t>
            </w:r>
          </w:p>
        </w:tc>
        <w:tc>
          <w:tcPr>
            <w:tcW w:w="100" w:type="dxa"/>
            <w:vAlign w:val="bottom"/>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2.54 %</w:t>
            </w:r>
          </w:p>
        </w:tc>
        <w:tc>
          <w:tcPr>
            <w:tcW w:w="100" w:type="dxa"/>
            <w:vAlign w:val="bottom"/>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31 %</w:t>
            </w:r>
          </w:p>
        </w:tc>
        <w:tc>
          <w:tcPr>
            <w:tcW w:w="0" w:type="dxa"/>
            <w:vAlign w:val="bottom"/>
          </w:tcPr>
          <w:p>
            <w:pPr>
              <w:spacing w:after="0"/>
              <w:rPr>
                <w:sz w:val="1"/>
                <w:szCs w:val="1"/>
                <w:color w:val="auto"/>
              </w:rPr>
            </w:pPr>
          </w:p>
        </w:tc>
      </w:tr>
      <w:tr>
        <w:trPr>
          <w:trHeight w:val="189"/>
        </w:trPr>
        <w:tc>
          <w:tcPr>
            <w:tcW w:w="3520" w:type="dxa"/>
            <w:vAlign w:val="bottom"/>
            <w:tcBorders>
              <w:bottom w:val="single" w:sz="8" w:color="CCEEFF"/>
            </w:tcBorders>
            <w:gridSpan w:val="2"/>
          </w:tcPr>
          <w:p>
            <w:pPr>
              <w:ind w:left="100"/>
              <w:spacing w:after="0"/>
              <w:rPr>
                <w:sz w:val="20"/>
                <w:szCs w:val="20"/>
                <w:color w:val="auto"/>
              </w:rPr>
            </w:pPr>
            <w:r>
              <w:rPr>
                <w:rFonts w:ascii="Times New Roman" w:cs="Times New Roman" w:eastAsia="Times New Roman" w:hAnsi="Times New Roman"/>
                <w:sz w:val="14"/>
                <w:szCs w:val="14"/>
                <w:color w:val="auto"/>
              </w:rPr>
              <w:t>Total 30-year</w:t>
            </w: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65,218</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62,553</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3.21 %</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91 %</w:t>
            </w:r>
          </w:p>
        </w:tc>
        <w:tc>
          <w:tcPr>
            <w:tcW w:w="1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72,156</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72,776</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2.87 %</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89 %</w:t>
            </w:r>
          </w:p>
        </w:tc>
        <w:tc>
          <w:tcPr>
            <w:tcW w:w="0" w:type="dxa"/>
            <w:vAlign w:val="bottom"/>
          </w:tcPr>
          <w:p>
            <w:pPr>
              <w:spacing w:after="0"/>
              <w:rPr>
                <w:sz w:val="1"/>
                <w:szCs w:val="1"/>
                <w:color w:val="auto"/>
              </w:rPr>
            </w:pPr>
          </w:p>
        </w:tc>
      </w:tr>
      <w:tr>
        <w:trPr>
          <w:trHeight w:val="203"/>
        </w:trPr>
        <w:tc>
          <w:tcPr>
            <w:tcW w:w="3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fixed rate Agency RMBS and TBA securities</w:t>
            </w:r>
          </w:p>
        </w:tc>
        <w:tc>
          <w:tcPr>
            <w:tcW w:w="1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69,472</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66,667</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3.20 %</w:t>
            </w:r>
          </w:p>
        </w:tc>
        <w:tc>
          <w:tcPr>
            <w:tcW w:w="100" w:type="dxa"/>
            <w:vAlign w:val="bottom"/>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97 %</w:t>
            </w:r>
          </w:p>
        </w:tc>
        <w:tc>
          <w:tcPr>
            <w:tcW w:w="16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78,730</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79,429</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2.84 %</w:t>
            </w:r>
          </w:p>
        </w:tc>
        <w:tc>
          <w:tcPr>
            <w:tcW w:w="100" w:type="dxa"/>
            <w:vAlign w:val="bottom"/>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97 %</w:t>
            </w:r>
          </w:p>
        </w:tc>
        <w:tc>
          <w:tcPr>
            <w:tcW w:w="0" w:type="dxa"/>
            <w:vAlign w:val="bottom"/>
          </w:tcPr>
          <w:p>
            <w:pPr>
              <w:spacing w:after="0"/>
              <w:rPr>
                <w:sz w:val="1"/>
                <w:szCs w:val="1"/>
                <w:color w:val="auto"/>
              </w:rPr>
            </w:pPr>
          </w:p>
        </w:tc>
      </w:tr>
      <w:tr>
        <w:trPr>
          <w:trHeight w:val="189"/>
        </w:trPr>
        <w:tc>
          <w:tcPr>
            <w:tcW w:w="35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Adjustable rate Agency RMBS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40</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41</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2.32 %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45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2.23 %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0" w:type="dxa"/>
            <w:vAlign w:val="bottom"/>
          </w:tcPr>
          <w:p>
            <w:pPr>
              <w:spacing w:after="0"/>
              <w:rPr>
                <w:sz w:val="1"/>
                <w:szCs w:val="1"/>
                <w:color w:val="auto"/>
              </w:rPr>
            </w:pPr>
          </w:p>
        </w:tc>
      </w:tr>
      <w:tr>
        <w:trPr>
          <w:trHeight w:val="210"/>
        </w:trPr>
        <w:tc>
          <w:tcPr>
            <w:tcW w:w="3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CMO Agency RMBS: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95"/>
        </w:trPr>
        <w:tc>
          <w:tcPr>
            <w:tcW w:w="352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CMO</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166</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166</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3.11 %</w:t>
            </w:r>
          </w:p>
        </w:tc>
        <w:tc>
          <w:tcPr>
            <w:tcW w:w="100" w:type="dxa"/>
            <w:vAlign w:val="bottom"/>
          </w:tcPr>
          <w:p>
            <w:pPr>
              <w:spacing w:after="0"/>
              <w:rPr>
                <w:sz w:val="16"/>
                <w:szCs w:val="16"/>
                <w:color w:val="auto"/>
              </w:rPr>
            </w:pP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 %</w:t>
            </w: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182</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188</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3.12 %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0" w:type="dxa"/>
            <w:vAlign w:val="bottom"/>
          </w:tcPr>
          <w:p>
            <w:pPr>
              <w:spacing w:after="0"/>
              <w:rPr>
                <w:sz w:val="1"/>
                <w:szCs w:val="1"/>
                <w:color w:val="auto"/>
              </w:rPr>
            </w:pPr>
          </w:p>
        </w:tc>
      </w:tr>
      <w:tr>
        <w:trPr>
          <w:trHeight w:val="210"/>
        </w:trPr>
        <w:tc>
          <w:tcPr>
            <w:tcW w:w="3520" w:type="dxa"/>
            <w:vAlign w:val="bottom"/>
            <w:gridSpan w:val="2"/>
            <w:shd w:val="clear" w:color="auto" w:fill="CCEEFF"/>
          </w:tcPr>
          <w:p>
            <w:pPr>
              <w:ind w:left="260"/>
              <w:spacing w:after="0"/>
              <w:rPr>
                <w:sz w:val="20"/>
                <w:szCs w:val="20"/>
                <w:color w:val="auto"/>
              </w:rPr>
            </w:pPr>
            <w:r>
              <w:rPr>
                <w:rFonts w:ascii="Times New Roman" w:cs="Times New Roman" w:eastAsia="Times New Roman" w:hAnsi="Times New Roman"/>
                <w:sz w:val="14"/>
                <w:szCs w:val="14"/>
                <w:color w:val="auto"/>
              </w:rPr>
              <w:t>Interest-only strips</w:t>
            </w: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w:t>
            </w:r>
          </w:p>
        </w:tc>
        <w:tc>
          <w:tcPr>
            <w:tcW w:w="12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5.31 %</w:t>
            </w:r>
          </w:p>
        </w:tc>
        <w:tc>
          <w:tcPr>
            <w:tcW w:w="10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right"/>
              <w:ind w:right="180"/>
              <w:spacing w:after="0"/>
              <w:rPr>
                <w:sz w:val="20"/>
                <w:szCs w:val="20"/>
                <w:color w:val="auto"/>
              </w:rPr>
            </w:pPr>
            <w:r>
              <w:rPr>
                <w:rFonts w:ascii="Times New Roman" w:cs="Times New Roman" w:eastAsia="Times New Roman" w:hAnsi="Times New Roman"/>
                <w:sz w:val="14"/>
                <w:szCs w:val="14"/>
                <w:color w:val="auto"/>
              </w:rPr>
              <w:t>— %</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31</w:t>
            </w:r>
          </w:p>
        </w:tc>
        <w:tc>
          <w:tcPr>
            <w:tcW w:w="1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w:t>
            </w:r>
          </w:p>
        </w:tc>
        <w:tc>
          <w:tcPr>
            <w:tcW w:w="100" w:type="dxa"/>
            <w:vAlign w:val="bottom"/>
            <w:shd w:val="clear" w:color="auto" w:fill="CCEEFF"/>
          </w:tcPr>
          <w:p>
            <w:pPr>
              <w:spacing w:after="0"/>
              <w:rPr>
                <w:sz w:val="18"/>
                <w:szCs w:val="18"/>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5.60 %</w:t>
            </w:r>
          </w:p>
        </w:tc>
        <w:tc>
          <w:tcPr>
            <w:tcW w:w="10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0" w:type="dxa"/>
            <w:vAlign w:val="bottom"/>
          </w:tcPr>
          <w:p>
            <w:pPr>
              <w:spacing w:after="0"/>
              <w:rPr>
                <w:sz w:val="1"/>
                <w:szCs w:val="1"/>
                <w:color w:val="auto"/>
              </w:rPr>
            </w:pPr>
          </w:p>
        </w:tc>
      </w:tr>
      <w:tr>
        <w:trPr>
          <w:trHeight w:val="196"/>
        </w:trPr>
        <w:tc>
          <w:tcPr>
            <w:tcW w:w="352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Principal-only strips</w:t>
            </w:r>
          </w:p>
        </w:tc>
        <w:tc>
          <w:tcPr>
            <w:tcW w:w="1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w:t>
            </w:r>
          </w:p>
        </w:tc>
        <w:tc>
          <w:tcPr>
            <w:tcW w:w="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w:t>
            </w:r>
          </w:p>
        </w:tc>
        <w:tc>
          <w:tcPr>
            <w:tcW w:w="100" w:type="dxa"/>
            <w:vAlign w:val="bottom"/>
          </w:tcPr>
          <w:p>
            <w:pPr>
              <w:spacing w:after="0"/>
              <w:rPr>
                <w:sz w:val="17"/>
                <w:szCs w:val="17"/>
                <w:color w:val="auto"/>
              </w:rPr>
            </w:pPr>
          </w:p>
        </w:tc>
        <w:tc>
          <w:tcPr>
            <w:tcW w:w="106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 %</w:t>
            </w:r>
          </w:p>
        </w:tc>
        <w:tc>
          <w:tcPr>
            <w:tcW w:w="84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 %</w:t>
            </w:r>
          </w:p>
        </w:tc>
        <w:tc>
          <w:tcPr>
            <w:tcW w:w="140" w:type="dxa"/>
            <w:vAlign w:val="bottom"/>
          </w:tcPr>
          <w:p>
            <w:pPr>
              <w:spacing w:after="0"/>
              <w:rPr>
                <w:sz w:val="17"/>
                <w:szCs w:val="17"/>
                <w:color w:val="auto"/>
              </w:rPr>
            </w:pPr>
          </w:p>
        </w:tc>
        <w:tc>
          <w:tcPr>
            <w:tcW w:w="8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39</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43</w:t>
            </w:r>
          </w:p>
        </w:tc>
        <w:tc>
          <w:tcPr>
            <w:tcW w:w="100" w:type="dxa"/>
            <w:vAlign w:val="bottom"/>
          </w:tcPr>
          <w:p>
            <w:pPr>
              <w:spacing w:after="0"/>
              <w:rPr>
                <w:sz w:val="17"/>
                <w:szCs w:val="17"/>
                <w:color w:val="auto"/>
              </w:rPr>
            </w:pPr>
          </w:p>
        </w:tc>
        <w:tc>
          <w:tcPr>
            <w:tcW w:w="1080" w:type="dxa"/>
            <w:vAlign w:val="bottom"/>
            <w:gridSpan w:val="2"/>
          </w:tcPr>
          <w:p>
            <w:pPr>
              <w:jc w:val="right"/>
              <w:ind w:right="120"/>
              <w:spacing w:after="0"/>
              <w:rPr>
                <w:sz w:val="20"/>
                <w:szCs w:val="20"/>
                <w:color w:val="auto"/>
              </w:rPr>
            </w:pPr>
            <w:r>
              <w:rPr>
                <w:rFonts w:ascii="Times New Roman" w:cs="Times New Roman" w:eastAsia="Times New Roman" w:hAnsi="Times New Roman"/>
                <w:sz w:val="14"/>
                <w:szCs w:val="14"/>
                <w:color w:val="auto"/>
              </w:rPr>
              <w:t>— %</w:t>
            </w: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0" w:type="dxa"/>
            <w:vAlign w:val="bottom"/>
          </w:tcPr>
          <w:p>
            <w:pPr>
              <w:spacing w:after="0"/>
              <w:rPr>
                <w:sz w:val="1"/>
                <w:szCs w:val="1"/>
                <w:color w:val="auto"/>
              </w:rPr>
            </w:pPr>
          </w:p>
        </w:tc>
      </w:tr>
      <w:tr>
        <w:trPr>
          <w:trHeight w:val="203"/>
        </w:trPr>
        <w:tc>
          <w:tcPr>
            <w:tcW w:w="352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CMO Agency RMBS</w:t>
            </w: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230</w:t>
            </w:r>
          </w:p>
        </w:tc>
        <w:tc>
          <w:tcPr>
            <w:tcW w:w="12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233</w:t>
            </w:r>
          </w:p>
        </w:tc>
        <w:tc>
          <w:tcPr>
            <w:tcW w:w="10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3.93 %</w:t>
            </w:r>
          </w:p>
        </w:tc>
        <w:tc>
          <w:tcPr>
            <w:tcW w:w="1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16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bottom w:val="single" w:sz="8" w:color="auto"/>
            </w:tcBorders>
            <w:shd w:val="clear" w:color="auto" w:fill="CCEEFF"/>
          </w:tcPr>
          <w:p>
            <w:pPr>
              <w:spacing w:after="0"/>
              <w:rPr>
                <w:sz w:val="17"/>
                <w:szCs w:val="17"/>
                <w:color w:val="auto"/>
              </w:rPr>
            </w:pPr>
          </w:p>
        </w:tc>
        <w:tc>
          <w:tcPr>
            <w:tcW w:w="86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252</w:t>
            </w:r>
          </w:p>
        </w:tc>
        <w:tc>
          <w:tcPr>
            <w:tcW w:w="100" w:type="dxa"/>
            <w:vAlign w:val="bottom"/>
            <w:tcBorders>
              <w:top w:val="single" w:sz="8" w:color="CCEEFF"/>
            </w:tcBorders>
            <w:shd w:val="clear" w:color="auto" w:fill="CCEEFF"/>
          </w:tcPr>
          <w:p>
            <w:pPr>
              <w:spacing w:after="0"/>
              <w:rPr>
                <w:sz w:val="17"/>
                <w:szCs w:val="17"/>
                <w:color w:val="auto"/>
              </w:rPr>
            </w:pPr>
          </w:p>
        </w:tc>
        <w:tc>
          <w:tcPr>
            <w:tcW w:w="100" w:type="dxa"/>
            <w:vAlign w:val="bottom"/>
            <w:tcBorders>
              <w:top w:val="single" w:sz="8" w:color="auto"/>
              <w:bottom w:val="single" w:sz="8" w:color="auto"/>
            </w:tcBorders>
            <w:shd w:val="clear" w:color="auto" w:fill="CCEEFF"/>
          </w:tcPr>
          <w:p>
            <w:pPr>
              <w:spacing w:after="0"/>
              <w:rPr>
                <w:sz w:val="17"/>
                <w:szCs w:val="17"/>
                <w:color w:val="auto"/>
              </w:rPr>
            </w:pP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268</w:t>
            </w:r>
          </w:p>
        </w:tc>
        <w:tc>
          <w:tcPr>
            <w:tcW w:w="100" w:type="dxa"/>
            <w:vAlign w:val="bottom"/>
            <w:tcBorders>
              <w:top w:val="single" w:sz="8" w:color="CCEEFF"/>
            </w:tcBorders>
            <w:shd w:val="clear" w:color="auto" w:fill="CCEEFF"/>
          </w:tcPr>
          <w:p>
            <w:pPr>
              <w:spacing w:after="0"/>
              <w:rPr>
                <w:sz w:val="17"/>
                <w:szCs w:val="17"/>
                <w:color w:val="auto"/>
              </w:rPr>
            </w:pPr>
          </w:p>
        </w:tc>
        <w:tc>
          <w:tcPr>
            <w:tcW w:w="9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4.08 %</w:t>
            </w:r>
          </w:p>
        </w:tc>
        <w:tc>
          <w:tcPr>
            <w:tcW w:w="10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w:t>
            </w:r>
          </w:p>
        </w:tc>
        <w:tc>
          <w:tcPr>
            <w:tcW w:w="0" w:type="dxa"/>
            <w:vAlign w:val="bottom"/>
          </w:tcPr>
          <w:p>
            <w:pPr>
              <w:spacing w:after="0"/>
              <w:rPr>
                <w:sz w:val="1"/>
                <w:szCs w:val="1"/>
                <w:color w:val="auto"/>
              </w:rPr>
            </w:pPr>
          </w:p>
        </w:tc>
      </w:tr>
      <w:tr>
        <w:trPr>
          <w:trHeight w:val="189"/>
        </w:trPr>
        <w:tc>
          <w:tcPr>
            <w:tcW w:w="352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4"/>
                <w:szCs w:val="14"/>
                <w:color w:val="auto"/>
              </w:rPr>
              <w:t>Total Agency RMBS and TBA securities</w:t>
            </w:r>
          </w:p>
        </w:tc>
        <w:tc>
          <w:tcPr>
            <w:tcW w:w="120" w:type="dxa"/>
            <w:vAlign w:val="bottom"/>
            <w:tcBorders>
              <w:bottom w:val="single" w:sz="8" w:color="auto"/>
            </w:tcBorders>
          </w:tcPr>
          <w:p>
            <w:pPr>
              <w:spacing w:after="0"/>
              <w:rPr>
                <w:sz w:val="16"/>
                <w:szCs w:val="16"/>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69,742</w:t>
            </w:r>
          </w:p>
        </w:tc>
        <w:tc>
          <w:tcPr>
            <w:tcW w:w="12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66,941</w:t>
            </w:r>
          </w:p>
        </w:tc>
        <w:tc>
          <w:tcPr>
            <w:tcW w:w="100" w:type="dxa"/>
            <w:vAlign w:val="bottom"/>
            <w:tcBorders>
              <w:bottom w:val="single" w:sz="8" w:color="CCEEFF"/>
            </w:tcBorders>
          </w:tcPr>
          <w:p>
            <w:pPr>
              <w:spacing w:after="0"/>
              <w:rPr>
                <w:sz w:val="16"/>
                <w:szCs w:val="16"/>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3.20 %</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98 %</w:t>
            </w:r>
          </w:p>
        </w:tc>
        <w:tc>
          <w:tcPr>
            <w:tcW w:w="160" w:type="dxa"/>
            <w:vAlign w:val="bottom"/>
            <w:tcBorders>
              <w:bottom w:val="single" w:sz="8" w:color="CCEEFF"/>
            </w:tcBorders>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86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79,027</w:t>
            </w:r>
          </w:p>
        </w:tc>
        <w:tc>
          <w:tcPr>
            <w:tcW w:w="100" w:type="dxa"/>
            <w:vAlign w:val="bottom"/>
            <w:tcBorders>
              <w:bottom w:val="single" w:sz="8" w:color="CCEEFF"/>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79,744</w:t>
            </w:r>
          </w:p>
        </w:tc>
        <w:tc>
          <w:tcPr>
            <w:tcW w:w="100" w:type="dxa"/>
            <w:vAlign w:val="bottom"/>
            <w:tcBorders>
              <w:bottom w:val="single" w:sz="8" w:color="CCEEFF"/>
            </w:tcBorders>
          </w:tcPr>
          <w:p>
            <w:pPr>
              <w:spacing w:after="0"/>
              <w:rPr>
                <w:sz w:val="16"/>
                <w:szCs w:val="16"/>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2.85 %</w:t>
            </w:r>
          </w:p>
        </w:tc>
        <w:tc>
          <w:tcPr>
            <w:tcW w:w="100" w:type="dxa"/>
            <w:vAlign w:val="bottom"/>
            <w:tcBorders>
              <w:bottom w:val="single" w:sz="8" w:color="CCEEFF"/>
            </w:tcBorders>
          </w:tcPr>
          <w:p>
            <w:pPr>
              <w:spacing w:after="0"/>
              <w:rPr>
                <w:sz w:val="16"/>
                <w:szCs w:val="16"/>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98 %</w:t>
            </w:r>
          </w:p>
        </w:tc>
        <w:tc>
          <w:tcPr>
            <w:tcW w:w="0" w:type="dxa"/>
            <w:vAlign w:val="bottom"/>
          </w:tcPr>
          <w:p>
            <w:pPr>
              <w:spacing w:after="0"/>
              <w:rPr>
                <w:sz w:val="1"/>
                <w:szCs w:val="1"/>
                <w:color w:val="auto"/>
              </w:rPr>
            </w:pPr>
          </w:p>
        </w:tc>
      </w:tr>
      <w:tr>
        <w:trPr>
          <w:trHeight w:val="203"/>
        </w:trPr>
        <w:tc>
          <w:tcPr>
            <w:tcW w:w="3520" w:type="dxa"/>
            <w:vAlign w:val="bottom"/>
            <w:gridSpan w:val="2"/>
            <w:shd w:val="clear" w:color="auto" w:fill="CCEEFF"/>
          </w:tcPr>
          <w:p>
            <w:pPr>
              <w:ind w:left="20"/>
              <w:spacing w:after="0" w:line="202" w:lineRule="exact"/>
              <w:rPr>
                <w:sz w:val="20"/>
                <w:szCs w:val="20"/>
                <w:color w:val="auto"/>
              </w:rPr>
            </w:pPr>
            <w:r>
              <w:rPr>
                <w:rFonts w:ascii="Times New Roman" w:cs="Times New Roman" w:eastAsia="Times New Roman" w:hAnsi="Times New Roman"/>
                <w:sz w:val="14"/>
                <w:szCs w:val="14"/>
                <w:color w:val="auto"/>
              </w:rPr>
              <w:t xml:space="preserve">Non-Agency RMBS </w:t>
            </w:r>
            <w:r>
              <w:rPr>
                <w:rFonts w:ascii="Times New Roman" w:cs="Times New Roman" w:eastAsia="Times New Roman" w:hAnsi="Times New Roman"/>
                <w:sz w:val="18"/>
                <w:szCs w:val="18"/>
                <w:color w:val="auto"/>
                <w:vertAlign w:val="superscript"/>
              </w:rPr>
              <w:t>2</w:t>
            </w:r>
          </w:p>
        </w:tc>
        <w:tc>
          <w:tcPr>
            <w:tcW w:w="120" w:type="dxa"/>
            <w:vAlign w:val="bottom"/>
            <w:shd w:val="clear" w:color="auto" w:fill="CCEEFF"/>
          </w:tcPr>
          <w:p>
            <w:pPr>
              <w:spacing w:after="0"/>
              <w:rPr>
                <w:sz w:val="17"/>
                <w:szCs w:val="17"/>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327</w:t>
            </w:r>
          </w:p>
        </w:tc>
        <w:tc>
          <w:tcPr>
            <w:tcW w:w="1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316</w:t>
            </w:r>
          </w:p>
        </w:tc>
        <w:tc>
          <w:tcPr>
            <w:tcW w:w="100" w:type="dxa"/>
            <w:vAlign w:val="bottom"/>
            <w:shd w:val="clear" w:color="auto" w:fill="CCEEFF"/>
          </w:tcPr>
          <w:p>
            <w:pPr>
              <w:spacing w:after="0"/>
              <w:rPr>
                <w:sz w:val="17"/>
                <w:szCs w:val="17"/>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3.39 %</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160" w:type="dxa"/>
            <w:vAlign w:val="bottom"/>
            <w:shd w:val="clear" w:color="auto" w:fill="CCEEFF"/>
          </w:tcPr>
          <w:p>
            <w:pPr>
              <w:spacing w:after="0"/>
              <w:rPr>
                <w:sz w:val="17"/>
                <w:szCs w:val="17"/>
                <w:color w:val="auto"/>
              </w:rPr>
            </w:pPr>
          </w:p>
        </w:tc>
        <w:tc>
          <w:tcPr>
            <w:tcW w:w="140" w:type="dxa"/>
            <w:vAlign w:val="bottom"/>
            <w:shd w:val="clear" w:color="auto" w:fill="CCEEFF"/>
          </w:tcPr>
          <w:p>
            <w:pPr>
              <w:spacing w:after="0"/>
              <w:rPr>
                <w:sz w:val="17"/>
                <w:szCs w:val="17"/>
                <w:color w:val="auto"/>
              </w:rPr>
            </w:pPr>
          </w:p>
        </w:tc>
        <w:tc>
          <w:tcPr>
            <w:tcW w:w="86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763</w:t>
            </w: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767</w:t>
            </w:r>
          </w:p>
        </w:tc>
        <w:tc>
          <w:tcPr>
            <w:tcW w:w="100" w:type="dxa"/>
            <w:vAlign w:val="bottom"/>
            <w:shd w:val="clear" w:color="auto" w:fill="CCEEFF"/>
          </w:tcPr>
          <w:p>
            <w:pPr>
              <w:spacing w:after="0"/>
              <w:rPr>
                <w:sz w:val="17"/>
                <w:szCs w:val="17"/>
                <w:color w:val="auto"/>
              </w:rPr>
            </w:pPr>
          </w:p>
        </w:tc>
        <w:tc>
          <w:tcPr>
            <w:tcW w:w="9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2.85 %</w:t>
            </w:r>
          </w:p>
        </w:tc>
        <w:tc>
          <w:tcPr>
            <w:tcW w:w="10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w:t>
            </w:r>
          </w:p>
        </w:tc>
        <w:tc>
          <w:tcPr>
            <w:tcW w:w="0" w:type="dxa"/>
            <w:vAlign w:val="bottom"/>
          </w:tcPr>
          <w:p>
            <w:pPr>
              <w:spacing w:after="0"/>
              <w:rPr>
                <w:sz w:val="1"/>
                <w:szCs w:val="1"/>
                <w:color w:val="auto"/>
              </w:rPr>
            </w:pPr>
          </w:p>
        </w:tc>
      </w:tr>
      <w:tr>
        <w:trPr>
          <w:trHeight w:val="195"/>
        </w:trPr>
        <w:tc>
          <w:tcPr>
            <w:tcW w:w="35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CMBS</w:t>
            </w: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496</w:t>
            </w:r>
          </w:p>
        </w:tc>
        <w:tc>
          <w:tcPr>
            <w:tcW w:w="1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488</w:t>
            </w:r>
          </w:p>
        </w:tc>
        <w:tc>
          <w:tcPr>
            <w:tcW w:w="100" w:type="dxa"/>
            <w:vAlign w:val="bottom"/>
          </w:tcPr>
          <w:p>
            <w:pPr>
              <w:spacing w:after="0"/>
              <w:rPr>
                <w:sz w:val="16"/>
                <w:szCs w:val="16"/>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3.76 %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1 %</w:t>
            </w:r>
          </w:p>
        </w:tc>
        <w:tc>
          <w:tcPr>
            <w:tcW w:w="1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8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505</w:t>
            </w: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514</w:t>
            </w:r>
          </w:p>
        </w:tc>
        <w:tc>
          <w:tcPr>
            <w:tcW w:w="100" w:type="dxa"/>
            <w:vAlign w:val="bottom"/>
          </w:tcPr>
          <w:p>
            <w:pPr>
              <w:spacing w:after="0"/>
              <w:rPr>
                <w:sz w:val="16"/>
                <w:szCs w:val="16"/>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3.60 %</w:t>
            </w:r>
          </w:p>
        </w:tc>
        <w:tc>
          <w:tcPr>
            <w:tcW w:w="100" w:type="dxa"/>
            <w:vAlign w:val="bottom"/>
          </w:tcPr>
          <w:p>
            <w:pPr>
              <w:spacing w:after="0"/>
              <w:rPr>
                <w:sz w:val="16"/>
                <w:szCs w:val="16"/>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1 %</w:t>
            </w:r>
          </w:p>
        </w:tc>
        <w:tc>
          <w:tcPr>
            <w:tcW w:w="0" w:type="dxa"/>
            <w:vAlign w:val="bottom"/>
          </w:tcPr>
          <w:p>
            <w:pPr>
              <w:spacing w:after="0"/>
              <w:rPr>
                <w:sz w:val="1"/>
                <w:szCs w:val="1"/>
                <w:color w:val="auto"/>
              </w:rPr>
            </w:pPr>
          </w:p>
        </w:tc>
      </w:tr>
      <w:tr>
        <w:trPr>
          <w:trHeight w:val="203"/>
        </w:trPr>
        <w:tc>
          <w:tcPr>
            <w:tcW w:w="35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CRT</w:t>
            </w:r>
          </w:p>
        </w:tc>
        <w:tc>
          <w:tcPr>
            <w:tcW w:w="120" w:type="dxa"/>
            <w:vAlign w:val="bottom"/>
            <w:tcBorders>
              <w:bottom w:val="single" w:sz="8" w:color="auto"/>
            </w:tcBorders>
            <w:shd w:val="clear" w:color="auto" w:fill="CCEEFF"/>
          </w:tcPr>
          <w:p>
            <w:pPr>
              <w:spacing w:after="0"/>
              <w:rPr>
                <w:sz w:val="17"/>
                <w:szCs w:val="17"/>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903</w:t>
            </w:r>
          </w:p>
        </w:tc>
        <w:tc>
          <w:tcPr>
            <w:tcW w:w="12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885</w:t>
            </w:r>
          </w:p>
        </w:tc>
        <w:tc>
          <w:tcPr>
            <w:tcW w:w="100" w:type="dxa"/>
            <w:vAlign w:val="bottom"/>
            <w:shd w:val="clear" w:color="auto" w:fill="CCEEFF"/>
          </w:tcPr>
          <w:p>
            <w:pPr>
              <w:spacing w:after="0"/>
              <w:rPr>
                <w:sz w:val="17"/>
                <w:szCs w:val="17"/>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4.23 %</w:t>
            </w:r>
          </w:p>
        </w:tc>
        <w:tc>
          <w:tcPr>
            <w:tcW w:w="100" w:type="dxa"/>
            <w:vAlign w:val="bottom"/>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w:t>
            </w:r>
          </w:p>
        </w:tc>
        <w:tc>
          <w:tcPr>
            <w:tcW w:w="160" w:type="dxa"/>
            <w:vAlign w:val="bottom"/>
            <w:shd w:val="clear" w:color="auto" w:fill="CCEEFF"/>
          </w:tcPr>
          <w:p>
            <w:pPr>
              <w:spacing w:after="0"/>
              <w:rPr>
                <w:sz w:val="17"/>
                <w:szCs w:val="17"/>
                <w:color w:val="auto"/>
              </w:rPr>
            </w:pPr>
          </w:p>
        </w:tc>
        <w:tc>
          <w:tcPr>
            <w:tcW w:w="140" w:type="dxa"/>
            <w:vAlign w:val="bottom"/>
            <w:tcBorders>
              <w:bottom w:val="single" w:sz="8" w:color="auto"/>
            </w:tcBorders>
            <w:shd w:val="clear" w:color="auto" w:fill="CCEEFF"/>
          </w:tcPr>
          <w:p>
            <w:pPr>
              <w:spacing w:after="0"/>
              <w:rPr>
                <w:sz w:val="17"/>
                <w:szCs w:val="17"/>
                <w:color w:val="auto"/>
              </w:rPr>
            </w:pPr>
          </w:p>
        </w:tc>
        <w:tc>
          <w:tcPr>
            <w:tcW w:w="86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955</w:t>
            </w:r>
          </w:p>
        </w:tc>
        <w:tc>
          <w:tcPr>
            <w:tcW w:w="100" w:type="dxa"/>
            <w:vAlign w:val="bottom"/>
            <w:shd w:val="clear" w:color="auto" w:fill="CCEEFF"/>
          </w:tcPr>
          <w:p>
            <w:pPr>
              <w:spacing w:after="0"/>
              <w:rPr>
                <w:sz w:val="17"/>
                <w:szCs w:val="17"/>
                <w:color w:val="auto"/>
              </w:rPr>
            </w:pPr>
          </w:p>
        </w:tc>
        <w:tc>
          <w:tcPr>
            <w:tcW w:w="10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974</w:t>
            </w:r>
          </w:p>
        </w:tc>
        <w:tc>
          <w:tcPr>
            <w:tcW w:w="100" w:type="dxa"/>
            <w:vAlign w:val="bottom"/>
            <w:shd w:val="clear" w:color="auto" w:fill="CCEEFF"/>
          </w:tcPr>
          <w:p>
            <w:pPr>
              <w:spacing w:after="0"/>
              <w:rPr>
                <w:sz w:val="17"/>
                <w:szCs w:val="17"/>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3.74 %</w:t>
            </w:r>
          </w:p>
        </w:tc>
        <w:tc>
          <w:tcPr>
            <w:tcW w:w="100" w:type="dxa"/>
            <w:vAlign w:val="bottom"/>
            <w:shd w:val="clear" w:color="auto" w:fill="CCEEFF"/>
          </w:tcPr>
          <w:p>
            <w:pPr>
              <w:spacing w:after="0"/>
              <w:rPr>
                <w:sz w:val="17"/>
                <w:szCs w:val="17"/>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1 %</w:t>
            </w:r>
          </w:p>
        </w:tc>
        <w:tc>
          <w:tcPr>
            <w:tcW w:w="0" w:type="dxa"/>
            <w:vAlign w:val="bottom"/>
          </w:tcPr>
          <w:p>
            <w:pPr>
              <w:spacing w:after="0"/>
              <w:rPr>
                <w:sz w:val="1"/>
                <w:szCs w:val="1"/>
                <w:color w:val="auto"/>
              </w:rPr>
            </w:pPr>
          </w:p>
        </w:tc>
      </w:tr>
      <w:tr>
        <w:trPr>
          <w:trHeight w:val="202"/>
        </w:trPr>
        <w:tc>
          <w:tcPr>
            <w:tcW w:w="35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Total investment portfolio</w:t>
            </w: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71,468</w:t>
            </w:r>
          </w:p>
        </w:tc>
        <w:tc>
          <w:tcPr>
            <w:tcW w:w="12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68,630</w:t>
            </w:r>
          </w:p>
        </w:tc>
        <w:tc>
          <w:tcPr>
            <w:tcW w:w="100" w:type="dxa"/>
            <w:vAlign w:val="bottom"/>
          </w:tcPr>
          <w:p>
            <w:pPr>
              <w:spacing w:after="0"/>
              <w:rPr>
                <w:sz w:val="17"/>
                <w:szCs w:val="17"/>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3.22 %</w:t>
            </w:r>
          </w:p>
        </w:tc>
        <w:tc>
          <w:tcPr>
            <w:tcW w:w="100" w:type="dxa"/>
            <w:vAlign w:val="bottom"/>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100 %</w:t>
            </w:r>
          </w:p>
        </w:tc>
        <w:tc>
          <w:tcPr>
            <w:tcW w:w="160" w:type="dxa"/>
            <w:vAlign w:val="bottom"/>
          </w:tcPr>
          <w:p>
            <w:pPr>
              <w:spacing w:after="0"/>
              <w:rPr>
                <w:sz w:val="17"/>
                <w:szCs w:val="17"/>
                <w:color w:val="auto"/>
              </w:rPr>
            </w:pPr>
          </w:p>
        </w:tc>
        <w:tc>
          <w:tcPr>
            <w:tcW w:w="1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81,250</w:t>
            </w:r>
          </w:p>
        </w:tc>
        <w:tc>
          <w:tcPr>
            <w:tcW w:w="100" w:type="dxa"/>
            <w:vAlign w:val="bottom"/>
          </w:tcPr>
          <w:p>
            <w:pPr>
              <w:spacing w:after="0"/>
              <w:rPr>
                <w:sz w:val="17"/>
                <w:szCs w:val="17"/>
                <w:color w:val="auto"/>
              </w:rPr>
            </w:pPr>
          </w:p>
        </w:tc>
        <w:tc>
          <w:tcPr>
            <w:tcW w:w="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81,999</w:t>
            </w:r>
          </w:p>
        </w:tc>
        <w:tc>
          <w:tcPr>
            <w:tcW w:w="100" w:type="dxa"/>
            <w:vAlign w:val="bottom"/>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2.85 %</w:t>
            </w:r>
          </w:p>
        </w:tc>
        <w:tc>
          <w:tcPr>
            <w:tcW w:w="100" w:type="dxa"/>
            <w:vAlign w:val="bottom"/>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100 %</w:t>
            </w:r>
          </w:p>
        </w:tc>
        <w:tc>
          <w:tcPr>
            <w:tcW w:w="0" w:type="dxa"/>
            <w:vAlign w:val="bottom"/>
          </w:tcPr>
          <w:p>
            <w:pPr>
              <w:spacing w:after="0"/>
              <w:rPr>
                <w:sz w:val="1"/>
                <w:szCs w:val="1"/>
                <w:color w:val="auto"/>
              </w:rPr>
            </w:pPr>
          </w:p>
        </w:tc>
      </w:tr>
      <w:tr>
        <w:trPr>
          <w:trHeight w:val="21"/>
        </w:trPr>
        <w:tc>
          <w:tcPr>
            <w:tcW w:w="33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tabs>
          <w:tab w:leader="none" w:pos="660" w:val="left"/>
        </w:tabs>
        <w:numPr>
          <w:ilvl w:val="0"/>
          <w:numId w:val="2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TBA securities are presented net of long and short positions. For further details of our TBA securities refer to Note 5 of our Consolidated Financial Statements in this Form 10-Q.</w:t>
      </w:r>
    </w:p>
    <w:p>
      <w:pPr>
        <w:spacing w:after="0" w:line="2"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1"/>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$0.4 billion of forward settling non-Agency securities as of December 31, 2021.</w:t>
      </w:r>
    </w:p>
    <w:p>
      <w:pPr>
        <w:spacing w:after="0" w:line="165"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18"/>
          <w:szCs w:val="18"/>
          <w:color w:val="auto"/>
        </w:rPr>
        <w:t>TBA and forward settling securities are recorded as derivative instruments in our accompanying consolidated financial statements, and our TBA dollar roll transactions represent a form of off-balance sheet financing. As of March 31, 2022 and December 31, 2021, our TBA position and forward settling securities had a net carrying value of $(609) million and $(44) million, respectively, reported in derivative assets/(liabilities) on our accompanying consolidated balance sheets. The net carrying value represents the difference between the fair value of the underlying security in the TBA contract or forward purchase agreement and the price to be paid or received for the underlying security.</w:t>
      </w:r>
    </w:p>
    <w:p>
      <w:pPr>
        <w:spacing w:after="0" w:line="129" w:lineRule="exact"/>
        <w:rPr>
          <w:sz w:val="20"/>
          <w:szCs w:val="20"/>
          <w:color w:val="auto"/>
        </w:rPr>
      </w:pPr>
    </w:p>
    <w:p>
      <w:pPr>
        <w:jc w:val="both"/>
        <w:ind w:right="20" w:firstLine="405"/>
        <w:spacing w:after="0" w:line="282" w:lineRule="auto"/>
        <w:rPr>
          <w:sz w:val="20"/>
          <w:szCs w:val="20"/>
          <w:color w:val="auto"/>
        </w:rPr>
      </w:pPr>
      <w:r>
        <w:rPr>
          <w:rFonts w:ascii="Times New Roman" w:cs="Times New Roman" w:eastAsia="Times New Roman" w:hAnsi="Times New Roman"/>
          <w:sz w:val="18"/>
          <w:szCs w:val="18"/>
          <w:color w:val="auto"/>
        </w:rPr>
        <w:t>As of March 31, 2022 and December 31, 2021, the weighted average yield on our investment securities (excluding TBA and forward settling securities) was 2.56% and 2.43%, respectively.</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28" w:name="page29"/>
    <w:bookmarkEnd w:id="28"/>
    <w:p>
      <w:pPr>
        <w:ind w:right="20" w:firstLine="445"/>
        <w:spacing w:after="0" w:line="282" w:lineRule="auto"/>
        <w:rPr>
          <w:sz w:val="20"/>
          <w:szCs w:val="20"/>
          <w:color w:val="auto"/>
        </w:rPr>
      </w:pPr>
      <w:r>
        <w:rPr>
          <w:rFonts w:ascii="Times New Roman" w:cs="Times New Roman" w:eastAsia="Times New Roman" w:hAnsi="Times New Roman"/>
          <w:sz w:val="18"/>
          <w:szCs w:val="18"/>
          <w:color w:val="auto"/>
        </w:rPr>
        <w:t>The following tables summarize certain characteristics of our fixed rate Agency RMBS portfolio, inclusive of TBA securities, as of March 31, 2022 and December 31, 2021 (dollars in millions):</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80" w:type="dxa"/>
            <w:vAlign w:val="bottom"/>
            <w:gridSpan w:val="3"/>
          </w:tcPr>
          <w:p>
            <w:pPr>
              <w:ind w:left="14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gridSpan w:val="5"/>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720" w:type="dxa"/>
            <w:vAlign w:val="bottom"/>
            <w:tcBorders>
              <w:bottom w:val="single" w:sz="8" w:color="auto"/>
            </w:tcBorders>
            <w:gridSpan w:val="6"/>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5"/>
          </w:tcPr>
          <w:p>
            <w:pPr>
              <w:ind w:left="40"/>
              <w:spacing w:after="0"/>
              <w:rPr>
                <w:sz w:val="20"/>
                <w:szCs w:val="20"/>
                <w:color w:val="auto"/>
              </w:rPr>
            </w:pPr>
            <w:r>
              <w:rPr>
                <w:rFonts w:ascii="Times New Roman" w:cs="Times New Roman" w:eastAsia="Times New Roman" w:hAnsi="Times New Roman"/>
                <w:sz w:val="14"/>
                <w:szCs w:val="14"/>
                <w:b w:val="1"/>
                <w:bCs w:val="1"/>
                <w:color w:val="auto"/>
              </w:rPr>
              <w:t>Includes Net TBA Position</w:t>
            </w:r>
          </w:p>
        </w:tc>
        <w:tc>
          <w:tcPr>
            <w:tcW w:w="9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0"/>
              <w:spacing w:after="0"/>
              <w:rPr>
                <w:sz w:val="20"/>
                <w:szCs w:val="20"/>
                <w:color w:val="auto"/>
              </w:rPr>
            </w:pPr>
            <w:r>
              <w:rPr>
                <w:rFonts w:ascii="Times New Roman" w:cs="Times New Roman" w:eastAsia="Times New Roman" w:hAnsi="Times New Roman"/>
                <w:sz w:val="14"/>
                <w:szCs w:val="14"/>
                <w:b w:val="1"/>
                <w:bCs w:val="1"/>
                <w:color w:val="auto"/>
              </w:rPr>
              <w:t>Excludes Net TBA Position</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226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80" w:type="dxa"/>
            <w:vAlign w:val="bottom"/>
            <w:tcBorders>
              <w:bottom w:val="single" w:sz="8" w:color="auto"/>
            </w:tcBorders>
          </w:tcPr>
          <w:p>
            <w:pPr>
              <w:spacing w:after="0"/>
              <w:rPr>
                <w:sz w:val="17"/>
                <w:szCs w:val="17"/>
                <w:color w:val="auto"/>
              </w:rPr>
            </w:pPr>
          </w:p>
        </w:tc>
        <w:tc>
          <w:tcPr>
            <w:tcW w:w="1940" w:type="dxa"/>
            <w:vAlign w:val="bottom"/>
            <w:tcBorders>
              <w:bottom w:val="single" w:sz="8" w:color="auto"/>
            </w:tcBorders>
            <w:gridSpan w:val="4"/>
          </w:tcPr>
          <w:p>
            <w:pPr>
              <w:ind w:left="8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1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62"/>
        </w:trPr>
        <w:tc>
          <w:tcPr>
            <w:tcW w:w="238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Fixed Rate Agency RMBS and TBA</w:t>
            </w:r>
          </w:p>
        </w:tc>
        <w:tc>
          <w:tcPr>
            <w:tcW w:w="80" w:type="dxa"/>
            <w:vAlign w:val="bottom"/>
          </w:tcPr>
          <w:p>
            <w:pPr>
              <w:spacing w:after="0"/>
              <w:rPr>
                <w:sz w:val="14"/>
                <w:szCs w:val="14"/>
                <w:color w:val="auto"/>
              </w:rPr>
            </w:pPr>
          </w:p>
        </w:tc>
        <w:tc>
          <w:tcPr>
            <w:tcW w:w="82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Par Value</w:t>
            </w:r>
          </w:p>
        </w:tc>
        <w:tc>
          <w:tcPr>
            <w:tcW w:w="120" w:type="dxa"/>
            <w:vAlign w:val="bottom"/>
          </w:tcPr>
          <w:p>
            <w:pPr>
              <w:spacing w:after="0"/>
              <w:rPr>
                <w:sz w:val="14"/>
                <w:szCs w:val="14"/>
                <w:color w:val="auto"/>
              </w:rPr>
            </w:pPr>
          </w:p>
        </w:tc>
        <w:tc>
          <w:tcPr>
            <w:tcW w:w="94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900" w:type="dxa"/>
            <w:vAlign w:val="bottom"/>
            <w:gridSpan w:val="3"/>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90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Specified Pool</w:t>
            </w:r>
          </w:p>
        </w:tc>
        <w:tc>
          <w:tcPr>
            <w:tcW w:w="220" w:type="dxa"/>
            <w:vAlign w:val="bottom"/>
          </w:tcPr>
          <w:p>
            <w:pPr>
              <w:spacing w:after="0"/>
              <w:rPr>
                <w:sz w:val="14"/>
                <w:szCs w:val="14"/>
                <w:color w:val="auto"/>
              </w:rPr>
            </w:pPr>
          </w:p>
        </w:tc>
        <w:tc>
          <w:tcPr>
            <w:tcW w:w="116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68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w w:val="95"/>
              </w:rPr>
              <w:t xml:space="preserve">WAC </w:t>
            </w:r>
            <w:r>
              <w:rPr>
                <w:rFonts w:ascii="Times New Roman" w:cs="Times New Roman" w:eastAsia="Times New Roman" w:hAnsi="Times New Roman"/>
                <w:sz w:val="18"/>
                <w:szCs w:val="18"/>
                <w:b w:val="1"/>
                <w:bCs w:val="1"/>
                <w:color w:val="auto"/>
                <w:w w:val="95"/>
                <w:vertAlign w:val="superscript"/>
              </w:rPr>
              <w:t>2</w:t>
            </w:r>
          </w:p>
        </w:tc>
        <w:tc>
          <w:tcPr>
            <w:tcW w:w="140" w:type="dxa"/>
            <w:vAlign w:val="bottom"/>
          </w:tcPr>
          <w:p>
            <w:pPr>
              <w:spacing w:after="0"/>
              <w:rPr>
                <w:sz w:val="14"/>
                <w:szCs w:val="14"/>
                <w:color w:val="auto"/>
              </w:rPr>
            </w:pPr>
          </w:p>
        </w:tc>
        <w:tc>
          <w:tcPr>
            <w:tcW w:w="840" w:type="dxa"/>
            <w:vAlign w:val="bottom"/>
            <w:gridSpan w:val="2"/>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 xml:space="preserve">Yield </w:t>
            </w:r>
            <w:r>
              <w:rPr>
                <w:rFonts w:ascii="Times New Roman" w:cs="Times New Roman" w:eastAsia="Times New Roman" w:hAnsi="Times New Roman"/>
                <w:sz w:val="18"/>
                <w:szCs w:val="18"/>
                <w:b w:val="1"/>
                <w:bCs w:val="1"/>
                <w:color w:val="auto"/>
                <w:vertAlign w:val="superscript"/>
              </w:rPr>
              <w:t>3</w:t>
            </w:r>
          </w:p>
        </w:tc>
        <w:tc>
          <w:tcPr>
            <w:tcW w:w="106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Age (Months)</w:t>
            </w: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Projected</w:t>
            </w:r>
          </w:p>
        </w:tc>
        <w:tc>
          <w:tcPr>
            <w:tcW w:w="0" w:type="dxa"/>
            <w:vAlign w:val="bottom"/>
          </w:tcPr>
          <w:p>
            <w:pPr>
              <w:spacing w:after="0"/>
              <w:rPr>
                <w:sz w:val="1"/>
                <w:szCs w:val="1"/>
                <w:color w:val="auto"/>
              </w:rPr>
            </w:pPr>
          </w:p>
        </w:tc>
      </w:tr>
      <w:tr>
        <w:trPr>
          <w:trHeight w:val="203"/>
        </w:trPr>
        <w:tc>
          <w:tcPr>
            <w:tcW w:w="238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8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ind w:left="220"/>
              <w:spacing w:after="0"/>
              <w:rPr>
                <w:sz w:val="20"/>
                <w:szCs w:val="20"/>
                <w:color w:val="auto"/>
              </w:rPr>
            </w:pPr>
            <w:r>
              <w:rPr>
                <w:rFonts w:ascii="Times New Roman" w:cs="Times New Roman" w:eastAsia="Times New Roman" w:hAnsi="Times New Roman"/>
                <w:sz w:val="14"/>
                <w:szCs w:val="14"/>
                <w:b w:val="1"/>
                <w:bCs w:val="1"/>
                <w:color w:val="auto"/>
              </w:rPr>
              <w:t>Cost</w:t>
            </w:r>
          </w:p>
        </w:tc>
        <w:tc>
          <w:tcPr>
            <w:tcW w:w="900" w:type="dxa"/>
            <w:vAlign w:val="bottom"/>
            <w:gridSpan w:val="3"/>
            <w:vMerge w:val="continue"/>
          </w:tcPr>
          <w:p>
            <w:pPr>
              <w:spacing w:after="0"/>
              <w:rPr>
                <w:sz w:val="17"/>
                <w:szCs w:val="17"/>
                <w:color w:val="auto"/>
              </w:rPr>
            </w:pPr>
          </w:p>
        </w:tc>
        <w:tc>
          <w:tcPr>
            <w:tcW w:w="900" w:type="dxa"/>
            <w:vAlign w:val="bottom"/>
          </w:tcPr>
          <w:p>
            <w:pPr>
              <w:jc w:val="center"/>
              <w:spacing w:after="0" w:line="202" w:lineRule="exact"/>
              <w:rPr>
                <w:sz w:val="20"/>
                <w:szCs w:val="20"/>
                <w:color w:val="auto"/>
              </w:rPr>
            </w:pPr>
            <w:r>
              <w:rPr>
                <w:rFonts w:ascii="Times New Roman" w:cs="Times New Roman" w:eastAsia="Times New Roman" w:hAnsi="Times New Roman"/>
                <w:sz w:val="14"/>
                <w:szCs w:val="14"/>
                <w:b w:val="1"/>
                <w:bCs w:val="1"/>
                <w:color w:val="auto"/>
                <w:w w:val="93"/>
              </w:rPr>
              <w:t xml:space="preserve">% </w:t>
            </w:r>
            <w:r>
              <w:rPr>
                <w:rFonts w:ascii="Times New Roman" w:cs="Times New Roman" w:eastAsia="Times New Roman" w:hAnsi="Times New Roman"/>
                <w:sz w:val="18"/>
                <w:szCs w:val="18"/>
                <w:b w:val="1"/>
                <w:bCs w:val="1"/>
                <w:color w:val="auto"/>
                <w:w w:val="93"/>
                <w:vertAlign w:val="superscript"/>
              </w:rPr>
              <w:t>1</w:t>
            </w:r>
          </w:p>
        </w:tc>
        <w:tc>
          <w:tcPr>
            <w:tcW w:w="220" w:type="dxa"/>
            <w:vAlign w:val="bottom"/>
          </w:tcPr>
          <w:p>
            <w:pPr>
              <w:spacing w:after="0"/>
              <w:rPr>
                <w:sz w:val="17"/>
                <w:szCs w:val="17"/>
                <w:color w:val="auto"/>
              </w:rPr>
            </w:pPr>
          </w:p>
        </w:tc>
        <w:tc>
          <w:tcPr>
            <w:tcW w:w="116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Cost Basis</w:t>
            </w:r>
          </w:p>
        </w:tc>
        <w:tc>
          <w:tcPr>
            <w:tcW w:w="68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gridSpan w:val="2"/>
            <w:vMerge w:val="continue"/>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900" w:type="dxa"/>
            <w:vAlign w:val="bottom"/>
          </w:tcPr>
          <w:p>
            <w:pPr>
              <w:jc w:val="center"/>
              <w:spacing w:after="0" w:line="202" w:lineRule="exact"/>
              <w:rPr>
                <w:sz w:val="20"/>
                <w:szCs w:val="20"/>
                <w:color w:val="auto"/>
              </w:rPr>
            </w:pPr>
            <w:r>
              <w:rPr>
                <w:rFonts w:ascii="Times New Roman" w:cs="Times New Roman" w:eastAsia="Times New Roman" w:hAnsi="Times New Roman"/>
                <w:sz w:val="14"/>
                <w:szCs w:val="14"/>
                <w:b w:val="1"/>
                <w:bCs w:val="1"/>
                <w:color w:val="auto"/>
                <w:w w:val="99"/>
              </w:rPr>
              <w:t xml:space="preserve">CPR </w:t>
            </w:r>
            <w:r>
              <w:rPr>
                <w:rFonts w:ascii="Times New Roman" w:cs="Times New Roman" w:eastAsia="Times New Roman" w:hAnsi="Times New Roman"/>
                <w:sz w:val="18"/>
                <w:szCs w:val="18"/>
                <w:b w:val="1"/>
                <w:bCs w:val="1"/>
                <w:color w:val="auto"/>
                <w:w w:val="99"/>
                <w:vertAlign w:val="superscript"/>
              </w:rPr>
              <w:t>3</w:t>
            </w:r>
          </w:p>
        </w:tc>
        <w:tc>
          <w:tcPr>
            <w:tcW w:w="0" w:type="dxa"/>
            <w:vAlign w:val="bottom"/>
          </w:tcPr>
          <w:p>
            <w:pPr>
              <w:spacing w:after="0"/>
              <w:rPr>
                <w:sz w:val="1"/>
                <w:szCs w:val="1"/>
                <w:color w:val="auto"/>
              </w:rPr>
            </w:pPr>
          </w:p>
        </w:tc>
      </w:tr>
      <w:tr>
        <w:trPr>
          <w:trHeight w:val="196"/>
        </w:trPr>
        <w:tc>
          <w:tcPr>
            <w:tcW w:w="22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Fixed rate</w:t>
            </w:r>
          </w:p>
        </w:tc>
        <w:tc>
          <w:tcPr>
            <w:tcW w:w="1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2380" w:type="dxa"/>
            <w:vAlign w:val="bottom"/>
            <w:gridSpan w:val="2"/>
          </w:tcPr>
          <w:p>
            <w:pPr>
              <w:ind w:left="260"/>
              <w:spacing w:after="0"/>
              <w:rPr>
                <w:sz w:val="20"/>
                <w:szCs w:val="20"/>
                <w:color w:val="auto"/>
              </w:rPr>
            </w:pPr>
            <w:r>
              <w:rPr>
                <w:rFonts w:ascii="Times New Roman" w:cs="Times New Roman" w:eastAsia="Times New Roman" w:hAnsi="Times New Roman"/>
                <w:sz w:val="14"/>
                <w:szCs w:val="14"/>
                <w:color w:val="auto"/>
              </w:rPr>
              <w:t>≤ 15-year:</w:t>
            </w: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2.0%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57</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51</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100%</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103.0%</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2.69%</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1.28%</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16</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2.5%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298</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314</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295</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100%</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105.4%</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3.02%</w:t>
            </w:r>
          </w:p>
        </w:tc>
        <w:tc>
          <w:tcPr>
            <w:tcW w:w="8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rPr>
              <w:t>1.18%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30</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12%</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3.0%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750</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761</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759</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83%</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101.5%</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3.55%</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2.51%</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51</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14%</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803</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820</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825</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85%</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102.0%</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4.03%</w:t>
            </w:r>
          </w:p>
        </w:tc>
        <w:tc>
          <w:tcPr>
            <w:tcW w:w="8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rPr>
              <w:t>2.77%</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52</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16%</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4.0%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418</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430</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436</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92%</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103.0%</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4.60%</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2.90%</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52</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17%</w:t>
            </w:r>
          </w:p>
        </w:tc>
        <w:tc>
          <w:tcPr>
            <w:tcW w:w="0" w:type="dxa"/>
            <w:vAlign w:val="bottom"/>
          </w:tcPr>
          <w:p>
            <w:pPr>
              <w:spacing w:after="0"/>
              <w:rPr>
                <w:sz w:val="1"/>
                <w:szCs w:val="1"/>
                <w:color w:val="auto"/>
              </w:rPr>
            </w:pPr>
          </w:p>
        </w:tc>
      </w:tr>
      <w:tr>
        <w:trPr>
          <w:trHeight w:val="196"/>
        </w:trPr>
        <w:tc>
          <w:tcPr>
            <w:tcW w:w="2380" w:type="dxa"/>
            <w:vAlign w:val="bottom"/>
            <w:gridSpan w:val="2"/>
          </w:tcPr>
          <w:p>
            <w:pPr>
              <w:ind w:left="360"/>
              <w:spacing w:after="0"/>
              <w:rPr>
                <w:sz w:val="20"/>
                <w:szCs w:val="20"/>
                <w:color w:val="auto"/>
              </w:rPr>
            </w:pPr>
            <w:r>
              <w:rPr>
                <w:rFonts w:ascii="Times New Roman" w:cs="Times New Roman" w:eastAsia="Times New Roman" w:hAnsi="Times New Roman"/>
                <w:sz w:val="14"/>
                <w:szCs w:val="14"/>
                <w:color w:val="auto"/>
              </w:rPr>
              <w:t>≥ 4.5%</w:t>
            </w: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20" w:type="dxa"/>
            <w:vAlign w:val="bottom"/>
          </w:tcPr>
          <w:p>
            <w:pPr>
              <w:spacing w:after="0"/>
              <w:rPr>
                <w:sz w:val="17"/>
                <w:szCs w:val="17"/>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97%</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102.7%</w:t>
            </w:r>
          </w:p>
        </w:tc>
        <w:tc>
          <w:tcPr>
            <w:tcW w:w="120" w:type="dxa"/>
            <w:vAlign w:val="bottom"/>
          </w:tcPr>
          <w:p>
            <w:pPr>
              <w:spacing w:after="0"/>
              <w:rPr>
                <w:sz w:val="17"/>
                <w:szCs w:val="17"/>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5.00%</w:t>
            </w:r>
          </w:p>
        </w:tc>
        <w:tc>
          <w:tcPr>
            <w:tcW w:w="8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rPr>
              <w:t>2.66%</w:t>
            </w:r>
          </w:p>
        </w:tc>
        <w:tc>
          <w:tcPr>
            <w:tcW w:w="120" w:type="dxa"/>
            <w:vAlign w:val="bottom"/>
          </w:tcPr>
          <w:p>
            <w:pPr>
              <w:spacing w:after="0"/>
              <w:rPr>
                <w:sz w:val="17"/>
                <w:szCs w:val="17"/>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136</w:t>
            </w:r>
          </w:p>
        </w:tc>
        <w:tc>
          <w:tcPr>
            <w:tcW w:w="100" w:type="dxa"/>
            <w:vAlign w:val="bottom"/>
          </w:tcPr>
          <w:p>
            <w:pPr>
              <w:spacing w:after="0"/>
              <w:rPr>
                <w:sz w:val="17"/>
                <w:szCs w:val="17"/>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22%</w:t>
            </w:r>
          </w:p>
        </w:tc>
        <w:tc>
          <w:tcPr>
            <w:tcW w:w="0" w:type="dxa"/>
            <w:vAlign w:val="bottom"/>
          </w:tcPr>
          <w:p>
            <w:pPr>
              <w:spacing w:after="0"/>
              <w:rPr>
                <w:sz w:val="1"/>
                <w:szCs w:val="1"/>
                <w:color w:val="auto"/>
              </w:rPr>
            </w:pPr>
          </w:p>
        </w:tc>
      </w:tr>
      <w:tr>
        <w:trPr>
          <w:trHeight w:val="203"/>
        </w:trPr>
        <w:tc>
          <w:tcPr>
            <w:tcW w:w="2380" w:type="dxa"/>
            <w:vAlign w:val="bottom"/>
            <w:tcBorders>
              <w:top w:val="single" w:sz="8" w:color="CCEEFF"/>
            </w:tcBorders>
            <w:gridSpan w:val="2"/>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Total ≤ 15-year</w:t>
            </w:r>
          </w:p>
        </w:tc>
        <w:tc>
          <w:tcPr>
            <w:tcW w:w="80" w:type="dxa"/>
            <w:vAlign w:val="bottom"/>
            <w:tcBorders>
              <w:top w:val="single" w:sz="8" w:color="auto"/>
              <w:bottom w:val="single" w:sz="8" w:color="auto"/>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2,326</w:t>
            </w: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2,386</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2,370</w:t>
            </w:r>
          </w:p>
        </w:tc>
        <w:tc>
          <w:tcPr>
            <w:tcW w:w="12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88%</w:t>
            </w:r>
          </w:p>
        </w:tc>
        <w:tc>
          <w:tcPr>
            <w:tcW w:w="220" w:type="dxa"/>
            <w:vAlign w:val="bottom"/>
            <w:tcBorders>
              <w:top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102.6%</w:t>
            </w:r>
          </w:p>
        </w:tc>
        <w:tc>
          <w:tcPr>
            <w:tcW w:w="12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3.82%</w:t>
            </w:r>
          </w:p>
        </w:tc>
        <w:tc>
          <w:tcPr>
            <w:tcW w:w="14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2.45%</w:t>
            </w:r>
          </w:p>
        </w:tc>
        <w:tc>
          <w:tcPr>
            <w:tcW w:w="12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48</w:t>
            </w:r>
          </w:p>
        </w:tc>
        <w:tc>
          <w:tcPr>
            <w:tcW w:w="10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15%</w:t>
            </w:r>
          </w:p>
        </w:tc>
        <w:tc>
          <w:tcPr>
            <w:tcW w:w="0" w:type="dxa"/>
            <w:vAlign w:val="bottom"/>
          </w:tcPr>
          <w:p>
            <w:pPr>
              <w:spacing w:after="0"/>
              <w:rPr>
                <w:sz w:val="1"/>
                <w:szCs w:val="1"/>
                <w:color w:val="auto"/>
              </w:rPr>
            </w:pPr>
          </w:p>
        </w:tc>
      </w:tr>
      <w:tr>
        <w:trPr>
          <w:trHeight w:val="175"/>
        </w:trPr>
        <w:tc>
          <w:tcPr>
            <w:tcW w:w="2380" w:type="dxa"/>
            <w:vAlign w:val="bottom"/>
            <w:gridSpan w:val="2"/>
          </w:tcPr>
          <w:p>
            <w:pPr>
              <w:ind w:left="220"/>
              <w:spacing w:after="0"/>
              <w:rPr>
                <w:sz w:val="20"/>
                <w:szCs w:val="20"/>
                <w:color w:val="auto"/>
              </w:rPr>
            </w:pPr>
            <w:r>
              <w:rPr>
                <w:rFonts w:ascii="Times New Roman" w:cs="Times New Roman" w:eastAsia="Times New Roman" w:hAnsi="Times New Roman"/>
                <w:sz w:val="14"/>
                <w:szCs w:val="14"/>
                <w:color w:val="auto"/>
              </w:rPr>
              <w:t>20-year:</w:t>
            </w: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2.0%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1,014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1,045</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953</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103.1%</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2.86%</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1.52%</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17</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6"/>
              </w:rPr>
              <w:t>6%</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2.5%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402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422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390</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104.9%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3.27%</w:t>
            </w:r>
          </w:p>
        </w:tc>
        <w:tc>
          <w:tcPr>
            <w:tcW w:w="8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rPr>
              <w:t>1.68%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21</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6"/>
              </w:rPr>
              <w:t>7%</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3.0%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35</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97%</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103.7%</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3.77%</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2.25%</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32</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159</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163</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81%</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101.9%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4.05%</w:t>
            </w:r>
          </w:p>
        </w:tc>
        <w:tc>
          <w:tcPr>
            <w:tcW w:w="8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rPr>
              <w:t>2.96%</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104</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11%</w:t>
            </w:r>
          </w:p>
        </w:tc>
        <w:tc>
          <w:tcPr>
            <w:tcW w:w="0" w:type="dxa"/>
            <w:vAlign w:val="bottom"/>
          </w:tcPr>
          <w:p>
            <w:pPr>
              <w:spacing w:after="0"/>
              <w:rPr>
                <w:sz w:val="1"/>
                <w:szCs w:val="1"/>
                <w:color w:val="auto"/>
              </w:rPr>
            </w:pPr>
          </w:p>
        </w:tc>
      </w:tr>
      <w:tr>
        <w:trPr>
          <w:trHeight w:val="210"/>
        </w:trPr>
        <w:tc>
          <w:tcPr>
            <w:tcW w:w="238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 4.0%</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205</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96%</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104.3%</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4.74%</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3.10%</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64</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14%</w:t>
            </w:r>
          </w:p>
        </w:tc>
        <w:tc>
          <w:tcPr>
            <w:tcW w:w="0" w:type="dxa"/>
            <w:vAlign w:val="bottom"/>
          </w:tcPr>
          <w:p>
            <w:pPr>
              <w:spacing w:after="0"/>
              <w:rPr>
                <w:sz w:val="1"/>
                <w:szCs w:val="1"/>
                <w:color w:val="auto"/>
              </w:rPr>
            </w:pPr>
          </w:p>
        </w:tc>
      </w:tr>
      <w:tr>
        <w:trPr>
          <w:trHeight w:val="189"/>
        </w:trPr>
        <w:tc>
          <w:tcPr>
            <w:tcW w:w="2380" w:type="dxa"/>
            <w:vAlign w:val="bottom"/>
            <w:tcBorders>
              <w:bottom w:val="single" w:sz="8" w:color="CCEEFF"/>
            </w:tcBorders>
            <w:gridSpan w:val="2"/>
          </w:tcPr>
          <w:p>
            <w:pPr>
              <w:ind w:left="220"/>
              <w:spacing w:after="0"/>
              <w:rPr>
                <w:sz w:val="20"/>
                <w:szCs w:val="20"/>
                <w:color w:val="auto"/>
              </w:rPr>
            </w:pPr>
            <w:r>
              <w:rPr>
                <w:rFonts w:ascii="Times New Roman" w:cs="Times New Roman" w:eastAsia="Times New Roman" w:hAnsi="Times New Roman"/>
                <w:sz w:val="14"/>
                <w:szCs w:val="14"/>
                <w:color w:val="auto"/>
              </w:rPr>
              <w:t>Total 20-year:</w:t>
            </w:r>
          </w:p>
        </w:tc>
        <w:tc>
          <w:tcPr>
            <w:tcW w:w="8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1,803</w:t>
            </w:r>
          </w:p>
        </w:tc>
        <w:tc>
          <w:tcPr>
            <w:tcW w:w="120" w:type="dxa"/>
            <w:vAlign w:val="bottom"/>
            <w:tcBorders>
              <w:bottom w:val="single" w:sz="8" w:color="CCEEFF"/>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1,868</w:t>
            </w:r>
          </w:p>
        </w:tc>
        <w:tc>
          <w:tcPr>
            <w:tcW w:w="10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1,744</w:t>
            </w:r>
          </w:p>
        </w:tc>
        <w:tc>
          <w:tcPr>
            <w:tcW w:w="120" w:type="dxa"/>
            <w:vAlign w:val="bottom"/>
            <w:tcBorders>
              <w:bottom w:val="single" w:sz="8" w:color="CCEEFF"/>
            </w:tcBorders>
          </w:tcPr>
          <w:p>
            <w:pPr>
              <w:spacing w:after="0"/>
              <w:rPr>
                <w:sz w:val="16"/>
                <w:szCs w:val="16"/>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21%</w:t>
            </w:r>
          </w:p>
        </w:tc>
        <w:tc>
          <w:tcPr>
            <w:tcW w:w="220" w:type="dxa"/>
            <w:vAlign w:val="bottom"/>
            <w:tcBorders>
              <w:bottom w:val="single" w:sz="8" w:color="CCEEFF"/>
            </w:tcBorders>
          </w:tcPr>
          <w:p>
            <w:pPr>
              <w:spacing w:after="0"/>
              <w:rPr>
                <w:sz w:val="16"/>
                <w:szCs w:val="16"/>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103.5%</w:t>
            </w:r>
          </w:p>
        </w:tc>
        <w:tc>
          <w:tcPr>
            <w:tcW w:w="120" w:type="dxa"/>
            <w:vAlign w:val="bottom"/>
            <w:tcBorders>
              <w:bottom w:val="single" w:sz="8" w:color="CCEEFF"/>
            </w:tcBorders>
          </w:tcPr>
          <w:p>
            <w:pPr>
              <w:spacing w:after="0"/>
              <w:rPr>
                <w:sz w:val="16"/>
                <w:szCs w:val="16"/>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3.28%</w:t>
            </w:r>
          </w:p>
        </w:tc>
        <w:tc>
          <w:tcPr>
            <w:tcW w:w="140" w:type="dxa"/>
            <w:vAlign w:val="bottom"/>
            <w:tcBorders>
              <w:bottom w:val="single" w:sz="8" w:color="CCEEFF"/>
            </w:tcBorders>
          </w:tcPr>
          <w:p>
            <w:pPr>
              <w:spacing w:after="0"/>
              <w:rPr>
                <w:sz w:val="16"/>
                <w:szCs w:val="16"/>
                <w:color w:val="auto"/>
              </w:rPr>
            </w:pPr>
          </w:p>
        </w:tc>
        <w:tc>
          <w:tcPr>
            <w:tcW w:w="720" w:type="dxa"/>
            <w:vAlign w:val="bottom"/>
            <w:tcBorders>
              <w:top w:val="single" w:sz="8" w:color="auto"/>
              <w:bottom w:val="single" w:sz="8" w:color="auto"/>
            </w:tcBorders>
          </w:tcPr>
          <w:p>
            <w:pPr>
              <w:ind w:left="180"/>
              <w:spacing w:after="0"/>
              <w:rPr>
                <w:sz w:val="20"/>
                <w:szCs w:val="20"/>
                <w:color w:val="auto"/>
              </w:rPr>
            </w:pPr>
            <w:r>
              <w:rPr>
                <w:rFonts w:ascii="Times New Roman" w:cs="Times New Roman" w:eastAsia="Times New Roman" w:hAnsi="Times New Roman"/>
                <w:sz w:val="14"/>
                <w:szCs w:val="14"/>
                <w:color w:val="auto"/>
              </w:rPr>
              <w:t>1.86%</w:t>
            </w:r>
          </w:p>
        </w:tc>
        <w:tc>
          <w:tcPr>
            <w:tcW w:w="120" w:type="dxa"/>
            <w:vAlign w:val="bottom"/>
            <w:tcBorders>
              <w:bottom w:val="single" w:sz="8" w:color="CCEEFF"/>
            </w:tcBorders>
          </w:tcPr>
          <w:p>
            <w:pPr>
              <w:spacing w:after="0"/>
              <w:rPr>
                <w:sz w:val="16"/>
                <w:szCs w:val="16"/>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31</w:t>
            </w:r>
          </w:p>
        </w:tc>
        <w:tc>
          <w:tcPr>
            <w:tcW w:w="100" w:type="dxa"/>
            <w:vAlign w:val="bottom"/>
            <w:tcBorders>
              <w:bottom w:val="single" w:sz="8" w:color="CCEEFF"/>
            </w:tcBorders>
          </w:tcPr>
          <w:p>
            <w:pPr>
              <w:spacing w:after="0"/>
              <w:rPr>
                <w:sz w:val="16"/>
                <w:szCs w:val="16"/>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6"/>
              </w:rPr>
              <w:t>8%</w:t>
            </w:r>
          </w:p>
        </w:tc>
        <w:tc>
          <w:tcPr>
            <w:tcW w:w="0" w:type="dxa"/>
            <w:vAlign w:val="bottom"/>
          </w:tcPr>
          <w:p>
            <w:pPr>
              <w:spacing w:after="0"/>
              <w:rPr>
                <w:sz w:val="1"/>
                <w:szCs w:val="1"/>
                <w:color w:val="auto"/>
              </w:rPr>
            </w:pPr>
          </w:p>
        </w:tc>
      </w:tr>
      <w:tr>
        <w:trPr>
          <w:trHeight w:val="189"/>
        </w:trPr>
        <w:tc>
          <w:tcPr>
            <w:tcW w:w="2380" w:type="dxa"/>
            <w:vAlign w:val="bottom"/>
            <w:gridSpan w:val="2"/>
            <w:shd w:val="clear" w:color="auto" w:fill="CCEEFF"/>
          </w:tcPr>
          <w:p>
            <w:pPr>
              <w:ind w:left="220"/>
              <w:spacing w:after="0"/>
              <w:rPr>
                <w:sz w:val="20"/>
                <w:szCs w:val="20"/>
                <w:color w:val="auto"/>
              </w:rPr>
            </w:pPr>
            <w:r>
              <w:rPr>
                <w:rFonts w:ascii="Times New Roman" w:cs="Times New Roman" w:eastAsia="Times New Roman" w:hAnsi="Times New Roman"/>
                <w:sz w:val="14"/>
                <w:szCs w:val="14"/>
                <w:color w:val="auto"/>
              </w:rPr>
              <w:t>30-year:</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2.0%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6,490</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6,720</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6,052</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5%</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100.5%</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2.85%</w:t>
            </w:r>
          </w:p>
        </w:tc>
        <w:tc>
          <w:tcPr>
            <w:tcW w:w="8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rPr>
              <w:t>1.93%</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11</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6"/>
              </w:rPr>
              <w:t>5%</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2.5%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11,650</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12,056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11,156</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69%</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103.7%</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3.12%</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2.06%</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85"/>
              </w:rPr>
              <w:t>9</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6"/>
              </w:rPr>
              <w:t>5%</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12,922</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13,257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12,653</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25%</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102.1%</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3.56%</w:t>
            </w:r>
          </w:p>
        </w:tc>
        <w:tc>
          <w:tcPr>
            <w:tcW w:w="8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rPr>
              <w:t>2.74%</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13</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6"/>
              </w:rPr>
              <w:t>6%</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16,729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17,134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16,858</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43%</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104.9%</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4.05%</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2.67%</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82</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6"/>
              </w:rPr>
              <w:t>9%</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4.0%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10,978</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11,508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11,342</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68%</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106.1%</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4.51%</w:t>
            </w:r>
          </w:p>
        </w:tc>
        <w:tc>
          <w:tcPr>
            <w:tcW w:w="860" w:type="dxa"/>
            <w:vAlign w:val="bottom"/>
            <w:gridSpan w:val="2"/>
          </w:tcPr>
          <w:p>
            <w:pPr>
              <w:ind w:left="320"/>
              <w:spacing w:after="0"/>
              <w:rPr>
                <w:sz w:val="20"/>
                <w:szCs w:val="20"/>
                <w:color w:val="auto"/>
              </w:rPr>
            </w:pPr>
            <w:r>
              <w:rPr>
                <w:rFonts w:ascii="Times New Roman" w:cs="Times New Roman" w:eastAsia="Times New Roman" w:hAnsi="Times New Roman"/>
                <w:sz w:val="14"/>
                <w:szCs w:val="14"/>
                <w:color w:val="auto"/>
              </w:rPr>
              <w:t>2.91%</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69</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w:t>
            </w:r>
          </w:p>
        </w:tc>
        <w:tc>
          <w:tcPr>
            <w:tcW w:w="0" w:type="dxa"/>
            <w:vAlign w:val="bottom"/>
          </w:tcPr>
          <w:p>
            <w:pPr>
              <w:spacing w:after="0"/>
              <w:rPr>
                <w:sz w:val="1"/>
                <w:szCs w:val="1"/>
                <w:color w:val="auto"/>
              </w:rPr>
            </w:pPr>
          </w:p>
        </w:tc>
      </w:tr>
      <w:tr>
        <w:trPr>
          <w:trHeight w:val="210"/>
        </w:trPr>
        <w:tc>
          <w:tcPr>
            <w:tcW w:w="238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 4.5%</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4,243</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4,543</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4,492</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97%</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107.1%</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5.02%</w:t>
            </w:r>
          </w:p>
        </w:tc>
        <w:tc>
          <w:tcPr>
            <w:tcW w:w="860" w:type="dxa"/>
            <w:vAlign w:val="bottom"/>
            <w:gridSpan w:val="2"/>
            <w:shd w:val="clear" w:color="auto" w:fill="CCEEFF"/>
          </w:tcPr>
          <w:p>
            <w:pPr>
              <w:ind w:left="320"/>
              <w:spacing w:after="0"/>
              <w:rPr>
                <w:sz w:val="20"/>
                <w:szCs w:val="20"/>
                <w:color w:val="auto"/>
              </w:rPr>
            </w:pPr>
            <w:r>
              <w:rPr>
                <w:rFonts w:ascii="Times New Roman" w:cs="Times New Roman" w:eastAsia="Times New Roman" w:hAnsi="Times New Roman"/>
                <w:sz w:val="14"/>
                <w:szCs w:val="14"/>
                <w:color w:val="auto"/>
              </w:rPr>
              <w:t>3.19%</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56</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11%</w:t>
            </w:r>
          </w:p>
        </w:tc>
        <w:tc>
          <w:tcPr>
            <w:tcW w:w="0" w:type="dxa"/>
            <w:vAlign w:val="bottom"/>
          </w:tcPr>
          <w:p>
            <w:pPr>
              <w:spacing w:after="0"/>
              <w:rPr>
                <w:sz w:val="1"/>
                <w:szCs w:val="1"/>
                <w:color w:val="auto"/>
              </w:rPr>
            </w:pPr>
          </w:p>
        </w:tc>
      </w:tr>
      <w:tr>
        <w:trPr>
          <w:trHeight w:val="190"/>
        </w:trPr>
        <w:tc>
          <w:tcPr>
            <w:tcW w:w="2380" w:type="dxa"/>
            <w:vAlign w:val="bottom"/>
            <w:tcBorders>
              <w:bottom w:val="single" w:sz="8" w:color="CCEEFF"/>
            </w:tcBorders>
            <w:gridSpan w:val="2"/>
          </w:tcPr>
          <w:p>
            <w:pPr>
              <w:ind w:left="220"/>
              <w:spacing w:after="0"/>
              <w:rPr>
                <w:sz w:val="20"/>
                <w:szCs w:val="20"/>
                <w:color w:val="auto"/>
              </w:rPr>
            </w:pPr>
            <w:r>
              <w:rPr>
                <w:rFonts w:ascii="Times New Roman" w:cs="Times New Roman" w:eastAsia="Times New Roman" w:hAnsi="Times New Roman"/>
                <w:sz w:val="14"/>
                <w:szCs w:val="14"/>
                <w:color w:val="auto"/>
              </w:rPr>
              <w:t>Total 30-year</w:t>
            </w:r>
          </w:p>
        </w:tc>
        <w:tc>
          <w:tcPr>
            <w:tcW w:w="8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63,012</w:t>
            </w:r>
          </w:p>
        </w:tc>
        <w:tc>
          <w:tcPr>
            <w:tcW w:w="120" w:type="dxa"/>
            <w:vAlign w:val="bottom"/>
            <w:tcBorders>
              <w:bottom w:val="single" w:sz="8" w:color="CCEEFF"/>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65,218</w:t>
            </w:r>
          </w:p>
        </w:tc>
        <w:tc>
          <w:tcPr>
            <w:tcW w:w="10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62,553</w:t>
            </w:r>
          </w:p>
        </w:tc>
        <w:tc>
          <w:tcPr>
            <w:tcW w:w="120" w:type="dxa"/>
            <w:vAlign w:val="bottom"/>
            <w:tcBorders>
              <w:bottom w:val="single" w:sz="8" w:color="CCEEFF"/>
            </w:tcBorders>
          </w:tcPr>
          <w:p>
            <w:pPr>
              <w:spacing w:after="0"/>
              <w:rPr>
                <w:sz w:val="16"/>
                <w:szCs w:val="16"/>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49%</w:t>
            </w:r>
          </w:p>
        </w:tc>
        <w:tc>
          <w:tcPr>
            <w:tcW w:w="220" w:type="dxa"/>
            <w:vAlign w:val="bottom"/>
            <w:tcBorders>
              <w:bottom w:val="single" w:sz="8" w:color="CCEEFF"/>
            </w:tcBorders>
          </w:tcPr>
          <w:p>
            <w:pPr>
              <w:spacing w:after="0"/>
              <w:rPr>
                <w:sz w:val="16"/>
                <w:szCs w:val="16"/>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103.8%</w:t>
            </w:r>
          </w:p>
        </w:tc>
        <w:tc>
          <w:tcPr>
            <w:tcW w:w="120" w:type="dxa"/>
            <w:vAlign w:val="bottom"/>
            <w:tcBorders>
              <w:bottom w:val="single" w:sz="8" w:color="CCEEFF"/>
            </w:tcBorders>
          </w:tcPr>
          <w:p>
            <w:pPr>
              <w:spacing w:after="0"/>
              <w:rPr>
                <w:sz w:val="16"/>
                <w:szCs w:val="16"/>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3.72%</w:t>
            </w:r>
          </w:p>
        </w:tc>
        <w:tc>
          <w:tcPr>
            <w:tcW w:w="140" w:type="dxa"/>
            <w:vAlign w:val="bottom"/>
            <w:tcBorders>
              <w:bottom w:val="single" w:sz="8" w:color="CCEEFF"/>
            </w:tcBorders>
          </w:tcPr>
          <w:p>
            <w:pPr>
              <w:spacing w:after="0"/>
              <w:rPr>
                <w:sz w:val="16"/>
                <w:szCs w:val="16"/>
                <w:color w:val="auto"/>
              </w:rPr>
            </w:pPr>
          </w:p>
        </w:tc>
        <w:tc>
          <w:tcPr>
            <w:tcW w:w="720" w:type="dxa"/>
            <w:vAlign w:val="bottom"/>
            <w:tcBorders>
              <w:top w:val="single" w:sz="8" w:color="auto"/>
              <w:bottom w:val="single" w:sz="8" w:color="auto"/>
            </w:tcBorders>
          </w:tcPr>
          <w:p>
            <w:pPr>
              <w:ind w:left="180"/>
              <w:spacing w:after="0"/>
              <w:rPr>
                <w:sz w:val="20"/>
                <w:szCs w:val="20"/>
                <w:color w:val="auto"/>
              </w:rPr>
            </w:pPr>
            <w:r>
              <w:rPr>
                <w:rFonts w:ascii="Times New Roman" w:cs="Times New Roman" w:eastAsia="Times New Roman" w:hAnsi="Times New Roman"/>
                <w:sz w:val="14"/>
                <w:szCs w:val="14"/>
                <w:color w:val="auto"/>
              </w:rPr>
              <w:t>2.49%</w:t>
            </w:r>
          </w:p>
        </w:tc>
        <w:tc>
          <w:tcPr>
            <w:tcW w:w="120" w:type="dxa"/>
            <w:vAlign w:val="bottom"/>
            <w:tcBorders>
              <w:bottom w:val="single" w:sz="8" w:color="CCEEFF"/>
            </w:tcBorders>
          </w:tcPr>
          <w:p>
            <w:pPr>
              <w:spacing w:after="0"/>
              <w:rPr>
                <w:sz w:val="16"/>
                <w:szCs w:val="16"/>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39</w:t>
            </w:r>
          </w:p>
        </w:tc>
        <w:tc>
          <w:tcPr>
            <w:tcW w:w="100" w:type="dxa"/>
            <w:vAlign w:val="bottom"/>
            <w:tcBorders>
              <w:bottom w:val="single" w:sz="8" w:color="CCEEFF"/>
            </w:tcBorders>
          </w:tcPr>
          <w:p>
            <w:pPr>
              <w:spacing w:after="0"/>
              <w:rPr>
                <w:sz w:val="16"/>
                <w:szCs w:val="16"/>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6"/>
              </w:rPr>
              <w:t>8%</w:t>
            </w:r>
          </w:p>
        </w:tc>
        <w:tc>
          <w:tcPr>
            <w:tcW w:w="0" w:type="dxa"/>
            <w:vAlign w:val="bottom"/>
          </w:tcPr>
          <w:p>
            <w:pPr>
              <w:spacing w:after="0"/>
              <w:rPr>
                <w:sz w:val="1"/>
                <w:szCs w:val="1"/>
                <w:color w:val="auto"/>
              </w:rPr>
            </w:pPr>
          </w:p>
        </w:tc>
      </w:tr>
      <w:tr>
        <w:trPr>
          <w:trHeight w:val="228"/>
        </w:trPr>
        <w:tc>
          <w:tcPr>
            <w:tcW w:w="238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Total fixed rate</w:t>
            </w:r>
          </w:p>
        </w:tc>
        <w:tc>
          <w:tcPr>
            <w:tcW w:w="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67,141</w:t>
            </w: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69,472</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66,667</w:t>
            </w:r>
          </w:p>
        </w:tc>
        <w:tc>
          <w:tcPr>
            <w:tcW w:w="12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50%</w:t>
            </w:r>
          </w:p>
        </w:tc>
        <w:tc>
          <w:tcPr>
            <w:tcW w:w="22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103.8%</w:t>
            </w:r>
          </w:p>
        </w:tc>
        <w:tc>
          <w:tcPr>
            <w:tcW w:w="120" w:type="dxa"/>
            <w:vAlign w:val="bottom"/>
            <w:tcBorders>
              <w:bottom w:val="single" w:sz="8" w:color="CCEEFF"/>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3.70%</w:t>
            </w:r>
          </w:p>
        </w:tc>
        <w:tc>
          <w:tcPr>
            <w:tcW w:w="140" w:type="dxa"/>
            <w:vAlign w:val="bottom"/>
            <w:tcBorders>
              <w:bottom w:val="single" w:sz="8" w:color="CCEEFF"/>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2.46%</w:t>
            </w:r>
          </w:p>
        </w:tc>
        <w:tc>
          <w:tcPr>
            <w:tcW w:w="12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39</w:t>
            </w:r>
          </w:p>
        </w:tc>
        <w:tc>
          <w:tcPr>
            <w:tcW w:w="10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6"/>
              </w:rPr>
              <w:t>8%</w:t>
            </w:r>
          </w:p>
        </w:tc>
        <w:tc>
          <w:tcPr>
            <w:tcW w:w="0" w:type="dxa"/>
            <w:vAlign w:val="bottom"/>
          </w:tcPr>
          <w:p>
            <w:pPr>
              <w:spacing w:after="0"/>
              <w:rPr>
                <w:sz w:val="1"/>
                <w:szCs w:val="1"/>
                <w:color w:val="auto"/>
              </w:rPr>
            </w:pPr>
          </w:p>
        </w:tc>
      </w:tr>
      <w:tr>
        <w:trPr>
          <w:trHeight w:val="20"/>
        </w:trPr>
        <w:tc>
          <w:tcPr>
            <w:tcW w:w="22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jc w:val="both"/>
        <w:ind w:left="660" w:hanging="328"/>
        <w:spacing w:after="0" w:line="256" w:lineRule="auto"/>
        <w:tabs>
          <w:tab w:leader="none" w:pos="660" w:val="left"/>
        </w:tabs>
        <w:numPr>
          <w:ilvl w:val="0"/>
          <w:numId w:val="2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Specified pools include pools backed by lower balance loans with original loan balances of up to $200K, HARP pools (defined as pools that were issued between May 2009 and December 2018 and backed by 100% refinance loans with original LTVs ≥ 80%), and pools backed by loans 100% originated in New York and Puerto Rico. As of March 31, 2022, lower balance specified pools had a weighted average original loan balance of $122,000 and $122,000 for 15-year and 30-year securities, respectively, and HARP pools had a weighted average original LTV of 128% and 138% for 15-year and 30-year securities, respectively.</w:t>
      </w:r>
    </w:p>
    <w:p>
      <w:pPr>
        <w:ind w:left="660" w:hanging="328"/>
        <w:spacing w:after="0"/>
        <w:tabs>
          <w:tab w:leader="none" w:pos="660" w:val="left"/>
        </w:tabs>
        <w:numPr>
          <w:ilvl w:val="0"/>
          <w:numId w:val="2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WAC represents the weighted average coupon of the underlying collateral.</w:t>
      </w:r>
    </w:p>
    <w:p>
      <w:pPr>
        <w:spacing w:after="0" w:line="14"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Portfolio yield incorporates a projected life CPR based on forward rate assumptions as of March 31,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29" w:name="page30"/>
    <w:bookmarkEnd w:id="29"/>
    <w:tbl>
      <w:tblPr>
        <w:tblLayout w:type="fixed"/>
        <w:tblInd w:w="0" w:type="dxa"/>
        <w:tblCellMar>
          <w:top w:w="0" w:type="dxa"/>
          <w:left w:w="0" w:type="dxa"/>
          <w:bottom w:w="0" w:type="dxa"/>
          <w:right w:w="0" w:type="dxa"/>
        </w:tblCellMar>
      </w:tblPr>
      <w:tr>
        <w:trPr>
          <w:trHeight w:val="190"/>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138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22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840" w:type="dxa"/>
            <w:vAlign w:val="bottom"/>
            <w:tcBorders>
              <w:bottom w:val="single" w:sz="8" w:color="auto"/>
            </w:tcBorders>
            <w:gridSpan w:val="5"/>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2720" w:type="dxa"/>
            <w:vAlign w:val="bottom"/>
            <w:tcBorders>
              <w:bottom w:val="single" w:sz="8" w:color="auto"/>
            </w:tcBorders>
            <w:gridSpan w:val="6"/>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2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0" w:type="dxa"/>
            <w:vAlign w:val="bottom"/>
            <w:tcBorders>
              <w:bottom w:val="single" w:sz="8" w:color="auto"/>
            </w:tcBorders>
          </w:tcPr>
          <w:p>
            <w:pPr>
              <w:spacing w:after="0"/>
              <w:rPr>
                <w:sz w:val="16"/>
                <w:szCs w:val="16"/>
                <w:color w:val="auto"/>
              </w:rPr>
            </w:pPr>
          </w:p>
        </w:tc>
        <w:tc>
          <w:tcPr>
            <w:tcW w:w="70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840" w:type="dxa"/>
            <w:vAlign w:val="bottom"/>
            <w:tcBorders>
              <w:bottom w:val="single" w:sz="8" w:color="auto"/>
            </w:tcBorders>
            <w:gridSpan w:val="5"/>
          </w:tcPr>
          <w:p>
            <w:pPr>
              <w:ind w:left="40"/>
              <w:spacing w:after="0"/>
              <w:rPr>
                <w:sz w:val="20"/>
                <w:szCs w:val="20"/>
                <w:color w:val="auto"/>
              </w:rPr>
            </w:pPr>
            <w:r>
              <w:rPr>
                <w:rFonts w:ascii="Times New Roman" w:cs="Times New Roman" w:eastAsia="Times New Roman" w:hAnsi="Times New Roman"/>
                <w:sz w:val="14"/>
                <w:szCs w:val="14"/>
                <w:b w:val="1"/>
                <w:bCs w:val="1"/>
                <w:color w:val="auto"/>
              </w:rPr>
              <w:t>Includes Net TBA Position</w:t>
            </w:r>
          </w:p>
        </w:tc>
        <w:tc>
          <w:tcPr>
            <w:tcW w:w="900" w:type="dxa"/>
            <w:vAlign w:val="bottom"/>
            <w:tcBorders>
              <w:bottom w:val="single" w:sz="8" w:color="auto"/>
            </w:tcBorders>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2720" w:type="dxa"/>
            <w:vAlign w:val="bottom"/>
            <w:tcBorders>
              <w:bottom w:val="single" w:sz="8" w:color="auto"/>
            </w:tcBorders>
            <w:gridSpan w:val="6"/>
          </w:tcPr>
          <w:p>
            <w:pPr>
              <w:ind w:left="400"/>
              <w:spacing w:after="0"/>
              <w:rPr>
                <w:sz w:val="20"/>
                <w:szCs w:val="20"/>
                <w:color w:val="auto"/>
              </w:rPr>
            </w:pPr>
            <w:r>
              <w:rPr>
                <w:rFonts w:ascii="Times New Roman" w:cs="Times New Roman" w:eastAsia="Times New Roman" w:hAnsi="Times New Roman"/>
                <w:sz w:val="14"/>
                <w:szCs w:val="14"/>
                <w:b w:val="1"/>
                <w:bCs w:val="1"/>
                <w:color w:val="auto"/>
              </w:rPr>
              <w:t>Excludes Net TBA Position</w:t>
            </w:r>
          </w:p>
        </w:tc>
        <w:tc>
          <w:tcPr>
            <w:tcW w:w="9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23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Fixed Rate Agency RMBS and TBA</w:t>
            </w:r>
          </w:p>
        </w:tc>
        <w:tc>
          <w:tcPr>
            <w:tcW w:w="8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20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900" w:type="dxa"/>
            <w:vAlign w:val="bottom"/>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Specified Pool</w:t>
            </w:r>
          </w:p>
        </w:tc>
        <w:tc>
          <w:tcPr>
            <w:tcW w:w="220" w:type="dxa"/>
            <w:vAlign w:val="bottom"/>
          </w:tcPr>
          <w:p>
            <w:pPr>
              <w:spacing w:after="0"/>
              <w:rPr>
                <w:sz w:val="17"/>
                <w:szCs w:val="17"/>
                <w:color w:val="auto"/>
              </w:rPr>
            </w:pPr>
          </w:p>
        </w:tc>
        <w:tc>
          <w:tcPr>
            <w:tcW w:w="1160" w:type="dxa"/>
            <w:vAlign w:val="bottom"/>
            <w:gridSpan w:val="2"/>
            <w:vMerge w:val="restart"/>
          </w:tcPr>
          <w:p>
            <w:pPr>
              <w:ind w:left="180"/>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680" w:type="dxa"/>
            <w:vAlign w:val="bottom"/>
            <w:tcBorders>
              <w:bottom w:val="single" w:sz="8" w:color="auto"/>
            </w:tcBorders>
          </w:tcPr>
          <w:p>
            <w:pPr>
              <w:spacing w:after="0"/>
              <w:rPr>
                <w:sz w:val="17"/>
                <w:szCs w:val="17"/>
                <w:color w:val="auto"/>
              </w:rPr>
            </w:pPr>
          </w:p>
        </w:tc>
        <w:tc>
          <w:tcPr>
            <w:tcW w:w="1940" w:type="dxa"/>
            <w:vAlign w:val="bottom"/>
            <w:tcBorders>
              <w:bottom w:val="single" w:sz="8" w:color="auto"/>
            </w:tcBorders>
            <w:gridSpan w:val="4"/>
          </w:tcPr>
          <w:p>
            <w:pPr>
              <w:ind w:left="8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100" w:type="dxa"/>
            <w:vAlign w:val="bottom"/>
          </w:tcPr>
          <w:p>
            <w:pPr>
              <w:spacing w:after="0"/>
              <w:rPr>
                <w:sz w:val="17"/>
                <w:szCs w:val="17"/>
                <w:color w:val="auto"/>
              </w:rPr>
            </w:pPr>
          </w:p>
        </w:tc>
        <w:tc>
          <w:tcPr>
            <w:tcW w:w="9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Projected</w:t>
            </w:r>
          </w:p>
        </w:tc>
        <w:tc>
          <w:tcPr>
            <w:tcW w:w="0" w:type="dxa"/>
            <w:vAlign w:val="bottom"/>
          </w:tcPr>
          <w:p>
            <w:pPr>
              <w:spacing w:after="0"/>
              <w:rPr>
                <w:sz w:val="1"/>
                <w:szCs w:val="1"/>
                <w:color w:val="auto"/>
              </w:rPr>
            </w:pPr>
          </w:p>
        </w:tc>
      </w:tr>
      <w:tr>
        <w:trPr>
          <w:trHeight w:val="108"/>
        </w:trPr>
        <w:tc>
          <w:tcPr>
            <w:tcW w:w="2380" w:type="dxa"/>
            <w:vAlign w:val="bottom"/>
            <w:gridSpan w:val="2"/>
            <w:vMerge w:val="continue"/>
          </w:tcPr>
          <w:p>
            <w:pPr>
              <w:spacing w:after="0"/>
              <w:rPr>
                <w:sz w:val="9"/>
                <w:szCs w:val="9"/>
                <w:color w:val="auto"/>
              </w:rPr>
            </w:pPr>
          </w:p>
        </w:tc>
        <w:tc>
          <w:tcPr>
            <w:tcW w:w="80" w:type="dxa"/>
            <w:vAlign w:val="bottom"/>
          </w:tcPr>
          <w:p>
            <w:pPr>
              <w:spacing w:after="0"/>
              <w:rPr>
                <w:sz w:val="9"/>
                <w:szCs w:val="9"/>
                <w:color w:val="auto"/>
              </w:rPr>
            </w:pPr>
          </w:p>
        </w:tc>
        <w:tc>
          <w:tcPr>
            <w:tcW w:w="82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Par Value</w:t>
            </w:r>
          </w:p>
        </w:tc>
        <w:tc>
          <w:tcPr>
            <w:tcW w:w="120" w:type="dxa"/>
            <w:vAlign w:val="bottom"/>
          </w:tcPr>
          <w:p>
            <w:pPr>
              <w:spacing w:after="0"/>
              <w:rPr>
                <w:sz w:val="9"/>
                <w:szCs w:val="9"/>
                <w:color w:val="auto"/>
              </w:rPr>
            </w:pPr>
          </w:p>
        </w:tc>
        <w:tc>
          <w:tcPr>
            <w:tcW w:w="940" w:type="dxa"/>
            <w:vAlign w:val="bottom"/>
            <w:gridSpan w:val="2"/>
            <w:vMerge w:val="continue"/>
          </w:tcPr>
          <w:p>
            <w:pPr>
              <w:spacing w:after="0"/>
              <w:rPr>
                <w:sz w:val="9"/>
                <w:szCs w:val="9"/>
                <w:color w:val="auto"/>
              </w:rPr>
            </w:pPr>
          </w:p>
        </w:tc>
        <w:tc>
          <w:tcPr>
            <w:tcW w:w="900" w:type="dxa"/>
            <w:vAlign w:val="bottom"/>
            <w:gridSpan w:val="3"/>
            <w:vMerge w:val="restart"/>
          </w:tcPr>
          <w:p>
            <w:pPr>
              <w:ind w:left="80"/>
              <w:spacing w:after="0"/>
              <w:rPr>
                <w:sz w:val="20"/>
                <w:szCs w:val="20"/>
                <w:color w:val="auto"/>
              </w:rPr>
            </w:pPr>
            <w:r>
              <w:rPr>
                <w:rFonts w:ascii="Times New Roman" w:cs="Times New Roman" w:eastAsia="Times New Roman" w:hAnsi="Times New Roman"/>
                <w:sz w:val="14"/>
                <w:szCs w:val="14"/>
                <w:b w:val="1"/>
                <w:bCs w:val="1"/>
                <w:color w:val="auto"/>
              </w:rPr>
              <w:t>Fair Value</w:t>
            </w:r>
          </w:p>
        </w:tc>
        <w:tc>
          <w:tcPr>
            <w:tcW w:w="900" w:type="dxa"/>
            <w:vAlign w:val="bottom"/>
            <w:vMerge w:val="continue"/>
          </w:tcPr>
          <w:p>
            <w:pPr>
              <w:spacing w:after="0"/>
              <w:rPr>
                <w:sz w:val="9"/>
                <w:szCs w:val="9"/>
                <w:color w:val="auto"/>
              </w:rPr>
            </w:pPr>
          </w:p>
        </w:tc>
        <w:tc>
          <w:tcPr>
            <w:tcW w:w="220" w:type="dxa"/>
            <w:vAlign w:val="bottom"/>
          </w:tcPr>
          <w:p>
            <w:pPr>
              <w:spacing w:after="0"/>
              <w:rPr>
                <w:sz w:val="9"/>
                <w:szCs w:val="9"/>
                <w:color w:val="auto"/>
              </w:rPr>
            </w:pPr>
          </w:p>
        </w:tc>
        <w:tc>
          <w:tcPr>
            <w:tcW w:w="1160" w:type="dxa"/>
            <w:vAlign w:val="bottom"/>
            <w:gridSpan w:val="2"/>
            <w:vMerge w:val="continue"/>
          </w:tcPr>
          <w:p>
            <w:pPr>
              <w:spacing w:after="0"/>
              <w:rPr>
                <w:sz w:val="9"/>
                <w:szCs w:val="9"/>
                <w:color w:val="auto"/>
              </w:rPr>
            </w:pPr>
          </w:p>
        </w:tc>
        <w:tc>
          <w:tcPr>
            <w:tcW w:w="680" w:type="dxa"/>
            <w:vAlign w:val="bottom"/>
            <w:vMerge w:val="restart"/>
          </w:tcPr>
          <w:p>
            <w:pPr>
              <w:ind w:left="140"/>
              <w:spacing w:after="0"/>
              <w:rPr>
                <w:sz w:val="20"/>
                <w:szCs w:val="20"/>
                <w:color w:val="auto"/>
              </w:rPr>
            </w:pPr>
            <w:r>
              <w:rPr>
                <w:rFonts w:ascii="Times New Roman" w:cs="Times New Roman" w:eastAsia="Times New Roman" w:hAnsi="Times New Roman"/>
                <w:sz w:val="14"/>
                <w:szCs w:val="14"/>
                <w:b w:val="1"/>
                <w:bCs w:val="1"/>
                <w:color w:val="auto"/>
              </w:rPr>
              <w:t xml:space="preserve">WAC </w:t>
            </w:r>
            <w:r>
              <w:rPr>
                <w:rFonts w:ascii="Times New Roman" w:cs="Times New Roman" w:eastAsia="Times New Roman" w:hAnsi="Times New Roman"/>
                <w:sz w:val="18"/>
                <w:szCs w:val="18"/>
                <w:b w:val="1"/>
                <w:bCs w:val="1"/>
                <w:color w:val="auto"/>
                <w:vertAlign w:val="superscript"/>
              </w:rPr>
              <w:t>2</w:t>
            </w:r>
          </w:p>
        </w:tc>
        <w:tc>
          <w:tcPr>
            <w:tcW w:w="140" w:type="dxa"/>
            <w:vAlign w:val="bottom"/>
          </w:tcPr>
          <w:p>
            <w:pPr>
              <w:spacing w:after="0"/>
              <w:rPr>
                <w:sz w:val="9"/>
                <w:szCs w:val="9"/>
                <w:color w:val="auto"/>
              </w:rPr>
            </w:pPr>
          </w:p>
        </w:tc>
        <w:tc>
          <w:tcPr>
            <w:tcW w:w="840" w:type="dxa"/>
            <w:vAlign w:val="bottom"/>
            <w:gridSpan w:val="2"/>
            <w:vMerge w:val="restart"/>
          </w:tcPr>
          <w:p>
            <w:pPr>
              <w:ind w:left="160"/>
              <w:spacing w:after="0"/>
              <w:rPr>
                <w:sz w:val="20"/>
                <w:szCs w:val="20"/>
                <w:color w:val="auto"/>
              </w:rPr>
            </w:pPr>
            <w:r>
              <w:rPr>
                <w:rFonts w:ascii="Times New Roman" w:cs="Times New Roman" w:eastAsia="Times New Roman" w:hAnsi="Times New Roman"/>
                <w:sz w:val="14"/>
                <w:szCs w:val="14"/>
                <w:b w:val="1"/>
                <w:bCs w:val="1"/>
                <w:color w:val="auto"/>
              </w:rPr>
              <w:t xml:space="preserve">Yield </w:t>
            </w:r>
            <w:r>
              <w:rPr>
                <w:rFonts w:ascii="Times New Roman" w:cs="Times New Roman" w:eastAsia="Times New Roman" w:hAnsi="Times New Roman"/>
                <w:sz w:val="18"/>
                <w:szCs w:val="18"/>
                <w:b w:val="1"/>
                <w:bCs w:val="1"/>
                <w:color w:val="auto"/>
                <w:vertAlign w:val="superscript"/>
              </w:rPr>
              <w:t>3</w:t>
            </w:r>
          </w:p>
        </w:tc>
        <w:tc>
          <w:tcPr>
            <w:tcW w:w="1060" w:type="dxa"/>
            <w:vAlign w:val="bottom"/>
            <w:gridSpan w:val="2"/>
            <w:vMerge w:val="restart"/>
          </w:tcPr>
          <w:p>
            <w:pPr>
              <w:ind w:left="60"/>
              <w:spacing w:after="0"/>
              <w:rPr>
                <w:sz w:val="20"/>
                <w:szCs w:val="20"/>
                <w:color w:val="auto"/>
              </w:rPr>
            </w:pPr>
            <w:r>
              <w:rPr>
                <w:rFonts w:ascii="Times New Roman" w:cs="Times New Roman" w:eastAsia="Times New Roman" w:hAnsi="Times New Roman"/>
                <w:sz w:val="14"/>
                <w:szCs w:val="14"/>
                <w:b w:val="1"/>
                <w:bCs w:val="1"/>
                <w:color w:val="auto"/>
              </w:rPr>
              <w:t>Age (Months)</w:t>
            </w:r>
          </w:p>
        </w:tc>
        <w:tc>
          <w:tcPr>
            <w:tcW w:w="90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3"/>
        </w:trPr>
        <w:tc>
          <w:tcPr>
            <w:tcW w:w="238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Securities</w:t>
            </w:r>
          </w:p>
        </w:tc>
        <w:tc>
          <w:tcPr>
            <w:tcW w:w="80" w:type="dxa"/>
            <w:vAlign w:val="bottom"/>
          </w:tcPr>
          <w:p>
            <w:pPr>
              <w:spacing w:after="0"/>
              <w:rPr>
                <w:sz w:val="17"/>
                <w:szCs w:val="17"/>
                <w:color w:val="auto"/>
              </w:rPr>
            </w:pPr>
          </w:p>
        </w:tc>
        <w:tc>
          <w:tcPr>
            <w:tcW w:w="820" w:type="dxa"/>
            <w:vAlign w:val="bottom"/>
            <w:gridSpan w:val="2"/>
            <w:vMerge w:val="continue"/>
          </w:tcPr>
          <w:p>
            <w:pPr>
              <w:spacing w:after="0"/>
              <w:rPr>
                <w:sz w:val="17"/>
                <w:szCs w:val="17"/>
                <w:color w:val="auto"/>
              </w:rPr>
            </w:pPr>
          </w:p>
        </w:tc>
        <w:tc>
          <w:tcPr>
            <w:tcW w:w="120" w:type="dxa"/>
            <w:vAlign w:val="bottom"/>
          </w:tcPr>
          <w:p>
            <w:pPr>
              <w:spacing w:after="0"/>
              <w:rPr>
                <w:sz w:val="17"/>
                <w:szCs w:val="17"/>
                <w:color w:val="auto"/>
              </w:rPr>
            </w:pPr>
          </w:p>
        </w:tc>
        <w:tc>
          <w:tcPr>
            <w:tcW w:w="940" w:type="dxa"/>
            <w:vAlign w:val="bottom"/>
            <w:gridSpan w:val="2"/>
          </w:tcPr>
          <w:p>
            <w:pPr>
              <w:ind w:left="220"/>
              <w:spacing w:after="0"/>
              <w:rPr>
                <w:sz w:val="20"/>
                <w:szCs w:val="20"/>
                <w:color w:val="auto"/>
              </w:rPr>
            </w:pPr>
            <w:r>
              <w:rPr>
                <w:rFonts w:ascii="Times New Roman" w:cs="Times New Roman" w:eastAsia="Times New Roman" w:hAnsi="Times New Roman"/>
                <w:sz w:val="14"/>
                <w:szCs w:val="14"/>
                <w:b w:val="1"/>
                <w:bCs w:val="1"/>
                <w:color w:val="auto"/>
              </w:rPr>
              <w:t>Cost</w:t>
            </w:r>
          </w:p>
        </w:tc>
        <w:tc>
          <w:tcPr>
            <w:tcW w:w="900" w:type="dxa"/>
            <w:vAlign w:val="bottom"/>
            <w:gridSpan w:val="3"/>
            <w:vMerge w:val="continue"/>
          </w:tcPr>
          <w:p>
            <w:pPr>
              <w:spacing w:after="0"/>
              <w:rPr>
                <w:sz w:val="17"/>
                <w:szCs w:val="17"/>
                <w:color w:val="auto"/>
              </w:rPr>
            </w:pPr>
          </w:p>
        </w:tc>
        <w:tc>
          <w:tcPr>
            <w:tcW w:w="900" w:type="dxa"/>
            <w:vAlign w:val="bottom"/>
          </w:tcPr>
          <w:p>
            <w:pPr>
              <w:jc w:val="center"/>
              <w:spacing w:after="0" w:line="202" w:lineRule="exact"/>
              <w:rPr>
                <w:sz w:val="20"/>
                <w:szCs w:val="20"/>
                <w:color w:val="auto"/>
              </w:rPr>
            </w:pPr>
            <w:r>
              <w:rPr>
                <w:rFonts w:ascii="Times New Roman" w:cs="Times New Roman" w:eastAsia="Times New Roman" w:hAnsi="Times New Roman"/>
                <w:sz w:val="23"/>
                <w:szCs w:val="23"/>
                <w:b w:val="1"/>
                <w:bCs w:val="1"/>
                <w:color w:val="auto"/>
                <w:vertAlign w:val="subscript"/>
              </w:rPr>
              <w:t>%</w:t>
            </w:r>
            <w:r>
              <w:rPr>
                <w:rFonts w:ascii="Times New Roman" w:cs="Times New Roman" w:eastAsia="Times New Roman" w:hAnsi="Times New Roman"/>
                <w:sz w:val="8"/>
                <w:szCs w:val="8"/>
                <w:b w:val="1"/>
                <w:bCs w:val="1"/>
                <w:color w:val="auto"/>
              </w:rPr>
              <w:t xml:space="preserve"> 1</w:t>
            </w:r>
          </w:p>
        </w:tc>
        <w:tc>
          <w:tcPr>
            <w:tcW w:w="220" w:type="dxa"/>
            <w:vAlign w:val="bottom"/>
          </w:tcPr>
          <w:p>
            <w:pPr>
              <w:spacing w:after="0"/>
              <w:rPr>
                <w:sz w:val="17"/>
                <w:szCs w:val="17"/>
                <w:color w:val="auto"/>
              </w:rPr>
            </w:pPr>
          </w:p>
        </w:tc>
        <w:tc>
          <w:tcPr>
            <w:tcW w:w="1160" w:type="dxa"/>
            <w:vAlign w:val="bottom"/>
            <w:gridSpan w:val="2"/>
          </w:tcPr>
          <w:p>
            <w:pPr>
              <w:ind w:left="200"/>
              <w:spacing w:after="0"/>
              <w:rPr>
                <w:sz w:val="20"/>
                <w:szCs w:val="20"/>
                <w:color w:val="auto"/>
              </w:rPr>
            </w:pPr>
            <w:r>
              <w:rPr>
                <w:rFonts w:ascii="Times New Roman" w:cs="Times New Roman" w:eastAsia="Times New Roman" w:hAnsi="Times New Roman"/>
                <w:sz w:val="14"/>
                <w:szCs w:val="14"/>
                <w:b w:val="1"/>
                <w:bCs w:val="1"/>
                <w:color w:val="auto"/>
              </w:rPr>
              <w:t>Cost Basis</w:t>
            </w:r>
          </w:p>
        </w:tc>
        <w:tc>
          <w:tcPr>
            <w:tcW w:w="68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840" w:type="dxa"/>
            <w:vAlign w:val="bottom"/>
            <w:gridSpan w:val="2"/>
            <w:vMerge w:val="continue"/>
          </w:tcPr>
          <w:p>
            <w:pPr>
              <w:spacing w:after="0"/>
              <w:rPr>
                <w:sz w:val="17"/>
                <w:szCs w:val="17"/>
                <w:color w:val="auto"/>
              </w:rPr>
            </w:pPr>
          </w:p>
        </w:tc>
        <w:tc>
          <w:tcPr>
            <w:tcW w:w="1060" w:type="dxa"/>
            <w:vAlign w:val="bottom"/>
            <w:gridSpan w:val="2"/>
            <w:vMerge w:val="continue"/>
          </w:tcPr>
          <w:p>
            <w:pPr>
              <w:spacing w:after="0"/>
              <w:rPr>
                <w:sz w:val="17"/>
                <w:szCs w:val="17"/>
                <w:color w:val="auto"/>
              </w:rPr>
            </w:pPr>
          </w:p>
        </w:tc>
        <w:tc>
          <w:tcPr>
            <w:tcW w:w="900" w:type="dxa"/>
            <w:vAlign w:val="bottom"/>
          </w:tcPr>
          <w:p>
            <w:pPr>
              <w:jc w:val="center"/>
              <w:spacing w:after="0" w:line="202" w:lineRule="exact"/>
              <w:rPr>
                <w:sz w:val="20"/>
                <w:szCs w:val="20"/>
                <w:color w:val="auto"/>
              </w:rPr>
            </w:pPr>
            <w:r>
              <w:rPr>
                <w:rFonts w:ascii="Times New Roman" w:cs="Times New Roman" w:eastAsia="Times New Roman" w:hAnsi="Times New Roman"/>
                <w:sz w:val="14"/>
                <w:szCs w:val="14"/>
                <w:b w:val="1"/>
                <w:bCs w:val="1"/>
                <w:color w:val="auto"/>
                <w:w w:val="99"/>
              </w:rPr>
              <w:t xml:space="preserve">CPR </w:t>
            </w:r>
            <w:r>
              <w:rPr>
                <w:rFonts w:ascii="Times New Roman" w:cs="Times New Roman" w:eastAsia="Times New Roman" w:hAnsi="Times New Roman"/>
                <w:sz w:val="18"/>
                <w:szCs w:val="18"/>
                <w:b w:val="1"/>
                <w:bCs w:val="1"/>
                <w:color w:val="auto"/>
                <w:w w:val="99"/>
                <w:vertAlign w:val="superscript"/>
              </w:rPr>
              <w:t>3</w:t>
            </w:r>
          </w:p>
        </w:tc>
        <w:tc>
          <w:tcPr>
            <w:tcW w:w="0" w:type="dxa"/>
            <w:vAlign w:val="bottom"/>
          </w:tcPr>
          <w:p>
            <w:pPr>
              <w:spacing w:after="0"/>
              <w:rPr>
                <w:sz w:val="1"/>
                <w:szCs w:val="1"/>
                <w:color w:val="auto"/>
              </w:rPr>
            </w:pPr>
          </w:p>
        </w:tc>
      </w:tr>
      <w:tr>
        <w:trPr>
          <w:trHeight w:val="196"/>
        </w:trPr>
        <w:tc>
          <w:tcPr>
            <w:tcW w:w="22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Fixed rate</w:t>
            </w:r>
          </w:p>
        </w:tc>
        <w:tc>
          <w:tcPr>
            <w:tcW w:w="120" w:type="dxa"/>
            <w:vAlign w:val="bottom"/>
            <w:tcBorders>
              <w:top w:val="single" w:sz="8" w:color="CCEEFF"/>
            </w:tcBorders>
            <w:shd w:val="clear" w:color="auto" w:fill="CCEEFF"/>
          </w:tcPr>
          <w:p>
            <w:pPr>
              <w:spacing w:after="0"/>
              <w:rPr>
                <w:sz w:val="17"/>
                <w:szCs w:val="17"/>
                <w:color w:val="auto"/>
              </w:rPr>
            </w:pPr>
          </w:p>
        </w:tc>
        <w:tc>
          <w:tcPr>
            <w:tcW w:w="80" w:type="dxa"/>
            <w:vAlign w:val="bottom"/>
            <w:tcBorders>
              <w:top w:val="single" w:sz="8" w:color="auto"/>
            </w:tcBorders>
            <w:shd w:val="clear" w:color="auto" w:fill="CCEEFF"/>
          </w:tcPr>
          <w:p>
            <w:pPr>
              <w:spacing w:after="0"/>
              <w:rPr>
                <w:sz w:val="17"/>
                <w:szCs w:val="17"/>
                <w:color w:val="auto"/>
              </w:rPr>
            </w:pPr>
          </w:p>
        </w:tc>
        <w:tc>
          <w:tcPr>
            <w:tcW w:w="70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spacing w:after="0"/>
              <w:rPr>
                <w:sz w:val="17"/>
                <w:szCs w:val="17"/>
                <w:color w:val="auto"/>
              </w:rPr>
            </w:pPr>
          </w:p>
        </w:tc>
        <w:tc>
          <w:tcPr>
            <w:tcW w:w="84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tcBorders>
            <w:shd w:val="clear" w:color="auto" w:fill="CCEEFF"/>
          </w:tcPr>
          <w:p>
            <w:pPr>
              <w:spacing w:after="0"/>
              <w:rPr>
                <w:sz w:val="17"/>
                <w:szCs w:val="17"/>
                <w:color w:val="auto"/>
              </w:rPr>
            </w:pPr>
          </w:p>
        </w:tc>
        <w:tc>
          <w:tcPr>
            <w:tcW w:w="58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220" w:type="dxa"/>
            <w:vAlign w:val="bottom"/>
            <w:tcBorders>
              <w:top w:val="single" w:sz="8" w:color="CCEEFF"/>
            </w:tcBorders>
            <w:shd w:val="clear" w:color="auto" w:fill="CCEEFF"/>
          </w:tcPr>
          <w:p>
            <w:pPr>
              <w:spacing w:after="0"/>
              <w:rPr>
                <w:sz w:val="17"/>
                <w:szCs w:val="17"/>
                <w:color w:val="auto"/>
              </w:rPr>
            </w:pPr>
          </w:p>
        </w:tc>
        <w:tc>
          <w:tcPr>
            <w:tcW w:w="104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tcBorders>
            <w:shd w:val="clear" w:color="auto" w:fill="CCEEFF"/>
          </w:tcPr>
          <w:p>
            <w:pPr>
              <w:spacing w:after="0"/>
              <w:rPr>
                <w:sz w:val="17"/>
                <w:szCs w:val="17"/>
                <w:color w:val="auto"/>
              </w:rPr>
            </w:pPr>
          </w:p>
        </w:tc>
        <w:tc>
          <w:tcPr>
            <w:tcW w:w="14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spacing w:after="0"/>
              <w:rPr>
                <w:sz w:val="17"/>
                <w:szCs w:val="17"/>
                <w:color w:val="auto"/>
              </w:rPr>
            </w:pPr>
          </w:p>
        </w:tc>
        <w:tc>
          <w:tcPr>
            <w:tcW w:w="12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tcBorders>
            <w:shd w:val="clear" w:color="auto" w:fill="CCEEFF"/>
          </w:tcPr>
          <w:p>
            <w:pPr>
              <w:spacing w:after="0"/>
              <w:rPr>
                <w:sz w:val="17"/>
                <w:szCs w:val="17"/>
                <w:color w:val="auto"/>
              </w:rPr>
            </w:pPr>
          </w:p>
        </w:tc>
        <w:tc>
          <w:tcPr>
            <w:tcW w:w="10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195"/>
        </w:trPr>
        <w:tc>
          <w:tcPr>
            <w:tcW w:w="2380" w:type="dxa"/>
            <w:vAlign w:val="bottom"/>
            <w:gridSpan w:val="2"/>
          </w:tcPr>
          <w:p>
            <w:pPr>
              <w:ind w:left="220"/>
              <w:spacing w:after="0"/>
              <w:rPr>
                <w:sz w:val="20"/>
                <w:szCs w:val="20"/>
                <w:color w:val="auto"/>
              </w:rPr>
            </w:pPr>
            <w:r>
              <w:rPr>
                <w:rFonts w:ascii="Times New Roman" w:cs="Times New Roman" w:eastAsia="Times New Roman" w:hAnsi="Times New Roman"/>
                <w:sz w:val="14"/>
                <w:szCs w:val="14"/>
                <w:color w:val="auto"/>
              </w:rPr>
              <w:t>≤ 15-year:</w:t>
            </w:r>
          </w:p>
        </w:tc>
        <w:tc>
          <w:tcPr>
            <w:tcW w:w="8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0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9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1.5%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1,184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1,184</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1,185</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center"/>
              <w:ind w:right="140"/>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8"/>
                <w:szCs w:val="18"/>
                <w:color w:val="auto"/>
              </w:rPr>
            </w:pPr>
          </w:p>
        </w:tc>
        <w:tc>
          <w:tcPr>
            <w:tcW w:w="840" w:type="dxa"/>
            <w:vAlign w:val="bottom"/>
            <w:gridSpan w:val="2"/>
            <w:shd w:val="clear" w:color="auto" w:fill="CCEEFF"/>
          </w:tcPr>
          <w:p>
            <w:pPr>
              <w:jc w:val="center"/>
              <w:ind w:right="100"/>
              <w:spacing w:after="0"/>
              <w:rPr>
                <w:sz w:val="20"/>
                <w:szCs w:val="20"/>
                <w:color w:val="auto"/>
              </w:rPr>
            </w:pPr>
            <w:r>
              <w:rPr>
                <w:rFonts w:ascii="Times New Roman" w:cs="Times New Roman" w:eastAsia="Times New Roman" w:hAnsi="Times New Roman"/>
                <w:sz w:val="14"/>
                <w:szCs w:val="14"/>
                <w:color w:val="auto"/>
              </w:rPr>
              <w:t>—%</w:t>
            </w:r>
          </w:p>
        </w:tc>
        <w:tc>
          <w:tcPr>
            <w:tcW w:w="1060" w:type="dxa"/>
            <w:vAlign w:val="bottom"/>
            <w:gridSpan w:val="2"/>
            <w:shd w:val="clear" w:color="auto" w:fill="CCEEFF"/>
          </w:tcPr>
          <w:p>
            <w:pPr>
              <w:jc w:val="center"/>
              <w:ind w:right="120"/>
              <w:spacing w:after="0"/>
              <w:rPr>
                <w:sz w:val="20"/>
                <w:szCs w:val="20"/>
                <w:color w:val="auto"/>
              </w:rPr>
            </w:pPr>
            <w:r>
              <w:rPr>
                <w:rFonts w:ascii="Times New Roman" w:cs="Times New Roman" w:eastAsia="Times New Roman" w:hAnsi="Times New Roman"/>
                <w:sz w:val="14"/>
                <w:szCs w:val="14"/>
                <w:color w:val="auto"/>
                <w:w w:val="99"/>
              </w:rPr>
              <w:t>—</w:t>
            </w: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2.0%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914</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933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934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6%</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102.9%</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2.68%</w:t>
            </w:r>
          </w:p>
        </w:tc>
        <w:tc>
          <w:tcPr>
            <w:tcW w:w="860" w:type="dxa"/>
            <w:vAlign w:val="bottom"/>
            <w:gridSpan w:val="2"/>
          </w:tcPr>
          <w:p>
            <w:pPr>
              <w:jc w:val="center"/>
              <w:ind w:left="68"/>
              <w:spacing w:after="0"/>
              <w:rPr>
                <w:sz w:val="20"/>
                <w:szCs w:val="20"/>
                <w:color w:val="auto"/>
              </w:rPr>
            </w:pPr>
            <w:r>
              <w:rPr>
                <w:rFonts w:ascii="Times New Roman" w:cs="Times New Roman" w:eastAsia="Times New Roman" w:hAnsi="Times New Roman"/>
                <w:sz w:val="14"/>
                <w:szCs w:val="14"/>
                <w:color w:val="auto"/>
                <w:w w:val="99"/>
              </w:rPr>
              <w:t>1.29%</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13</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11%</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2.5%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312</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329</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326</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100%</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105.4%</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3.03%</w:t>
            </w:r>
          </w:p>
        </w:tc>
        <w:tc>
          <w:tcPr>
            <w:tcW w:w="860" w:type="dxa"/>
            <w:vAlign w:val="bottom"/>
            <w:gridSpan w:val="2"/>
            <w:shd w:val="clear" w:color="auto" w:fill="CCEEFF"/>
          </w:tcPr>
          <w:p>
            <w:pPr>
              <w:jc w:val="center"/>
              <w:ind w:left="68"/>
              <w:spacing w:after="0"/>
              <w:rPr>
                <w:sz w:val="20"/>
                <w:szCs w:val="20"/>
                <w:color w:val="auto"/>
              </w:rPr>
            </w:pPr>
            <w:r>
              <w:rPr>
                <w:rFonts w:ascii="Times New Roman" w:cs="Times New Roman" w:eastAsia="Times New Roman" w:hAnsi="Times New Roman"/>
                <w:sz w:val="14"/>
                <w:szCs w:val="14"/>
                <w:color w:val="auto"/>
                <w:w w:val="99"/>
              </w:rPr>
              <w:t>1.16%</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27</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13%</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806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818</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848</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99%</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101.5%</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3.55%</w:t>
            </w:r>
          </w:p>
        </w:tc>
        <w:tc>
          <w:tcPr>
            <w:tcW w:w="860" w:type="dxa"/>
            <w:vAlign w:val="bottom"/>
            <w:gridSpan w:val="2"/>
          </w:tcPr>
          <w:p>
            <w:pPr>
              <w:jc w:val="center"/>
              <w:ind w:left="68"/>
              <w:spacing w:after="0"/>
              <w:rPr>
                <w:sz w:val="20"/>
                <w:szCs w:val="20"/>
                <w:color w:val="auto"/>
              </w:rPr>
            </w:pPr>
            <w:r>
              <w:rPr>
                <w:rFonts w:ascii="Times New Roman" w:cs="Times New Roman" w:eastAsia="Times New Roman" w:hAnsi="Times New Roman"/>
                <w:sz w:val="14"/>
                <w:szCs w:val="14"/>
                <w:color w:val="auto"/>
                <w:w w:val="99"/>
              </w:rPr>
              <w:t>2.46%</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55</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15%</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869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887</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924</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100%</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102.0%</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4.03%</w:t>
            </w:r>
          </w:p>
        </w:tc>
        <w:tc>
          <w:tcPr>
            <w:tcW w:w="860" w:type="dxa"/>
            <w:vAlign w:val="bottom"/>
            <w:gridSpan w:val="2"/>
            <w:shd w:val="clear" w:color="auto" w:fill="CCEEFF"/>
          </w:tcPr>
          <w:p>
            <w:pPr>
              <w:jc w:val="center"/>
              <w:ind w:left="68"/>
              <w:spacing w:after="0"/>
              <w:rPr>
                <w:sz w:val="20"/>
                <w:szCs w:val="20"/>
                <w:color w:val="auto"/>
              </w:rPr>
            </w:pPr>
            <w:r>
              <w:rPr>
                <w:rFonts w:ascii="Times New Roman" w:cs="Times New Roman" w:eastAsia="Times New Roman" w:hAnsi="Times New Roman"/>
                <w:sz w:val="14"/>
                <w:szCs w:val="14"/>
                <w:color w:val="auto"/>
                <w:w w:val="99"/>
              </w:rPr>
              <w:t>2.73%</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52</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18%</w:t>
            </w:r>
          </w:p>
        </w:tc>
        <w:tc>
          <w:tcPr>
            <w:tcW w:w="0" w:type="dxa"/>
            <w:vAlign w:val="bottom"/>
          </w:tcPr>
          <w:p>
            <w:pPr>
              <w:spacing w:after="0"/>
              <w:rPr>
                <w:sz w:val="1"/>
                <w:szCs w:val="1"/>
                <w:color w:val="auto"/>
              </w:rPr>
            </w:pPr>
          </w:p>
        </w:tc>
      </w:tr>
      <w:tr>
        <w:trPr>
          <w:trHeight w:val="196"/>
        </w:trPr>
        <w:tc>
          <w:tcPr>
            <w:tcW w:w="2380" w:type="dxa"/>
            <w:vAlign w:val="bottom"/>
            <w:gridSpan w:val="2"/>
          </w:tcPr>
          <w:p>
            <w:pPr>
              <w:ind w:left="360"/>
              <w:spacing w:after="0"/>
              <w:rPr>
                <w:sz w:val="20"/>
                <w:szCs w:val="20"/>
                <w:color w:val="auto"/>
              </w:rPr>
            </w:pPr>
            <w:r>
              <w:rPr>
                <w:rFonts w:ascii="Times New Roman" w:cs="Times New Roman" w:eastAsia="Times New Roman" w:hAnsi="Times New Roman"/>
                <w:sz w:val="14"/>
                <w:szCs w:val="14"/>
                <w:color w:val="auto"/>
              </w:rPr>
              <w:t>≥ 4.0%</w:t>
            </w:r>
          </w:p>
        </w:tc>
        <w:tc>
          <w:tcPr>
            <w:tcW w:w="8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462</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475</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494</w:t>
            </w:r>
          </w:p>
        </w:tc>
        <w:tc>
          <w:tcPr>
            <w:tcW w:w="120" w:type="dxa"/>
            <w:vAlign w:val="bottom"/>
          </w:tcPr>
          <w:p>
            <w:pPr>
              <w:spacing w:after="0"/>
              <w:rPr>
                <w:sz w:val="17"/>
                <w:szCs w:val="17"/>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92%</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102.9%</w:t>
            </w:r>
          </w:p>
        </w:tc>
        <w:tc>
          <w:tcPr>
            <w:tcW w:w="120" w:type="dxa"/>
            <w:vAlign w:val="bottom"/>
          </w:tcPr>
          <w:p>
            <w:pPr>
              <w:spacing w:after="0"/>
              <w:rPr>
                <w:sz w:val="17"/>
                <w:szCs w:val="17"/>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4.61%</w:t>
            </w:r>
          </w:p>
        </w:tc>
        <w:tc>
          <w:tcPr>
            <w:tcW w:w="860" w:type="dxa"/>
            <w:vAlign w:val="bottom"/>
            <w:gridSpan w:val="2"/>
          </w:tcPr>
          <w:p>
            <w:pPr>
              <w:jc w:val="center"/>
              <w:ind w:left="68"/>
              <w:spacing w:after="0"/>
              <w:rPr>
                <w:sz w:val="20"/>
                <w:szCs w:val="20"/>
                <w:color w:val="auto"/>
              </w:rPr>
            </w:pPr>
            <w:r>
              <w:rPr>
                <w:rFonts w:ascii="Times New Roman" w:cs="Times New Roman" w:eastAsia="Times New Roman" w:hAnsi="Times New Roman"/>
                <w:sz w:val="14"/>
                <w:szCs w:val="14"/>
                <w:color w:val="auto"/>
                <w:w w:val="99"/>
              </w:rPr>
              <w:t>2.88%</w:t>
            </w:r>
          </w:p>
        </w:tc>
        <w:tc>
          <w:tcPr>
            <w:tcW w:w="120" w:type="dxa"/>
            <w:vAlign w:val="bottom"/>
          </w:tcPr>
          <w:p>
            <w:pPr>
              <w:spacing w:after="0"/>
              <w:rPr>
                <w:sz w:val="17"/>
                <w:szCs w:val="17"/>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50</w:t>
            </w:r>
          </w:p>
        </w:tc>
        <w:tc>
          <w:tcPr>
            <w:tcW w:w="100" w:type="dxa"/>
            <w:vAlign w:val="bottom"/>
          </w:tcPr>
          <w:p>
            <w:pPr>
              <w:spacing w:after="0"/>
              <w:rPr>
                <w:sz w:val="17"/>
                <w:szCs w:val="17"/>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19%</w:t>
            </w:r>
          </w:p>
        </w:tc>
        <w:tc>
          <w:tcPr>
            <w:tcW w:w="0" w:type="dxa"/>
            <w:vAlign w:val="bottom"/>
          </w:tcPr>
          <w:p>
            <w:pPr>
              <w:spacing w:after="0"/>
              <w:rPr>
                <w:sz w:val="1"/>
                <w:szCs w:val="1"/>
                <w:color w:val="auto"/>
              </w:rPr>
            </w:pPr>
          </w:p>
        </w:tc>
      </w:tr>
      <w:tr>
        <w:trPr>
          <w:trHeight w:val="203"/>
        </w:trPr>
        <w:tc>
          <w:tcPr>
            <w:tcW w:w="2380" w:type="dxa"/>
            <w:vAlign w:val="bottom"/>
            <w:tcBorders>
              <w:top w:val="single" w:sz="8" w:color="CCEEFF"/>
            </w:tcBorders>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Total ≤ 15-year</w:t>
            </w:r>
          </w:p>
        </w:tc>
        <w:tc>
          <w:tcPr>
            <w:tcW w:w="80" w:type="dxa"/>
            <w:vAlign w:val="bottom"/>
            <w:tcBorders>
              <w:top w:val="single" w:sz="8" w:color="auto"/>
              <w:bottom w:val="single" w:sz="8" w:color="auto"/>
            </w:tcBorders>
            <w:shd w:val="clear" w:color="auto" w:fill="CCEEFF"/>
          </w:tcPr>
          <w:p>
            <w:pPr>
              <w:spacing w:after="0"/>
              <w:rPr>
                <w:sz w:val="17"/>
                <w:szCs w:val="17"/>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4,547</w:t>
            </w: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bottom w:val="single" w:sz="8" w:color="auto"/>
            </w:tcBorders>
            <w:shd w:val="clear" w:color="auto" w:fill="CCEEFF"/>
          </w:tcPr>
          <w:p>
            <w:pPr>
              <w:spacing w:after="0"/>
              <w:rPr>
                <w:sz w:val="17"/>
                <w:szCs w:val="17"/>
                <w:color w:val="auto"/>
              </w:rPr>
            </w:pP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4,626</w:t>
            </w:r>
          </w:p>
        </w:tc>
        <w:tc>
          <w:tcPr>
            <w:tcW w:w="100" w:type="dxa"/>
            <w:vAlign w:val="bottom"/>
            <w:tcBorders>
              <w:top w:val="single" w:sz="8" w:color="CCEEFF"/>
            </w:tcBorders>
            <w:shd w:val="clear" w:color="auto" w:fill="CCEEFF"/>
          </w:tcPr>
          <w:p>
            <w:pPr>
              <w:spacing w:after="0"/>
              <w:rPr>
                <w:sz w:val="17"/>
                <w:szCs w:val="17"/>
                <w:color w:val="auto"/>
              </w:rPr>
            </w:pPr>
          </w:p>
        </w:tc>
        <w:tc>
          <w:tcPr>
            <w:tcW w:w="200" w:type="dxa"/>
            <w:vAlign w:val="bottom"/>
            <w:tcBorders>
              <w:top w:val="single" w:sz="8" w:color="auto"/>
              <w:bottom w:val="single" w:sz="8" w:color="auto"/>
            </w:tcBorders>
            <w:shd w:val="clear" w:color="auto" w:fill="CCEEFF"/>
          </w:tcPr>
          <w:p>
            <w:pPr>
              <w:spacing w:after="0"/>
              <w:rPr>
                <w:sz w:val="17"/>
                <w:szCs w:val="17"/>
                <w:color w:val="auto"/>
              </w:rPr>
            </w:pP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4,711</w:t>
            </w:r>
          </w:p>
        </w:tc>
        <w:tc>
          <w:tcPr>
            <w:tcW w:w="12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55%</w:t>
            </w:r>
          </w:p>
        </w:tc>
        <w:tc>
          <w:tcPr>
            <w:tcW w:w="220" w:type="dxa"/>
            <w:vAlign w:val="bottom"/>
            <w:tcBorders>
              <w:top w:val="single" w:sz="8" w:color="CCEEFF"/>
            </w:tcBorders>
            <w:shd w:val="clear" w:color="auto" w:fill="CCEEFF"/>
          </w:tcPr>
          <w:p>
            <w:pPr>
              <w:spacing w:after="0"/>
              <w:rPr>
                <w:sz w:val="17"/>
                <w:szCs w:val="17"/>
                <w:color w:val="auto"/>
              </w:rPr>
            </w:pPr>
          </w:p>
        </w:tc>
        <w:tc>
          <w:tcPr>
            <w:tcW w:w="104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102.5%</w:t>
            </w:r>
          </w:p>
        </w:tc>
        <w:tc>
          <w:tcPr>
            <w:tcW w:w="120" w:type="dxa"/>
            <w:vAlign w:val="bottom"/>
            <w:tcBorders>
              <w:top w:val="single" w:sz="8" w:color="CCEEFF"/>
            </w:tcBorders>
            <w:shd w:val="clear" w:color="auto" w:fill="CCEEFF"/>
          </w:tcPr>
          <w:p>
            <w:pPr>
              <w:spacing w:after="0"/>
              <w:rPr>
                <w:sz w:val="17"/>
                <w:szCs w:val="17"/>
                <w:color w:val="auto"/>
              </w:rPr>
            </w:pPr>
          </w:p>
        </w:tc>
        <w:tc>
          <w:tcPr>
            <w:tcW w:w="68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3.82%</w:t>
            </w:r>
          </w:p>
        </w:tc>
        <w:tc>
          <w:tcPr>
            <w:tcW w:w="140" w:type="dxa"/>
            <w:vAlign w:val="bottom"/>
            <w:tcBorders>
              <w:top w:val="single" w:sz="8" w:color="CCEEFF"/>
            </w:tcBorders>
            <w:shd w:val="clear" w:color="auto" w:fill="CCEEFF"/>
          </w:tcPr>
          <w:p>
            <w:pPr>
              <w:spacing w:after="0"/>
              <w:rPr>
                <w:sz w:val="17"/>
                <w:szCs w:val="17"/>
                <w:color w:val="auto"/>
              </w:rPr>
            </w:pPr>
          </w:p>
        </w:tc>
        <w:tc>
          <w:tcPr>
            <w:tcW w:w="72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2.44%</w:t>
            </w:r>
          </w:p>
        </w:tc>
        <w:tc>
          <w:tcPr>
            <w:tcW w:w="120" w:type="dxa"/>
            <w:vAlign w:val="bottom"/>
            <w:tcBorders>
              <w:top w:val="single" w:sz="8" w:color="CCEEFF"/>
            </w:tcBorders>
            <w:shd w:val="clear" w:color="auto" w:fill="CCEEFF"/>
          </w:tcPr>
          <w:p>
            <w:pPr>
              <w:spacing w:after="0"/>
              <w:rPr>
                <w:sz w:val="17"/>
                <w:szCs w:val="17"/>
                <w:color w:val="auto"/>
              </w:rPr>
            </w:pPr>
          </w:p>
        </w:tc>
        <w:tc>
          <w:tcPr>
            <w:tcW w:w="96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49</w:t>
            </w:r>
          </w:p>
        </w:tc>
        <w:tc>
          <w:tcPr>
            <w:tcW w:w="100" w:type="dxa"/>
            <w:vAlign w:val="bottom"/>
            <w:tcBorders>
              <w:top w:val="single" w:sz="8" w:color="CCEEFF"/>
            </w:tcBorders>
            <w:shd w:val="clear" w:color="auto" w:fill="CCEEFF"/>
          </w:tcPr>
          <w:p>
            <w:pPr>
              <w:spacing w:after="0"/>
              <w:rPr>
                <w:sz w:val="17"/>
                <w:szCs w:val="17"/>
                <w:color w:val="auto"/>
              </w:rPr>
            </w:pPr>
          </w:p>
        </w:tc>
        <w:tc>
          <w:tcPr>
            <w:tcW w:w="900" w:type="dxa"/>
            <w:vAlign w:val="bottom"/>
            <w:tcBorders>
              <w:top w:val="single" w:sz="8" w:color="auto"/>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16%</w:t>
            </w:r>
          </w:p>
        </w:tc>
        <w:tc>
          <w:tcPr>
            <w:tcW w:w="0" w:type="dxa"/>
            <w:vAlign w:val="bottom"/>
          </w:tcPr>
          <w:p>
            <w:pPr>
              <w:spacing w:after="0"/>
              <w:rPr>
                <w:sz w:val="1"/>
                <w:szCs w:val="1"/>
                <w:color w:val="auto"/>
              </w:rPr>
            </w:pPr>
          </w:p>
        </w:tc>
      </w:tr>
      <w:tr>
        <w:trPr>
          <w:trHeight w:val="175"/>
        </w:trPr>
        <w:tc>
          <w:tcPr>
            <w:tcW w:w="2380" w:type="dxa"/>
            <w:vAlign w:val="bottom"/>
            <w:gridSpan w:val="2"/>
          </w:tcPr>
          <w:p>
            <w:pPr>
              <w:ind w:left="180"/>
              <w:spacing w:after="0"/>
              <w:rPr>
                <w:sz w:val="20"/>
                <w:szCs w:val="20"/>
                <w:color w:val="auto"/>
              </w:rPr>
            </w:pPr>
            <w:r>
              <w:rPr>
                <w:rFonts w:ascii="Times New Roman" w:cs="Times New Roman" w:eastAsia="Times New Roman" w:hAnsi="Times New Roman"/>
                <w:sz w:val="14"/>
                <w:szCs w:val="14"/>
                <w:color w:val="auto"/>
              </w:rPr>
              <w:t>20-year:</w:t>
            </w:r>
          </w:p>
        </w:tc>
        <w:tc>
          <w:tcPr>
            <w:tcW w:w="8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9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38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 2.0%</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1,044</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1,076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1,055</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103.0%</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2.86%</w:t>
            </w:r>
          </w:p>
        </w:tc>
        <w:tc>
          <w:tcPr>
            <w:tcW w:w="860" w:type="dxa"/>
            <w:vAlign w:val="bottom"/>
            <w:gridSpan w:val="2"/>
            <w:shd w:val="clear" w:color="auto" w:fill="CCEEFF"/>
          </w:tcPr>
          <w:p>
            <w:pPr>
              <w:jc w:val="center"/>
              <w:ind w:left="68"/>
              <w:spacing w:after="0"/>
              <w:rPr>
                <w:sz w:val="20"/>
                <w:szCs w:val="20"/>
                <w:color w:val="auto"/>
              </w:rPr>
            </w:pPr>
            <w:r>
              <w:rPr>
                <w:rFonts w:ascii="Times New Roman" w:cs="Times New Roman" w:eastAsia="Times New Roman" w:hAnsi="Times New Roman"/>
                <w:sz w:val="14"/>
                <w:szCs w:val="14"/>
                <w:color w:val="auto"/>
                <w:w w:val="99"/>
              </w:rPr>
              <w:t>1.42%</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14</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2.5%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427</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440</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104.4%</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3.28%</w:t>
            </w:r>
          </w:p>
        </w:tc>
        <w:tc>
          <w:tcPr>
            <w:tcW w:w="860" w:type="dxa"/>
            <w:vAlign w:val="bottom"/>
            <w:gridSpan w:val="2"/>
          </w:tcPr>
          <w:p>
            <w:pPr>
              <w:jc w:val="center"/>
              <w:ind w:left="68"/>
              <w:spacing w:after="0"/>
              <w:rPr>
                <w:sz w:val="20"/>
                <w:szCs w:val="20"/>
                <w:color w:val="auto"/>
              </w:rPr>
            </w:pPr>
            <w:r>
              <w:rPr>
                <w:rFonts w:ascii="Times New Roman" w:cs="Times New Roman" w:eastAsia="Times New Roman" w:hAnsi="Times New Roman"/>
                <w:sz w:val="14"/>
                <w:szCs w:val="14"/>
                <w:color w:val="auto"/>
                <w:w w:val="99"/>
              </w:rPr>
              <w:t>1.48%</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18</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14%</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3.0%</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36</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97%</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103.4%</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3.78%</w:t>
            </w:r>
          </w:p>
        </w:tc>
        <w:tc>
          <w:tcPr>
            <w:tcW w:w="860" w:type="dxa"/>
            <w:vAlign w:val="bottom"/>
            <w:gridSpan w:val="2"/>
            <w:shd w:val="clear" w:color="auto" w:fill="CCEEFF"/>
          </w:tcPr>
          <w:p>
            <w:pPr>
              <w:jc w:val="center"/>
              <w:ind w:left="68"/>
              <w:spacing w:after="0"/>
              <w:rPr>
                <w:sz w:val="20"/>
                <w:szCs w:val="20"/>
                <w:color w:val="auto"/>
              </w:rPr>
            </w:pPr>
            <w:r>
              <w:rPr>
                <w:rFonts w:ascii="Times New Roman" w:cs="Times New Roman" w:eastAsia="Times New Roman" w:hAnsi="Times New Roman"/>
                <w:sz w:val="14"/>
                <w:szCs w:val="14"/>
                <w:color w:val="auto"/>
                <w:w w:val="99"/>
              </w:rPr>
              <w:t>2.16%</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29</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14%</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169</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172</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81%</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101.8%</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4.05%</w:t>
            </w:r>
          </w:p>
        </w:tc>
        <w:tc>
          <w:tcPr>
            <w:tcW w:w="860" w:type="dxa"/>
            <w:vAlign w:val="bottom"/>
            <w:gridSpan w:val="2"/>
          </w:tcPr>
          <w:p>
            <w:pPr>
              <w:jc w:val="center"/>
              <w:ind w:left="68"/>
              <w:spacing w:after="0"/>
              <w:rPr>
                <w:sz w:val="20"/>
                <w:szCs w:val="20"/>
                <w:color w:val="auto"/>
              </w:rPr>
            </w:pPr>
            <w:r>
              <w:rPr>
                <w:rFonts w:ascii="Times New Roman" w:cs="Times New Roman" w:eastAsia="Times New Roman" w:hAnsi="Times New Roman"/>
                <w:sz w:val="14"/>
                <w:szCs w:val="14"/>
                <w:color w:val="auto"/>
                <w:w w:val="99"/>
              </w:rPr>
              <w:t>2.95%</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101</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13%</w:t>
            </w:r>
          </w:p>
        </w:tc>
        <w:tc>
          <w:tcPr>
            <w:tcW w:w="0" w:type="dxa"/>
            <w:vAlign w:val="bottom"/>
          </w:tcPr>
          <w:p>
            <w:pPr>
              <w:spacing w:after="0"/>
              <w:rPr>
                <w:sz w:val="1"/>
                <w:szCs w:val="1"/>
                <w:color w:val="auto"/>
              </w:rPr>
            </w:pPr>
          </w:p>
        </w:tc>
      </w:tr>
      <w:tr>
        <w:trPr>
          <w:trHeight w:val="210"/>
        </w:trPr>
        <w:tc>
          <w:tcPr>
            <w:tcW w:w="238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 4.0%</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209</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218</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229</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96%</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104.1%</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4.74%</w:t>
            </w:r>
          </w:p>
        </w:tc>
        <w:tc>
          <w:tcPr>
            <w:tcW w:w="860" w:type="dxa"/>
            <w:vAlign w:val="bottom"/>
            <w:gridSpan w:val="2"/>
            <w:shd w:val="clear" w:color="auto" w:fill="CCEEFF"/>
          </w:tcPr>
          <w:p>
            <w:pPr>
              <w:jc w:val="center"/>
              <w:ind w:left="68"/>
              <w:spacing w:after="0"/>
              <w:rPr>
                <w:sz w:val="20"/>
                <w:szCs w:val="20"/>
                <w:color w:val="auto"/>
              </w:rPr>
            </w:pPr>
            <w:r>
              <w:rPr>
                <w:rFonts w:ascii="Times New Roman" w:cs="Times New Roman" w:eastAsia="Times New Roman" w:hAnsi="Times New Roman"/>
                <w:sz w:val="14"/>
                <w:szCs w:val="14"/>
                <w:color w:val="auto"/>
                <w:w w:val="99"/>
              </w:rPr>
              <w:t>3.08%</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61</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15%</w:t>
            </w:r>
          </w:p>
        </w:tc>
        <w:tc>
          <w:tcPr>
            <w:tcW w:w="0" w:type="dxa"/>
            <w:vAlign w:val="bottom"/>
          </w:tcPr>
          <w:p>
            <w:pPr>
              <w:spacing w:after="0"/>
              <w:rPr>
                <w:sz w:val="1"/>
                <w:szCs w:val="1"/>
                <w:color w:val="auto"/>
              </w:rPr>
            </w:pPr>
          </w:p>
        </w:tc>
      </w:tr>
      <w:tr>
        <w:trPr>
          <w:trHeight w:val="189"/>
        </w:trPr>
        <w:tc>
          <w:tcPr>
            <w:tcW w:w="2380" w:type="dxa"/>
            <w:vAlign w:val="bottom"/>
            <w:tcBorders>
              <w:bottom w:val="single" w:sz="8" w:color="CCEEFF"/>
            </w:tcBorders>
            <w:gridSpan w:val="2"/>
          </w:tcPr>
          <w:p>
            <w:pPr>
              <w:ind w:left="180"/>
              <w:spacing w:after="0"/>
              <w:rPr>
                <w:sz w:val="20"/>
                <w:szCs w:val="20"/>
                <w:color w:val="auto"/>
              </w:rPr>
            </w:pPr>
            <w:r>
              <w:rPr>
                <w:rFonts w:ascii="Times New Roman" w:cs="Times New Roman" w:eastAsia="Times New Roman" w:hAnsi="Times New Roman"/>
                <w:sz w:val="14"/>
                <w:szCs w:val="14"/>
                <w:color w:val="auto"/>
              </w:rPr>
              <w:t>Total 20-year:</w:t>
            </w:r>
          </w:p>
        </w:tc>
        <w:tc>
          <w:tcPr>
            <w:tcW w:w="8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1,884</w:t>
            </w:r>
          </w:p>
        </w:tc>
        <w:tc>
          <w:tcPr>
            <w:tcW w:w="120" w:type="dxa"/>
            <w:vAlign w:val="bottom"/>
            <w:tcBorders>
              <w:bottom w:val="single" w:sz="8" w:color="CCEEFF"/>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1,948</w:t>
            </w:r>
          </w:p>
        </w:tc>
        <w:tc>
          <w:tcPr>
            <w:tcW w:w="10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1,942</w:t>
            </w:r>
          </w:p>
        </w:tc>
        <w:tc>
          <w:tcPr>
            <w:tcW w:w="120" w:type="dxa"/>
            <w:vAlign w:val="bottom"/>
            <w:tcBorders>
              <w:bottom w:val="single" w:sz="8" w:color="CCEEFF"/>
            </w:tcBorders>
          </w:tcPr>
          <w:p>
            <w:pPr>
              <w:spacing w:after="0"/>
              <w:rPr>
                <w:sz w:val="16"/>
                <w:szCs w:val="16"/>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21%</w:t>
            </w:r>
          </w:p>
        </w:tc>
        <w:tc>
          <w:tcPr>
            <w:tcW w:w="220" w:type="dxa"/>
            <w:vAlign w:val="bottom"/>
            <w:tcBorders>
              <w:bottom w:val="single" w:sz="8" w:color="CCEEFF"/>
            </w:tcBorders>
          </w:tcPr>
          <w:p>
            <w:pPr>
              <w:spacing w:after="0"/>
              <w:rPr>
                <w:sz w:val="16"/>
                <w:szCs w:val="16"/>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103.3%</w:t>
            </w:r>
          </w:p>
        </w:tc>
        <w:tc>
          <w:tcPr>
            <w:tcW w:w="120" w:type="dxa"/>
            <w:vAlign w:val="bottom"/>
            <w:tcBorders>
              <w:bottom w:val="single" w:sz="8" w:color="CCEEFF"/>
            </w:tcBorders>
          </w:tcPr>
          <w:p>
            <w:pPr>
              <w:spacing w:after="0"/>
              <w:rPr>
                <w:sz w:val="16"/>
                <w:szCs w:val="16"/>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3.29%</w:t>
            </w:r>
          </w:p>
        </w:tc>
        <w:tc>
          <w:tcPr>
            <w:tcW w:w="140" w:type="dxa"/>
            <w:vAlign w:val="bottom"/>
            <w:tcBorders>
              <w:bottom w:val="single" w:sz="8" w:color="CCEEFF"/>
            </w:tcBorders>
          </w:tcPr>
          <w:p>
            <w:pPr>
              <w:spacing w:after="0"/>
              <w:rPr>
                <w:sz w:val="16"/>
                <w:szCs w:val="16"/>
                <w:color w:val="auto"/>
              </w:rPr>
            </w:pPr>
          </w:p>
        </w:tc>
        <w:tc>
          <w:tcPr>
            <w:tcW w:w="72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1.77%</w:t>
            </w:r>
          </w:p>
        </w:tc>
        <w:tc>
          <w:tcPr>
            <w:tcW w:w="120" w:type="dxa"/>
            <w:vAlign w:val="bottom"/>
            <w:tcBorders>
              <w:bottom w:val="single" w:sz="8" w:color="CCEEFF"/>
            </w:tcBorders>
          </w:tcPr>
          <w:p>
            <w:pPr>
              <w:spacing w:after="0"/>
              <w:rPr>
                <w:sz w:val="16"/>
                <w:szCs w:val="16"/>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28</w:t>
            </w:r>
          </w:p>
        </w:tc>
        <w:tc>
          <w:tcPr>
            <w:tcW w:w="100" w:type="dxa"/>
            <w:vAlign w:val="bottom"/>
            <w:tcBorders>
              <w:bottom w:val="single" w:sz="8" w:color="CCEEFF"/>
            </w:tcBorders>
          </w:tcPr>
          <w:p>
            <w:pPr>
              <w:spacing w:after="0"/>
              <w:rPr>
                <w:sz w:val="16"/>
                <w:szCs w:val="16"/>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12%</w:t>
            </w:r>
          </w:p>
        </w:tc>
        <w:tc>
          <w:tcPr>
            <w:tcW w:w="0" w:type="dxa"/>
            <w:vAlign w:val="bottom"/>
          </w:tcPr>
          <w:p>
            <w:pPr>
              <w:spacing w:after="0"/>
              <w:rPr>
                <w:sz w:val="1"/>
                <w:szCs w:val="1"/>
                <w:color w:val="auto"/>
              </w:rPr>
            </w:pPr>
          </w:p>
        </w:tc>
      </w:tr>
      <w:tr>
        <w:trPr>
          <w:trHeight w:val="189"/>
        </w:trPr>
        <w:tc>
          <w:tcPr>
            <w:tcW w:w="2380" w:type="dxa"/>
            <w:vAlign w:val="bottom"/>
            <w:gridSpan w:val="2"/>
            <w:shd w:val="clear" w:color="auto" w:fill="CCEEFF"/>
          </w:tcPr>
          <w:p>
            <w:pPr>
              <w:ind w:left="180"/>
              <w:spacing w:after="0"/>
              <w:rPr>
                <w:sz w:val="20"/>
                <w:szCs w:val="20"/>
                <w:color w:val="auto"/>
              </w:rPr>
            </w:pPr>
            <w:r>
              <w:rPr>
                <w:rFonts w:ascii="Times New Roman" w:cs="Times New Roman" w:eastAsia="Times New Roman" w:hAnsi="Times New Roman"/>
                <w:sz w:val="14"/>
                <w:szCs w:val="14"/>
                <w:color w:val="auto"/>
              </w:rPr>
              <w:t>30-year:</w:t>
            </w:r>
          </w:p>
        </w:tc>
        <w:tc>
          <w:tcPr>
            <w:tcW w:w="80" w:type="dxa"/>
            <w:vAlign w:val="bottom"/>
            <w:shd w:val="clear" w:color="auto" w:fill="CCEEFF"/>
          </w:tcPr>
          <w:p>
            <w:pPr>
              <w:spacing w:after="0"/>
              <w:rPr>
                <w:sz w:val="16"/>
                <w:szCs w:val="16"/>
                <w:color w:val="auto"/>
              </w:rPr>
            </w:pPr>
          </w:p>
        </w:tc>
        <w:tc>
          <w:tcPr>
            <w:tcW w:w="7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84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20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220" w:type="dxa"/>
            <w:vAlign w:val="bottom"/>
            <w:shd w:val="clear" w:color="auto" w:fill="CCEEFF"/>
          </w:tcPr>
          <w:p>
            <w:pPr>
              <w:spacing w:after="0"/>
              <w:rPr>
                <w:sz w:val="16"/>
                <w:szCs w:val="16"/>
                <w:color w:val="auto"/>
              </w:rPr>
            </w:pPr>
          </w:p>
        </w:tc>
        <w:tc>
          <w:tcPr>
            <w:tcW w:w="104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680" w:type="dxa"/>
            <w:vAlign w:val="bottom"/>
            <w:shd w:val="clear" w:color="auto" w:fill="CCEEFF"/>
          </w:tcPr>
          <w:p>
            <w:pPr>
              <w:spacing w:after="0"/>
              <w:rPr>
                <w:sz w:val="16"/>
                <w:szCs w:val="16"/>
                <w:color w:val="auto"/>
              </w:rPr>
            </w:pPr>
          </w:p>
        </w:tc>
        <w:tc>
          <w:tcPr>
            <w:tcW w:w="140" w:type="dxa"/>
            <w:vAlign w:val="bottom"/>
            <w:shd w:val="clear" w:color="auto" w:fill="CCEEFF"/>
          </w:tcPr>
          <w:p>
            <w:pPr>
              <w:spacing w:after="0"/>
              <w:rPr>
                <w:sz w:val="16"/>
                <w:szCs w:val="16"/>
                <w:color w:val="auto"/>
              </w:rPr>
            </w:pPr>
          </w:p>
        </w:tc>
        <w:tc>
          <w:tcPr>
            <w:tcW w:w="72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960" w:type="dxa"/>
            <w:vAlign w:val="bottom"/>
            <w:shd w:val="clear" w:color="auto" w:fill="CCEEFF"/>
          </w:tcPr>
          <w:p>
            <w:pPr>
              <w:spacing w:after="0"/>
              <w:rPr>
                <w:sz w:val="16"/>
                <w:szCs w:val="16"/>
                <w:color w:val="auto"/>
              </w:rPr>
            </w:pPr>
          </w:p>
        </w:tc>
        <w:tc>
          <w:tcPr>
            <w:tcW w:w="100" w:type="dxa"/>
            <w:vAlign w:val="bottom"/>
            <w:shd w:val="clear" w:color="auto" w:fill="CCEEFF"/>
          </w:tcPr>
          <w:p>
            <w:pPr>
              <w:spacing w:after="0"/>
              <w:rPr>
                <w:sz w:val="16"/>
                <w:szCs w:val="16"/>
                <w:color w:val="auto"/>
              </w:rPr>
            </w:pPr>
          </w:p>
        </w:tc>
        <w:tc>
          <w:tcPr>
            <w:tcW w:w="90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195"/>
        </w:trPr>
        <w:tc>
          <w:tcPr>
            <w:tcW w:w="2380" w:type="dxa"/>
            <w:vAlign w:val="bottom"/>
            <w:gridSpan w:val="2"/>
          </w:tcPr>
          <w:p>
            <w:pPr>
              <w:ind w:left="360"/>
              <w:spacing w:after="0"/>
              <w:rPr>
                <w:sz w:val="20"/>
                <w:szCs w:val="20"/>
                <w:color w:val="auto"/>
              </w:rPr>
            </w:pPr>
            <w:r>
              <w:rPr>
                <w:rFonts w:ascii="Times New Roman" w:cs="Times New Roman" w:eastAsia="Times New Roman" w:hAnsi="Times New Roman"/>
                <w:sz w:val="14"/>
                <w:szCs w:val="14"/>
                <w:color w:val="auto"/>
              </w:rPr>
              <w:t>≤ 2.0%</w:t>
            </w: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15,617</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15,673</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15,581</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100.5%</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2.86%</w:t>
            </w:r>
          </w:p>
        </w:tc>
        <w:tc>
          <w:tcPr>
            <w:tcW w:w="860" w:type="dxa"/>
            <w:vAlign w:val="bottom"/>
            <w:gridSpan w:val="2"/>
          </w:tcPr>
          <w:p>
            <w:pPr>
              <w:jc w:val="center"/>
              <w:ind w:left="68"/>
              <w:spacing w:after="0"/>
              <w:rPr>
                <w:sz w:val="20"/>
                <w:szCs w:val="20"/>
                <w:color w:val="auto"/>
              </w:rPr>
            </w:pPr>
            <w:r>
              <w:rPr>
                <w:rFonts w:ascii="Times New Roman" w:cs="Times New Roman" w:eastAsia="Times New Roman" w:hAnsi="Times New Roman"/>
                <w:sz w:val="14"/>
                <w:szCs w:val="14"/>
                <w:color w:val="auto"/>
                <w:w w:val="99"/>
              </w:rPr>
              <w:t>1.92%</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85"/>
              </w:rPr>
              <w:t>8</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6"/>
              </w:rPr>
              <w:t>7%</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2.5%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27,578</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28,342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28,182</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22%</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104.1%</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3.16%</w:t>
            </w:r>
          </w:p>
        </w:tc>
        <w:tc>
          <w:tcPr>
            <w:tcW w:w="860" w:type="dxa"/>
            <w:vAlign w:val="bottom"/>
            <w:gridSpan w:val="2"/>
            <w:shd w:val="clear" w:color="auto" w:fill="CCEEFF"/>
          </w:tcPr>
          <w:p>
            <w:pPr>
              <w:jc w:val="center"/>
              <w:ind w:left="68"/>
              <w:spacing w:after="0"/>
              <w:rPr>
                <w:sz w:val="20"/>
                <w:szCs w:val="20"/>
                <w:color w:val="auto"/>
              </w:rPr>
            </w:pPr>
            <w:r>
              <w:rPr>
                <w:rFonts w:ascii="Times New Roman" w:cs="Times New Roman" w:eastAsia="Times New Roman" w:hAnsi="Times New Roman"/>
                <w:sz w:val="14"/>
                <w:szCs w:val="14"/>
                <w:color w:val="auto"/>
                <w:w w:val="99"/>
              </w:rPr>
              <w:t>1.96%</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85"/>
              </w:rPr>
              <w:t>6</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6"/>
              </w:rPr>
              <w:t>7%</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3.0%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5,031</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5,197</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5,234</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16%</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102.8%</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3.61%</w:t>
            </w:r>
          </w:p>
        </w:tc>
        <w:tc>
          <w:tcPr>
            <w:tcW w:w="860" w:type="dxa"/>
            <w:vAlign w:val="bottom"/>
            <w:gridSpan w:val="2"/>
          </w:tcPr>
          <w:p>
            <w:pPr>
              <w:jc w:val="center"/>
              <w:ind w:left="68"/>
              <w:spacing w:after="0"/>
              <w:rPr>
                <w:sz w:val="20"/>
                <w:szCs w:val="20"/>
                <w:color w:val="auto"/>
              </w:rPr>
            </w:pPr>
            <w:r>
              <w:rPr>
                <w:rFonts w:ascii="Times New Roman" w:cs="Times New Roman" w:eastAsia="Times New Roman" w:hAnsi="Times New Roman"/>
                <w:sz w:val="14"/>
                <w:szCs w:val="14"/>
                <w:color w:val="auto"/>
                <w:w w:val="99"/>
              </w:rPr>
              <w:t>2.52%</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49</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11%</w:t>
            </w:r>
          </w:p>
        </w:tc>
        <w:tc>
          <w:tcPr>
            <w:tcW w:w="0" w:type="dxa"/>
            <w:vAlign w:val="bottom"/>
          </w:tcPr>
          <w:p>
            <w:pPr>
              <w:spacing w:after="0"/>
              <w:rPr>
                <w:sz w:val="1"/>
                <w:szCs w:val="1"/>
                <w:color w:val="auto"/>
              </w:rPr>
            </w:pPr>
          </w:p>
        </w:tc>
      </w:tr>
      <w:tr>
        <w:trPr>
          <w:trHeight w:val="210"/>
        </w:trPr>
        <w:tc>
          <w:tcPr>
            <w:tcW w:w="2260" w:type="dxa"/>
            <w:vAlign w:val="bottom"/>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3.5%</w:t>
            </w:r>
          </w:p>
        </w:tc>
        <w:tc>
          <w:tcPr>
            <w:tcW w:w="1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8,531</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8,917</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9,200</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86%</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104.5%</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4.05%</w:t>
            </w:r>
          </w:p>
        </w:tc>
        <w:tc>
          <w:tcPr>
            <w:tcW w:w="860" w:type="dxa"/>
            <w:vAlign w:val="bottom"/>
            <w:gridSpan w:val="2"/>
            <w:shd w:val="clear" w:color="auto" w:fill="CCEEFF"/>
          </w:tcPr>
          <w:p>
            <w:pPr>
              <w:jc w:val="center"/>
              <w:ind w:left="68"/>
              <w:spacing w:after="0"/>
              <w:rPr>
                <w:sz w:val="20"/>
                <w:szCs w:val="20"/>
                <w:color w:val="auto"/>
              </w:rPr>
            </w:pPr>
            <w:r>
              <w:rPr>
                <w:rFonts w:ascii="Times New Roman" w:cs="Times New Roman" w:eastAsia="Times New Roman" w:hAnsi="Times New Roman"/>
                <w:sz w:val="14"/>
                <w:szCs w:val="14"/>
                <w:color w:val="auto"/>
                <w:w w:val="99"/>
              </w:rPr>
              <w:t>2.59%</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83</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12%</w:t>
            </w:r>
          </w:p>
        </w:tc>
        <w:tc>
          <w:tcPr>
            <w:tcW w:w="0" w:type="dxa"/>
            <w:vAlign w:val="bottom"/>
          </w:tcPr>
          <w:p>
            <w:pPr>
              <w:spacing w:after="0"/>
              <w:rPr>
                <w:sz w:val="1"/>
                <w:szCs w:val="1"/>
                <w:color w:val="auto"/>
              </w:rPr>
            </w:pPr>
          </w:p>
        </w:tc>
      </w:tr>
      <w:tr>
        <w:trPr>
          <w:trHeight w:val="195"/>
        </w:trPr>
        <w:tc>
          <w:tcPr>
            <w:tcW w:w="2260" w:type="dxa"/>
            <w:vAlign w:val="bottom"/>
          </w:tcPr>
          <w:p>
            <w:pPr>
              <w:ind w:left="360"/>
              <w:spacing w:after="0"/>
              <w:rPr>
                <w:sz w:val="20"/>
                <w:szCs w:val="20"/>
                <w:color w:val="auto"/>
              </w:rPr>
            </w:pPr>
            <w:r>
              <w:rPr>
                <w:rFonts w:ascii="Times New Roman" w:cs="Times New Roman" w:eastAsia="Times New Roman" w:hAnsi="Times New Roman"/>
                <w:sz w:val="14"/>
                <w:szCs w:val="14"/>
                <w:color w:val="auto"/>
              </w:rPr>
              <w:t>4.0%</w:t>
            </w:r>
          </w:p>
        </w:tc>
        <w:tc>
          <w:tcPr>
            <w:tcW w:w="1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8,696</w:t>
            </w:r>
          </w:p>
        </w:tc>
        <w:tc>
          <w:tcPr>
            <w:tcW w:w="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9,146</w:t>
            </w:r>
          </w:p>
        </w:tc>
        <w:tc>
          <w:tcPr>
            <w:tcW w:w="10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9,495</w:t>
            </w:r>
          </w:p>
        </w:tc>
        <w:tc>
          <w:tcPr>
            <w:tcW w:w="12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92%</w:t>
            </w:r>
          </w:p>
        </w:tc>
        <w:tc>
          <w:tcPr>
            <w:tcW w:w="1260" w:type="dxa"/>
            <w:vAlign w:val="bottom"/>
            <w:gridSpan w:val="2"/>
          </w:tcPr>
          <w:p>
            <w:pPr>
              <w:jc w:val="center"/>
              <w:ind w:left="148"/>
              <w:spacing w:after="0"/>
              <w:rPr>
                <w:sz w:val="20"/>
                <w:szCs w:val="20"/>
                <w:color w:val="auto"/>
              </w:rPr>
            </w:pPr>
            <w:r>
              <w:rPr>
                <w:rFonts w:ascii="Times New Roman" w:cs="Times New Roman" w:eastAsia="Times New Roman" w:hAnsi="Times New Roman"/>
                <w:sz w:val="14"/>
                <w:szCs w:val="14"/>
                <w:color w:val="auto"/>
              </w:rPr>
              <w:t>105.2%</w:t>
            </w:r>
          </w:p>
        </w:tc>
        <w:tc>
          <w:tcPr>
            <w:tcW w:w="120" w:type="dxa"/>
            <w:vAlign w:val="bottom"/>
          </w:tcPr>
          <w:p>
            <w:pPr>
              <w:spacing w:after="0"/>
              <w:rPr>
                <w:sz w:val="16"/>
                <w:szCs w:val="16"/>
                <w:color w:val="auto"/>
              </w:rPr>
            </w:pPr>
          </w:p>
        </w:tc>
        <w:tc>
          <w:tcPr>
            <w:tcW w:w="6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4.51%</w:t>
            </w:r>
          </w:p>
        </w:tc>
        <w:tc>
          <w:tcPr>
            <w:tcW w:w="860" w:type="dxa"/>
            <w:vAlign w:val="bottom"/>
            <w:gridSpan w:val="2"/>
          </w:tcPr>
          <w:p>
            <w:pPr>
              <w:jc w:val="center"/>
              <w:ind w:left="68"/>
              <w:spacing w:after="0"/>
              <w:rPr>
                <w:sz w:val="20"/>
                <w:szCs w:val="20"/>
                <w:color w:val="auto"/>
              </w:rPr>
            </w:pPr>
            <w:r>
              <w:rPr>
                <w:rFonts w:ascii="Times New Roman" w:cs="Times New Roman" w:eastAsia="Times New Roman" w:hAnsi="Times New Roman"/>
                <w:sz w:val="14"/>
                <w:szCs w:val="14"/>
                <w:color w:val="auto"/>
                <w:w w:val="99"/>
              </w:rPr>
              <w:t>2.81%</w:t>
            </w:r>
          </w:p>
        </w:tc>
        <w:tc>
          <w:tcPr>
            <w:tcW w:w="120" w:type="dxa"/>
            <w:vAlign w:val="bottom"/>
          </w:tcPr>
          <w:p>
            <w:pPr>
              <w:spacing w:after="0"/>
              <w:rPr>
                <w:sz w:val="16"/>
                <w:szCs w:val="16"/>
                <w:color w:val="auto"/>
              </w:rPr>
            </w:pPr>
          </w:p>
        </w:tc>
        <w:tc>
          <w:tcPr>
            <w:tcW w:w="96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65</w:t>
            </w:r>
          </w:p>
        </w:tc>
        <w:tc>
          <w:tcPr>
            <w:tcW w:w="100" w:type="dxa"/>
            <w:vAlign w:val="bottom"/>
          </w:tcPr>
          <w:p>
            <w:pPr>
              <w:spacing w:after="0"/>
              <w:rPr>
                <w:sz w:val="16"/>
                <w:szCs w:val="16"/>
                <w:color w:val="auto"/>
              </w:rPr>
            </w:pPr>
          </w:p>
        </w:tc>
        <w:tc>
          <w:tcPr>
            <w:tcW w:w="9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15%</w:t>
            </w:r>
          </w:p>
        </w:tc>
        <w:tc>
          <w:tcPr>
            <w:tcW w:w="0" w:type="dxa"/>
            <w:vAlign w:val="bottom"/>
          </w:tcPr>
          <w:p>
            <w:pPr>
              <w:spacing w:after="0"/>
              <w:rPr>
                <w:sz w:val="1"/>
                <w:szCs w:val="1"/>
                <w:color w:val="auto"/>
              </w:rPr>
            </w:pPr>
          </w:p>
        </w:tc>
      </w:tr>
      <w:tr>
        <w:trPr>
          <w:trHeight w:val="210"/>
        </w:trPr>
        <w:tc>
          <w:tcPr>
            <w:tcW w:w="2380" w:type="dxa"/>
            <w:vAlign w:val="bottom"/>
            <w:gridSpan w:val="2"/>
            <w:shd w:val="clear" w:color="auto" w:fill="CCEEFF"/>
          </w:tcPr>
          <w:p>
            <w:pPr>
              <w:ind w:left="360"/>
              <w:spacing w:after="0"/>
              <w:rPr>
                <w:sz w:val="20"/>
                <w:szCs w:val="20"/>
                <w:color w:val="auto"/>
              </w:rPr>
            </w:pPr>
            <w:r>
              <w:rPr>
                <w:rFonts w:ascii="Times New Roman" w:cs="Times New Roman" w:eastAsia="Times New Roman" w:hAnsi="Times New Roman"/>
                <w:sz w:val="14"/>
                <w:szCs w:val="14"/>
                <w:color w:val="auto"/>
              </w:rPr>
              <w:t>≥ 4.5%</w:t>
            </w:r>
          </w:p>
        </w:tc>
        <w:tc>
          <w:tcPr>
            <w:tcW w:w="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4,606</w:t>
            </w:r>
          </w:p>
        </w:tc>
        <w:tc>
          <w:tcPr>
            <w:tcW w:w="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4,881</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5,084</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97%</w:t>
            </w:r>
          </w:p>
        </w:tc>
        <w:tc>
          <w:tcPr>
            <w:tcW w:w="1260" w:type="dxa"/>
            <w:vAlign w:val="bottom"/>
            <w:gridSpan w:val="2"/>
            <w:shd w:val="clear" w:color="auto" w:fill="CCEEFF"/>
          </w:tcPr>
          <w:p>
            <w:pPr>
              <w:jc w:val="center"/>
              <w:ind w:left="148"/>
              <w:spacing w:after="0"/>
              <w:rPr>
                <w:sz w:val="20"/>
                <w:szCs w:val="20"/>
                <w:color w:val="auto"/>
              </w:rPr>
            </w:pPr>
            <w:r>
              <w:rPr>
                <w:rFonts w:ascii="Times New Roman" w:cs="Times New Roman" w:eastAsia="Times New Roman" w:hAnsi="Times New Roman"/>
                <w:sz w:val="14"/>
                <w:szCs w:val="14"/>
                <w:color w:val="auto"/>
              </w:rPr>
              <w:t>106.0%</w:t>
            </w:r>
          </w:p>
        </w:tc>
        <w:tc>
          <w:tcPr>
            <w:tcW w:w="120" w:type="dxa"/>
            <w:vAlign w:val="bottom"/>
            <w:shd w:val="clear" w:color="auto" w:fill="CCEEFF"/>
          </w:tcPr>
          <w:p>
            <w:pPr>
              <w:spacing w:after="0"/>
              <w:rPr>
                <w:sz w:val="18"/>
                <w:szCs w:val="18"/>
                <w:color w:val="auto"/>
              </w:rPr>
            </w:pPr>
          </w:p>
        </w:tc>
        <w:tc>
          <w:tcPr>
            <w:tcW w:w="6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5.02%</w:t>
            </w:r>
          </w:p>
        </w:tc>
        <w:tc>
          <w:tcPr>
            <w:tcW w:w="860" w:type="dxa"/>
            <w:vAlign w:val="bottom"/>
            <w:gridSpan w:val="2"/>
            <w:shd w:val="clear" w:color="auto" w:fill="CCEEFF"/>
          </w:tcPr>
          <w:p>
            <w:pPr>
              <w:jc w:val="center"/>
              <w:ind w:left="68"/>
              <w:spacing w:after="0"/>
              <w:rPr>
                <w:sz w:val="20"/>
                <w:szCs w:val="20"/>
                <w:color w:val="auto"/>
              </w:rPr>
            </w:pPr>
            <w:r>
              <w:rPr>
                <w:rFonts w:ascii="Times New Roman" w:cs="Times New Roman" w:eastAsia="Times New Roman" w:hAnsi="Times New Roman"/>
                <w:sz w:val="14"/>
                <w:szCs w:val="14"/>
                <w:color w:val="auto"/>
                <w:w w:val="99"/>
              </w:rPr>
              <w:t>3.06%</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53</w:t>
            </w:r>
          </w:p>
        </w:tc>
        <w:tc>
          <w:tcPr>
            <w:tcW w:w="100" w:type="dxa"/>
            <w:vAlign w:val="bottom"/>
            <w:shd w:val="clear" w:color="auto" w:fill="CCEEFF"/>
          </w:tcPr>
          <w:p>
            <w:pPr>
              <w:spacing w:after="0"/>
              <w:rPr>
                <w:sz w:val="18"/>
                <w:szCs w:val="18"/>
                <w:color w:val="auto"/>
              </w:rPr>
            </w:pPr>
          </w:p>
        </w:tc>
        <w:tc>
          <w:tcPr>
            <w:tcW w:w="9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16%</w:t>
            </w:r>
          </w:p>
        </w:tc>
        <w:tc>
          <w:tcPr>
            <w:tcW w:w="0" w:type="dxa"/>
            <w:vAlign w:val="bottom"/>
          </w:tcPr>
          <w:p>
            <w:pPr>
              <w:spacing w:after="0"/>
              <w:rPr>
                <w:sz w:val="1"/>
                <w:szCs w:val="1"/>
                <w:color w:val="auto"/>
              </w:rPr>
            </w:pPr>
          </w:p>
        </w:tc>
      </w:tr>
      <w:tr>
        <w:trPr>
          <w:trHeight w:val="190"/>
        </w:trPr>
        <w:tc>
          <w:tcPr>
            <w:tcW w:w="2380" w:type="dxa"/>
            <w:vAlign w:val="bottom"/>
            <w:tcBorders>
              <w:bottom w:val="single" w:sz="8" w:color="CCEEFF"/>
            </w:tcBorders>
            <w:gridSpan w:val="2"/>
          </w:tcPr>
          <w:p>
            <w:pPr>
              <w:ind w:left="180"/>
              <w:spacing w:after="0"/>
              <w:rPr>
                <w:sz w:val="20"/>
                <w:szCs w:val="20"/>
                <w:color w:val="auto"/>
              </w:rPr>
            </w:pPr>
            <w:r>
              <w:rPr>
                <w:rFonts w:ascii="Times New Roman" w:cs="Times New Roman" w:eastAsia="Times New Roman" w:hAnsi="Times New Roman"/>
                <w:sz w:val="14"/>
                <w:szCs w:val="14"/>
                <w:color w:val="auto"/>
              </w:rPr>
              <w:t>Total 30-year</w:t>
            </w:r>
          </w:p>
        </w:tc>
        <w:tc>
          <w:tcPr>
            <w:tcW w:w="80" w:type="dxa"/>
            <w:vAlign w:val="bottom"/>
            <w:tcBorders>
              <w:top w:val="single" w:sz="8" w:color="auto"/>
              <w:bottom w:val="single" w:sz="8" w:color="auto"/>
            </w:tcBorders>
          </w:tcPr>
          <w:p>
            <w:pPr>
              <w:spacing w:after="0"/>
              <w:rPr>
                <w:sz w:val="16"/>
                <w:szCs w:val="16"/>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70,059</w:t>
            </w:r>
          </w:p>
        </w:tc>
        <w:tc>
          <w:tcPr>
            <w:tcW w:w="120" w:type="dxa"/>
            <w:vAlign w:val="bottom"/>
            <w:tcBorders>
              <w:bottom w:val="single" w:sz="8" w:color="CCEEFF"/>
            </w:tcBorders>
          </w:tcPr>
          <w:p>
            <w:pPr>
              <w:spacing w:after="0"/>
              <w:rPr>
                <w:sz w:val="16"/>
                <w:szCs w:val="16"/>
                <w:color w:val="auto"/>
              </w:rPr>
            </w:pPr>
          </w:p>
        </w:tc>
        <w:tc>
          <w:tcPr>
            <w:tcW w:w="120" w:type="dxa"/>
            <w:vAlign w:val="bottom"/>
            <w:tcBorders>
              <w:top w:val="single" w:sz="8" w:color="auto"/>
              <w:bottom w:val="single" w:sz="8" w:color="auto"/>
            </w:tcBorders>
          </w:tcPr>
          <w:p>
            <w:pPr>
              <w:spacing w:after="0"/>
              <w:rPr>
                <w:sz w:val="16"/>
                <w:szCs w:val="16"/>
                <w:color w:val="auto"/>
              </w:rPr>
            </w:pPr>
          </w:p>
        </w:tc>
        <w:tc>
          <w:tcPr>
            <w:tcW w:w="8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72,156</w:t>
            </w:r>
          </w:p>
        </w:tc>
        <w:tc>
          <w:tcPr>
            <w:tcW w:w="100" w:type="dxa"/>
            <w:vAlign w:val="bottom"/>
            <w:tcBorders>
              <w:bottom w:val="single" w:sz="8" w:color="CCEEFF"/>
            </w:tcBorders>
          </w:tcPr>
          <w:p>
            <w:pPr>
              <w:spacing w:after="0"/>
              <w:rPr>
                <w:sz w:val="16"/>
                <w:szCs w:val="16"/>
                <w:color w:val="auto"/>
              </w:rPr>
            </w:pPr>
          </w:p>
        </w:tc>
        <w:tc>
          <w:tcPr>
            <w:tcW w:w="200" w:type="dxa"/>
            <w:vAlign w:val="bottom"/>
            <w:tcBorders>
              <w:top w:val="single" w:sz="8" w:color="auto"/>
              <w:bottom w:val="single" w:sz="8" w:color="auto"/>
            </w:tcBorders>
          </w:tcPr>
          <w:p>
            <w:pPr>
              <w:spacing w:after="0"/>
              <w:rPr>
                <w:sz w:val="16"/>
                <w:szCs w:val="16"/>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72,776</w:t>
            </w:r>
          </w:p>
        </w:tc>
        <w:tc>
          <w:tcPr>
            <w:tcW w:w="120" w:type="dxa"/>
            <w:vAlign w:val="bottom"/>
            <w:tcBorders>
              <w:bottom w:val="single" w:sz="8" w:color="CCEEFF"/>
            </w:tcBorders>
          </w:tcPr>
          <w:p>
            <w:pPr>
              <w:spacing w:after="0"/>
              <w:rPr>
                <w:sz w:val="16"/>
                <w:szCs w:val="16"/>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40%</w:t>
            </w:r>
          </w:p>
        </w:tc>
        <w:tc>
          <w:tcPr>
            <w:tcW w:w="220" w:type="dxa"/>
            <w:vAlign w:val="bottom"/>
            <w:tcBorders>
              <w:bottom w:val="single" w:sz="8" w:color="CCEEFF"/>
            </w:tcBorders>
          </w:tcPr>
          <w:p>
            <w:pPr>
              <w:spacing w:after="0"/>
              <w:rPr>
                <w:sz w:val="16"/>
                <w:szCs w:val="16"/>
                <w:color w:val="auto"/>
              </w:rPr>
            </w:pPr>
          </w:p>
        </w:tc>
        <w:tc>
          <w:tcPr>
            <w:tcW w:w="10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103.5%</w:t>
            </w:r>
          </w:p>
        </w:tc>
        <w:tc>
          <w:tcPr>
            <w:tcW w:w="120" w:type="dxa"/>
            <w:vAlign w:val="bottom"/>
            <w:tcBorders>
              <w:bottom w:val="single" w:sz="8" w:color="CCEEFF"/>
            </w:tcBorders>
          </w:tcPr>
          <w:p>
            <w:pPr>
              <w:spacing w:after="0"/>
              <w:rPr>
                <w:sz w:val="16"/>
                <w:szCs w:val="16"/>
                <w:color w:val="auto"/>
              </w:rPr>
            </w:pPr>
          </w:p>
        </w:tc>
        <w:tc>
          <w:tcPr>
            <w:tcW w:w="68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3.71%</w:t>
            </w:r>
          </w:p>
        </w:tc>
        <w:tc>
          <w:tcPr>
            <w:tcW w:w="140" w:type="dxa"/>
            <w:vAlign w:val="bottom"/>
            <w:tcBorders>
              <w:bottom w:val="single" w:sz="8" w:color="CCEEFF"/>
            </w:tcBorders>
          </w:tcPr>
          <w:p>
            <w:pPr>
              <w:spacing w:after="0"/>
              <w:rPr>
                <w:sz w:val="16"/>
                <w:szCs w:val="16"/>
                <w:color w:val="auto"/>
              </w:rPr>
            </w:pPr>
          </w:p>
        </w:tc>
        <w:tc>
          <w:tcPr>
            <w:tcW w:w="72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2.36%</w:t>
            </w:r>
          </w:p>
        </w:tc>
        <w:tc>
          <w:tcPr>
            <w:tcW w:w="120" w:type="dxa"/>
            <w:vAlign w:val="bottom"/>
            <w:tcBorders>
              <w:bottom w:val="single" w:sz="8" w:color="CCEEFF"/>
            </w:tcBorders>
          </w:tcPr>
          <w:p>
            <w:pPr>
              <w:spacing w:after="0"/>
              <w:rPr>
                <w:sz w:val="16"/>
                <w:szCs w:val="16"/>
                <w:color w:val="auto"/>
              </w:rPr>
            </w:pPr>
          </w:p>
        </w:tc>
        <w:tc>
          <w:tcPr>
            <w:tcW w:w="96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w w:val="99"/>
              </w:rPr>
              <w:t>38</w:t>
            </w:r>
          </w:p>
        </w:tc>
        <w:tc>
          <w:tcPr>
            <w:tcW w:w="100" w:type="dxa"/>
            <w:vAlign w:val="bottom"/>
            <w:tcBorders>
              <w:bottom w:val="single" w:sz="8" w:color="CCEEFF"/>
            </w:tcBorders>
          </w:tcPr>
          <w:p>
            <w:pPr>
              <w:spacing w:after="0"/>
              <w:rPr>
                <w:sz w:val="16"/>
                <w:szCs w:val="16"/>
                <w:color w:val="auto"/>
              </w:rPr>
            </w:pPr>
          </w:p>
        </w:tc>
        <w:tc>
          <w:tcPr>
            <w:tcW w:w="90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11%</w:t>
            </w:r>
          </w:p>
        </w:tc>
        <w:tc>
          <w:tcPr>
            <w:tcW w:w="0" w:type="dxa"/>
            <w:vAlign w:val="bottom"/>
          </w:tcPr>
          <w:p>
            <w:pPr>
              <w:spacing w:after="0"/>
              <w:rPr>
                <w:sz w:val="1"/>
                <w:szCs w:val="1"/>
                <w:color w:val="auto"/>
              </w:rPr>
            </w:pPr>
          </w:p>
        </w:tc>
      </w:tr>
      <w:tr>
        <w:trPr>
          <w:trHeight w:val="228"/>
        </w:trPr>
        <w:tc>
          <w:tcPr>
            <w:tcW w:w="238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b w:val="1"/>
                <w:bCs w:val="1"/>
                <w:color w:val="auto"/>
              </w:rPr>
              <w:t>Total fixed rate</w:t>
            </w:r>
          </w:p>
        </w:tc>
        <w:tc>
          <w:tcPr>
            <w:tcW w:w="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76,490</w:t>
            </w:r>
          </w:p>
        </w:tc>
        <w:tc>
          <w:tcPr>
            <w:tcW w:w="12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78,730</w:t>
            </w:r>
          </w:p>
        </w:tc>
        <w:tc>
          <w:tcPr>
            <w:tcW w:w="100" w:type="dxa"/>
            <w:vAlign w:val="bottom"/>
            <w:tcBorders>
              <w:bottom w:val="single" w:sz="8" w:color="CCEEFF"/>
            </w:tcBorders>
            <w:shd w:val="clear" w:color="auto" w:fill="CCEEFF"/>
          </w:tcPr>
          <w:p>
            <w:pPr>
              <w:spacing w:after="0"/>
              <w:rPr>
                <w:sz w:val="19"/>
                <w:szCs w:val="19"/>
                <w:color w:val="auto"/>
              </w:rPr>
            </w:pPr>
          </w:p>
        </w:tc>
        <w:tc>
          <w:tcPr>
            <w:tcW w:w="200" w:type="dxa"/>
            <w:vAlign w:val="bottom"/>
            <w:tcBorders>
              <w:bottom w:val="single" w:sz="8" w:color="auto"/>
            </w:tcBorders>
            <w:shd w:val="clear" w:color="auto" w:fill="CCEEFF"/>
          </w:tcPr>
          <w:p>
            <w:pPr>
              <w:jc w:val="right"/>
              <w:ind w:right="28"/>
              <w:spacing w:after="0"/>
              <w:rPr>
                <w:sz w:val="20"/>
                <w:szCs w:val="20"/>
                <w:color w:val="auto"/>
              </w:rPr>
            </w:pPr>
            <w:r>
              <w:rPr>
                <w:rFonts w:ascii="Times New Roman" w:cs="Times New Roman" w:eastAsia="Times New Roman" w:hAnsi="Times New Roman"/>
                <w:sz w:val="14"/>
                <w:szCs w:val="14"/>
                <w:color w:val="auto"/>
              </w:rPr>
              <w:t>$</w:t>
            </w: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79,429</w:t>
            </w:r>
          </w:p>
        </w:tc>
        <w:tc>
          <w:tcPr>
            <w:tcW w:w="12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41%</w:t>
            </w:r>
          </w:p>
        </w:tc>
        <w:tc>
          <w:tcPr>
            <w:tcW w:w="220" w:type="dxa"/>
            <w:vAlign w:val="bottom"/>
            <w:tcBorders>
              <w:bottom w:val="single" w:sz="8" w:color="CCEEFF"/>
            </w:tcBorders>
            <w:shd w:val="clear" w:color="auto" w:fill="CCEEFF"/>
          </w:tcPr>
          <w:p>
            <w:pPr>
              <w:spacing w:after="0"/>
              <w:rPr>
                <w:sz w:val="19"/>
                <w:szCs w:val="19"/>
                <w:color w:val="auto"/>
              </w:rPr>
            </w:pPr>
          </w:p>
        </w:tc>
        <w:tc>
          <w:tcPr>
            <w:tcW w:w="104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103.5%</w:t>
            </w:r>
          </w:p>
        </w:tc>
        <w:tc>
          <w:tcPr>
            <w:tcW w:w="120" w:type="dxa"/>
            <w:vAlign w:val="bottom"/>
            <w:tcBorders>
              <w:bottom w:val="single" w:sz="8" w:color="CCEEFF"/>
            </w:tcBorders>
            <w:shd w:val="clear" w:color="auto" w:fill="CCEEFF"/>
          </w:tcPr>
          <w:p>
            <w:pPr>
              <w:spacing w:after="0"/>
              <w:rPr>
                <w:sz w:val="19"/>
                <w:szCs w:val="19"/>
                <w:color w:val="auto"/>
              </w:rPr>
            </w:pPr>
          </w:p>
        </w:tc>
        <w:tc>
          <w:tcPr>
            <w:tcW w:w="68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3.70%</w:t>
            </w:r>
          </w:p>
        </w:tc>
        <w:tc>
          <w:tcPr>
            <w:tcW w:w="140" w:type="dxa"/>
            <w:vAlign w:val="bottom"/>
            <w:tcBorders>
              <w:bottom w:val="single" w:sz="8" w:color="CCEEFF"/>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2.34%</w:t>
            </w:r>
          </w:p>
        </w:tc>
        <w:tc>
          <w:tcPr>
            <w:tcW w:w="120" w:type="dxa"/>
            <w:vAlign w:val="bottom"/>
            <w:tcBorders>
              <w:bottom w:val="single" w:sz="8" w:color="CCEEFF"/>
            </w:tcBorders>
            <w:shd w:val="clear" w:color="auto" w:fill="CCEEFF"/>
          </w:tcPr>
          <w:p>
            <w:pPr>
              <w:spacing w:after="0"/>
              <w:rPr>
                <w:sz w:val="19"/>
                <w:szCs w:val="19"/>
                <w:color w:val="auto"/>
              </w:rPr>
            </w:pPr>
          </w:p>
        </w:tc>
        <w:tc>
          <w:tcPr>
            <w:tcW w:w="96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38</w:t>
            </w:r>
          </w:p>
        </w:tc>
        <w:tc>
          <w:tcPr>
            <w:tcW w:w="100" w:type="dxa"/>
            <w:vAlign w:val="bottom"/>
            <w:tcBorders>
              <w:bottom w:val="single" w:sz="8" w:color="CCEEFF"/>
            </w:tcBorders>
            <w:shd w:val="clear" w:color="auto" w:fill="CCEEFF"/>
          </w:tcPr>
          <w:p>
            <w:pPr>
              <w:spacing w:after="0"/>
              <w:rPr>
                <w:sz w:val="19"/>
                <w:szCs w:val="19"/>
                <w:color w:val="auto"/>
              </w:rPr>
            </w:pPr>
          </w:p>
        </w:tc>
        <w:tc>
          <w:tcPr>
            <w:tcW w:w="900" w:type="dxa"/>
            <w:vAlign w:val="bottom"/>
            <w:tcBorders>
              <w:bottom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11%</w:t>
            </w:r>
          </w:p>
        </w:tc>
        <w:tc>
          <w:tcPr>
            <w:tcW w:w="0" w:type="dxa"/>
            <w:vAlign w:val="bottom"/>
          </w:tcPr>
          <w:p>
            <w:pPr>
              <w:spacing w:after="0"/>
              <w:rPr>
                <w:sz w:val="1"/>
                <w:szCs w:val="1"/>
                <w:color w:val="auto"/>
              </w:rPr>
            </w:pPr>
          </w:p>
        </w:tc>
      </w:tr>
      <w:tr>
        <w:trPr>
          <w:trHeight w:val="20"/>
        </w:trPr>
        <w:tc>
          <w:tcPr>
            <w:tcW w:w="226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48"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right="20" w:hanging="328"/>
        <w:spacing w:after="0" w:line="250" w:lineRule="auto"/>
        <w:tabs>
          <w:tab w:leader="none" w:pos="660" w:val="left"/>
        </w:tabs>
        <w:numPr>
          <w:ilvl w:val="0"/>
          <w:numId w:val="2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See Note 1 of preceding table for specified pool composition. As of December 31, 2021, lower balance specified pools had a weighted average original loan balance of $119,000 and $117,000 for 15-year and 30-year securities, respectively, and HARP pools had a weighted average original LTV of 127% and 138% for 15-year and 30-year securities, respectively.</w:t>
      </w:r>
    </w:p>
    <w:p>
      <w:pPr>
        <w:ind w:left="660" w:hanging="328"/>
        <w:spacing w:after="0"/>
        <w:tabs>
          <w:tab w:leader="none" w:pos="660" w:val="left"/>
        </w:tabs>
        <w:numPr>
          <w:ilvl w:val="0"/>
          <w:numId w:val="2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WAC represents the weighted average coupon of the underlying collateral.</w:t>
      </w:r>
    </w:p>
    <w:p>
      <w:pPr>
        <w:spacing w:after="0" w:line="14"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3"/>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Portfolio yield incorporates a projected life CPR based on forward rate assumptions as of December 31, 2021.</w:t>
      </w:r>
    </w:p>
    <w:p>
      <w:pPr>
        <w:spacing w:after="0" w:line="168"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For additional details regarding our CRT and non-Agency securities, including credit ratings, as of March 31, 2022 and December 31, 2021, please refer to Note 3 of our Consolidated Financial Statements in this Form 10-Q.</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Non-GAAP Financial Measures</w:t>
      </w:r>
    </w:p>
    <w:p>
      <w:pPr>
        <w:spacing w:after="0" w:line="175" w:lineRule="exact"/>
        <w:rPr>
          <w:sz w:val="20"/>
          <w:szCs w:val="20"/>
          <w:color w:val="auto"/>
        </w:rPr>
      </w:pPr>
    </w:p>
    <w:p>
      <w:pPr>
        <w:jc w:val="both"/>
        <w:ind w:firstLine="486"/>
        <w:spacing w:after="0" w:line="261" w:lineRule="auto"/>
        <w:rPr>
          <w:sz w:val="20"/>
          <w:szCs w:val="20"/>
          <w:color w:val="auto"/>
        </w:rPr>
      </w:pPr>
      <w:r>
        <w:rPr>
          <w:rFonts w:ascii="Times New Roman" w:cs="Times New Roman" w:eastAsia="Times New Roman" w:hAnsi="Times New Roman"/>
          <w:sz w:val="18"/>
          <w:szCs w:val="18"/>
          <w:color w:val="auto"/>
        </w:rPr>
        <w:t>In addition to the results presented in accordance with GAAP, our results of operations discussed below include certain non-GAAP financial information, including "economic interest income," "economic interest expense," "net spread and dollar roll income," "net spread and dollar roll income, excluding 'catch-up' premium amortization," "estimated taxable income" and the related per common share measures and certain financial metrics derived from such non-GAAP information, such as "cost of funds" and "net interest spread."</w:t>
      </w:r>
    </w:p>
    <w:p>
      <w:pPr>
        <w:spacing w:after="0" w:line="126" w:lineRule="exact"/>
        <w:rPr>
          <w:sz w:val="20"/>
          <w:szCs w:val="20"/>
          <w:color w:val="auto"/>
        </w:rPr>
      </w:pPr>
    </w:p>
    <w:p>
      <w:pPr>
        <w:jc w:val="both"/>
        <w:ind w:firstLine="486"/>
        <w:spacing w:after="0" w:line="258" w:lineRule="auto"/>
        <w:rPr>
          <w:sz w:val="20"/>
          <w:szCs w:val="20"/>
          <w:color w:val="auto"/>
        </w:rPr>
      </w:pPr>
      <w:r>
        <w:rPr>
          <w:rFonts w:ascii="Times New Roman" w:cs="Times New Roman" w:eastAsia="Times New Roman" w:hAnsi="Times New Roman"/>
          <w:sz w:val="18"/>
          <w:szCs w:val="18"/>
          <w:color w:val="auto"/>
        </w:rPr>
        <w:t>"Economic interest income" is measured as interest income (GAAP measure), adjusted (i) to exclude "catch-up" premium amortization associated with changes in CPR estimates and (ii) to include TBA dollar roll implied interest income. "Economic interest expense" is measured as interest expense (GAAP measure) adjusted to include TBA dollar roll implied interest expense/(benefit) and interest rate swap periodic cost/(income). "Net spread and dollar roll income, excluding "catch-up" premium amortization" includes (i) the components of economic interest income and economic interest expense and other interest and dividend income (referred to as "adjusted net interest and dollar roll income"), less (ii) total operating expenses (GAAP measure).</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5" w:right="339" w:bottom="1440" w:gutter="0" w:footer="0" w:header="0"/>
        </w:sectPr>
      </w:pPr>
    </w:p>
    <w:bookmarkStart w:id="30" w:name="page31"/>
    <w:bookmarkEnd w:id="30"/>
    <w:p>
      <w:pPr>
        <w:jc w:val="both"/>
        <w:ind w:firstLine="486"/>
        <w:spacing w:after="0" w:line="261" w:lineRule="auto"/>
        <w:rPr>
          <w:sz w:val="20"/>
          <w:szCs w:val="20"/>
          <w:color w:val="auto"/>
        </w:rPr>
      </w:pPr>
      <w:r>
        <w:rPr>
          <w:rFonts w:ascii="Times New Roman" w:cs="Times New Roman" w:eastAsia="Times New Roman" w:hAnsi="Times New Roman"/>
          <w:sz w:val="18"/>
          <w:szCs w:val="18"/>
          <w:color w:val="auto"/>
        </w:rPr>
        <w:t>By providing such measures, in addition to the related GAAP measures, we believe we give greater transparency into the information used by our management in its financial and operational decision-making. We also believe it is important for users of our financial information to consider information related to our current financial performance without the effects of certain measures and one-time events that are not necessarily indicative of our current investment portfolio performance and operations.</w:t>
      </w:r>
    </w:p>
    <w:p>
      <w:pPr>
        <w:spacing w:after="0" w:line="126" w:lineRule="exact"/>
        <w:rPr>
          <w:sz w:val="20"/>
          <w:szCs w:val="20"/>
          <w:color w:val="auto"/>
        </w:rPr>
      </w:pPr>
    </w:p>
    <w:p>
      <w:pPr>
        <w:jc w:val="both"/>
        <w:ind w:firstLine="486"/>
        <w:spacing w:after="0" w:line="253" w:lineRule="auto"/>
        <w:rPr>
          <w:sz w:val="20"/>
          <w:szCs w:val="20"/>
          <w:color w:val="auto"/>
        </w:rPr>
      </w:pPr>
      <w:r>
        <w:rPr>
          <w:rFonts w:ascii="Times New Roman" w:cs="Times New Roman" w:eastAsia="Times New Roman" w:hAnsi="Times New Roman"/>
          <w:sz w:val="18"/>
          <w:szCs w:val="18"/>
          <w:color w:val="auto"/>
        </w:rPr>
        <w:t>Specifically, in the case of "adjusted net interest and dollar roll income," we believe the inclusion of TBA dollar roll income is meaningful as TBAs, which are accounted for under GAAP as derivative instruments with gains and losses recognized in other gain (loss) in our consolidated statement of comprehensive income, are economically equivalent to holding and financing generic Agency RMBS using short-term repurchase agreements. Similarly, we believe that the inclusion of periodic interest rate swap settlements in "economic interest expense" is meaningful as interest rate swaps are the primary instrument we use to economically hedge against fluctuations in our borrowing costs and it is more indicative of our total cost of funds than interest expense alone. In the case of "economic interest income" and "net spread and dollar roll income, excluding 'catch-up' premium amortization," we believe the exclusion of "catch-up" adjustments to premium amortization cost or benefit is meaningful as it excludes the cumulative effect from prior reporting periods due to current changes in future prepayment expectations and, therefore, exclusion of such cost or benefit is more indicative of the current earnings potential of our investment portfolio. In the case of estimated taxable income, we believe it is meaningful information because it directly relates to the amount of dividends that we are required to distribute to maintain our REIT qualification status.</w:t>
      </w:r>
    </w:p>
    <w:p>
      <w:pPr>
        <w:spacing w:after="0" w:line="140" w:lineRule="exact"/>
        <w:rPr>
          <w:sz w:val="20"/>
          <w:szCs w:val="20"/>
          <w:color w:val="auto"/>
        </w:rPr>
      </w:pPr>
    </w:p>
    <w:p>
      <w:pPr>
        <w:jc w:val="both"/>
        <w:ind w:firstLine="486"/>
        <w:spacing w:after="0" w:line="258" w:lineRule="auto"/>
        <w:rPr>
          <w:sz w:val="20"/>
          <w:szCs w:val="20"/>
          <w:color w:val="auto"/>
        </w:rPr>
      </w:pPr>
      <w:r>
        <w:rPr>
          <w:rFonts w:ascii="Times New Roman" w:cs="Times New Roman" w:eastAsia="Times New Roman" w:hAnsi="Times New Roman"/>
          <w:sz w:val="18"/>
          <w:szCs w:val="18"/>
          <w:color w:val="auto"/>
        </w:rPr>
        <w:t>However, because such measures are incomplete measures of our financial performance and involve differences from results computed in accordance with GAAP, they should be considered as supplementary to, and not as a substitute for, results computed in accordance with GAAP. In addition, because not all companies use identical calculations, our presentation of such non-GAAP measures may not be comparable to other similarly-titled measures of other companies. Furthermore, estimated taxable income can include certain information that is subject to potential adjustments up to the time of filing our income tax returns, which occurs after the end of our fiscal year.</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Selected Financial Data</w:t>
      </w:r>
    </w:p>
    <w:p>
      <w:pPr>
        <w:spacing w:after="0" w:line="243" w:lineRule="exact"/>
        <w:rPr>
          <w:sz w:val="20"/>
          <w:szCs w:val="20"/>
          <w:color w:val="auto"/>
        </w:rPr>
      </w:pPr>
    </w:p>
    <w:p>
      <w:pPr>
        <w:ind w:right="40" w:firstLine="445"/>
        <w:spacing w:after="0" w:line="250" w:lineRule="auto"/>
        <w:rPr>
          <w:sz w:val="20"/>
          <w:szCs w:val="20"/>
          <w:color w:val="auto"/>
        </w:rPr>
      </w:pPr>
      <w:r>
        <w:rPr>
          <w:rFonts w:ascii="Times New Roman" w:cs="Times New Roman" w:eastAsia="Times New Roman" w:hAnsi="Times New Roman"/>
          <w:sz w:val="18"/>
          <w:szCs w:val="18"/>
          <w:color w:val="auto"/>
        </w:rPr>
        <w:t>The following selected financial data is derived from our interim consolidated financial statements and the notes thereto. The tables below present our condensed consolidated balance sheets as of March 31, 2022 and December 31, 2021 and condensed consolidated statements of comprehensive income and key statistics for the three months ended March 31, 2022 and 2021 (in millions, except per share amounts):</w:t>
      </w:r>
    </w:p>
    <w:p>
      <w:pPr>
        <w:spacing w:after="0" w:line="8" w:lineRule="exact"/>
        <w:rPr>
          <w:sz w:val="20"/>
          <w:szCs w:val="20"/>
          <w:color w:val="auto"/>
        </w:rPr>
      </w:pPr>
    </w:p>
    <w:tbl>
      <w:tblPr>
        <w:tblLayout w:type="fixed"/>
        <w:tblInd w:w="780" w:type="dxa"/>
        <w:tblCellMar>
          <w:top w:w="0" w:type="dxa"/>
          <w:left w:w="0" w:type="dxa"/>
          <w:bottom w:w="0" w:type="dxa"/>
          <w:right w:w="0" w:type="dxa"/>
        </w:tblCellMar>
      </w:tblPr>
      <w:tr>
        <w:trPr>
          <w:trHeight w:val="190"/>
        </w:trPr>
        <w:tc>
          <w:tcPr>
            <w:tcW w:w="4880" w:type="dxa"/>
            <w:vAlign w:val="bottom"/>
          </w:tcPr>
          <w:p>
            <w:pPr>
              <w:spacing w:after="0"/>
              <w:rPr>
                <w:sz w:val="16"/>
                <w:szCs w:val="16"/>
                <w:color w:val="auto"/>
              </w:rPr>
            </w:pPr>
          </w:p>
        </w:tc>
        <w:tc>
          <w:tcPr>
            <w:tcW w:w="2140" w:type="dxa"/>
            <w:vAlign w:val="bottom"/>
          </w:tcPr>
          <w:p>
            <w:pPr>
              <w:spacing w:after="0"/>
              <w:rPr>
                <w:sz w:val="16"/>
                <w:szCs w:val="16"/>
                <w:color w:val="auto"/>
              </w:rPr>
            </w:pPr>
          </w:p>
        </w:tc>
        <w:tc>
          <w:tcPr>
            <w:tcW w:w="1260" w:type="dxa"/>
            <w:vAlign w:val="bottom"/>
            <w:gridSpan w:val="2"/>
          </w:tcPr>
          <w:p>
            <w:pPr>
              <w:jc w:val="center"/>
              <w:ind w:right="300"/>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200" w:type="dxa"/>
            <w:vAlign w:val="bottom"/>
          </w:tcPr>
          <w:p>
            <w:pPr>
              <w:spacing w:after="0"/>
              <w:rPr>
                <w:sz w:val="16"/>
                <w:szCs w:val="16"/>
                <w:color w:val="auto"/>
              </w:rPr>
            </w:pPr>
          </w:p>
        </w:tc>
        <w:tc>
          <w:tcPr>
            <w:tcW w:w="1220" w:type="dxa"/>
            <w:vAlign w:val="bottom"/>
          </w:tcPr>
          <w:p>
            <w:pPr>
              <w:jc w:val="right"/>
              <w:ind w:right="221"/>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203"/>
        </w:trPr>
        <w:tc>
          <w:tcPr>
            <w:tcW w:w="4880" w:type="dxa"/>
            <w:vAlign w:val="bottom"/>
          </w:tcPr>
          <w:p>
            <w:pPr>
              <w:ind w:left="20"/>
              <w:spacing w:after="0"/>
              <w:rPr>
                <w:sz w:val="20"/>
                <w:szCs w:val="20"/>
                <w:color w:val="auto"/>
              </w:rPr>
            </w:pPr>
            <w:r>
              <w:rPr>
                <w:rFonts w:ascii="Times New Roman" w:cs="Times New Roman" w:eastAsia="Times New Roman" w:hAnsi="Times New Roman"/>
                <w:sz w:val="14"/>
                <w:szCs w:val="14"/>
                <w:b w:val="1"/>
                <w:bCs w:val="1"/>
                <w:color w:val="auto"/>
              </w:rPr>
              <w:t>Balance Sheet Data</w:t>
            </w:r>
          </w:p>
        </w:tc>
        <w:tc>
          <w:tcPr>
            <w:tcW w:w="2140" w:type="dxa"/>
            <w:vAlign w:val="bottom"/>
          </w:tcPr>
          <w:p>
            <w:pPr>
              <w:spacing w:after="0"/>
              <w:rPr>
                <w:sz w:val="17"/>
                <w:szCs w:val="17"/>
                <w:color w:val="auto"/>
              </w:rPr>
            </w:pPr>
          </w:p>
        </w:tc>
        <w:tc>
          <w:tcPr>
            <w:tcW w:w="1160" w:type="dxa"/>
            <w:vAlign w:val="bottom"/>
          </w:tcPr>
          <w:p>
            <w:pPr>
              <w:jc w:val="center"/>
              <w:ind w:right="121"/>
              <w:spacing w:after="0"/>
              <w:rPr>
                <w:sz w:val="20"/>
                <w:szCs w:val="20"/>
                <w:color w:val="auto"/>
              </w:rPr>
            </w:pPr>
            <w:r>
              <w:rPr>
                <w:rFonts w:ascii="Times New Roman" w:cs="Times New Roman" w:eastAsia="Times New Roman" w:hAnsi="Times New Roman"/>
                <w:sz w:val="14"/>
                <w:szCs w:val="14"/>
                <w:b w:val="1"/>
                <w:bCs w:val="1"/>
                <w:color w:val="auto"/>
                <w:w w:val="99"/>
              </w:rPr>
              <w:t>2022</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tcPr>
          <w:p>
            <w:pPr>
              <w:jc w:val="right"/>
              <w:ind w:right="481"/>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3"/>
        </w:trPr>
        <w:tc>
          <w:tcPr>
            <w:tcW w:w="4880" w:type="dxa"/>
            <w:vAlign w:val="bottom"/>
            <w:tcBorders>
              <w:bottom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1160" w:type="dxa"/>
            <w:vAlign w:val="bottom"/>
            <w:tcBorders>
              <w:bottom w:val="single" w:sz="8" w:color="auto"/>
            </w:tcBorders>
          </w:tcPr>
          <w:p>
            <w:pPr>
              <w:spacing w:after="0"/>
              <w:rPr>
                <w:sz w:val="2"/>
                <w:szCs w:val="2"/>
                <w:color w:val="auto"/>
              </w:rPr>
            </w:pPr>
          </w:p>
        </w:tc>
        <w:tc>
          <w:tcPr>
            <w:tcW w:w="100" w:type="dxa"/>
            <w:vAlign w:val="bottom"/>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r>
        <w:trPr>
          <w:trHeight w:val="207"/>
        </w:trPr>
        <w:tc>
          <w:tcPr>
            <w:tcW w:w="4880" w:type="dxa"/>
            <w:vAlign w:val="bottom"/>
          </w:tcPr>
          <w:p>
            <w:pPr>
              <w:spacing w:after="0"/>
              <w:rPr>
                <w:sz w:val="17"/>
                <w:szCs w:val="17"/>
                <w:color w:val="auto"/>
              </w:rPr>
            </w:pPr>
          </w:p>
        </w:tc>
        <w:tc>
          <w:tcPr>
            <w:tcW w:w="2140" w:type="dxa"/>
            <w:vAlign w:val="bottom"/>
          </w:tcPr>
          <w:p>
            <w:pPr>
              <w:spacing w:after="0"/>
              <w:rPr>
                <w:sz w:val="17"/>
                <w:szCs w:val="17"/>
                <w:color w:val="auto"/>
              </w:rPr>
            </w:pPr>
          </w:p>
        </w:tc>
        <w:tc>
          <w:tcPr>
            <w:tcW w:w="1160" w:type="dxa"/>
            <w:vAlign w:val="bottom"/>
          </w:tcPr>
          <w:p>
            <w:pPr>
              <w:jc w:val="center"/>
              <w:ind w:right="101"/>
              <w:spacing w:after="0"/>
              <w:rPr>
                <w:sz w:val="20"/>
                <w:szCs w:val="20"/>
                <w:color w:val="auto"/>
              </w:rPr>
            </w:pPr>
            <w:r>
              <w:rPr>
                <w:rFonts w:ascii="Times New Roman" w:cs="Times New Roman" w:eastAsia="Times New Roman" w:hAnsi="Times New Roman"/>
                <w:sz w:val="16"/>
                <w:szCs w:val="16"/>
                <w:color w:val="auto"/>
              </w:rPr>
              <w:t>(Unaudited)</w:t>
            </w:r>
          </w:p>
        </w:tc>
        <w:tc>
          <w:tcPr>
            <w:tcW w:w="1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20" w:type="dxa"/>
            <w:vAlign w:val="bottom"/>
          </w:tcPr>
          <w:p>
            <w:pPr>
              <w:spacing w:after="0"/>
              <w:rPr>
                <w:sz w:val="17"/>
                <w:szCs w:val="17"/>
                <w:color w:val="auto"/>
              </w:rPr>
            </w:pPr>
          </w:p>
        </w:tc>
      </w:tr>
      <w:tr>
        <w:trPr>
          <w:trHeight w:val="219"/>
        </w:trPr>
        <w:tc>
          <w:tcPr>
            <w:tcW w:w="4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Investment securities, at fair value</w:t>
            </w:r>
          </w:p>
        </w:tc>
        <w:tc>
          <w:tcPr>
            <w:tcW w:w="214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49,087</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2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54,421</w:t>
            </w:r>
          </w:p>
        </w:tc>
      </w:tr>
      <w:tr>
        <w:trPr>
          <w:trHeight w:val="213"/>
        </w:trPr>
        <w:tc>
          <w:tcPr>
            <w:tcW w:w="48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Total assets</w:t>
            </w:r>
          </w:p>
        </w:tc>
        <w:tc>
          <w:tcPr>
            <w:tcW w:w="21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66,394</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2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68,149</w:t>
            </w:r>
          </w:p>
        </w:tc>
      </w:tr>
      <w:tr>
        <w:trPr>
          <w:trHeight w:val="219"/>
        </w:trPr>
        <w:tc>
          <w:tcPr>
            <w:tcW w:w="4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Repurchase agreements and other debt</w:t>
            </w:r>
          </w:p>
        </w:tc>
        <w:tc>
          <w:tcPr>
            <w:tcW w:w="214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44,831</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2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47,507</w:t>
            </w:r>
          </w:p>
        </w:tc>
      </w:tr>
      <w:tr>
        <w:trPr>
          <w:trHeight w:val="213"/>
        </w:trPr>
        <w:tc>
          <w:tcPr>
            <w:tcW w:w="48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Total liabilities</w:t>
            </w:r>
          </w:p>
        </w:tc>
        <w:tc>
          <w:tcPr>
            <w:tcW w:w="21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57,464</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2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57,858</w:t>
            </w:r>
          </w:p>
        </w:tc>
      </w:tr>
      <w:tr>
        <w:trPr>
          <w:trHeight w:val="219"/>
        </w:trPr>
        <w:tc>
          <w:tcPr>
            <w:tcW w:w="48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6"/>
                <w:szCs w:val="16"/>
                <w:color w:val="auto"/>
              </w:rPr>
              <w:t>Total stockholders' equity</w:t>
            </w:r>
          </w:p>
        </w:tc>
        <w:tc>
          <w:tcPr>
            <w:tcW w:w="214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8,930</w:t>
            </w:r>
          </w:p>
        </w:tc>
        <w:tc>
          <w:tcPr>
            <w:tcW w:w="100" w:type="dxa"/>
            <w:vAlign w:val="bottom"/>
            <w:shd w:val="clear" w:color="auto" w:fill="CCEEFF"/>
          </w:tcPr>
          <w:p>
            <w:pPr>
              <w:spacing w:after="0"/>
              <w:rPr>
                <w:sz w:val="19"/>
                <w:szCs w:val="19"/>
                <w:color w:val="auto"/>
              </w:rPr>
            </w:pPr>
          </w:p>
        </w:tc>
        <w:tc>
          <w:tcPr>
            <w:tcW w:w="20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2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10,291</w:t>
            </w:r>
          </w:p>
        </w:tc>
      </w:tr>
      <w:tr>
        <w:trPr>
          <w:trHeight w:val="216"/>
        </w:trPr>
        <w:tc>
          <w:tcPr>
            <w:tcW w:w="4880" w:type="dxa"/>
            <w:vAlign w:val="bottom"/>
          </w:tcPr>
          <w:p>
            <w:pPr>
              <w:ind w:left="20"/>
              <w:spacing w:after="0" w:line="216" w:lineRule="exact"/>
              <w:rPr>
                <w:sz w:val="20"/>
                <w:szCs w:val="20"/>
                <w:color w:val="auto"/>
              </w:rPr>
            </w:pPr>
            <w:r>
              <w:rPr>
                <w:rFonts w:ascii="Times New Roman" w:cs="Times New Roman" w:eastAsia="Times New Roman" w:hAnsi="Times New Roman"/>
                <w:sz w:val="16"/>
                <w:szCs w:val="16"/>
                <w:color w:val="auto"/>
              </w:rPr>
              <w:t xml:space="preserve">Net book value per common share </w:t>
            </w:r>
            <w:r>
              <w:rPr>
                <w:rFonts w:ascii="Times New Roman" w:cs="Times New Roman" w:eastAsia="Times New Roman" w:hAnsi="Times New Roman"/>
                <w:sz w:val="21"/>
                <w:szCs w:val="21"/>
                <w:color w:val="auto"/>
                <w:vertAlign w:val="superscript"/>
              </w:rPr>
              <w:t>1</w:t>
            </w:r>
          </w:p>
        </w:tc>
        <w:tc>
          <w:tcPr>
            <w:tcW w:w="214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14.12</w:t>
            </w:r>
          </w:p>
        </w:tc>
        <w:tc>
          <w:tcPr>
            <w:tcW w:w="100" w:type="dxa"/>
            <w:vAlign w:val="bottom"/>
          </w:tcPr>
          <w:p>
            <w:pPr>
              <w:spacing w:after="0"/>
              <w:rPr>
                <w:sz w:val="18"/>
                <w:szCs w:val="18"/>
                <w:color w:val="auto"/>
              </w:rPr>
            </w:pPr>
          </w:p>
        </w:tc>
        <w:tc>
          <w:tcPr>
            <w:tcW w:w="200" w:type="dxa"/>
            <w:vAlign w:val="bottom"/>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20" w:type="dxa"/>
            <w:vAlign w:val="bottom"/>
          </w:tcPr>
          <w:p>
            <w:pPr>
              <w:jc w:val="right"/>
              <w:ind w:right="1"/>
              <w:spacing w:after="0"/>
              <w:rPr>
                <w:sz w:val="20"/>
                <w:szCs w:val="20"/>
                <w:color w:val="auto"/>
              </w:rPr>
            </w:pPr>
            <w:r>
              <w:rPr>
                <w:rFonts w:ascii="Times New Roman" w:cs="Times New Roman" w:eastAsia="Times New Roman" w:hAnsi="Times New Roman"/>
                <w:sz w:val="16"/>
                <w:szCs w:val="16"/>
                <w:color w:val="auto"/>
              </w:rPr>
              <w:t>16.76</w:t>
            </w:r>
          </w:p>
        </w:tc>
      </w:tr>
      <w:tr>
        <w:trPr>
          <w:trHeight w:val="216"/>
        </w:trPr>
        <w:tc>
          <w:tcPr>
            <w:tcW w:w="4880" w:type="dxa"/>
            <w:vAlign w:val="bottom"/>
            <w:shd w:val="clear" w:color="auto" w:fill="CCEEFF"/>
          </w:tcPr>
          <w:p>
            <w:pPr>
              <w:ind w:left="20"/>
              <w:spacing w:after="0" w:line="216" w:lineRule="exact"/>
              <w:rPr>
                <w:sz w:val="20"/>
                <w:szCs w:val="20"/>
                <w:color w:val="auto"/>
              </w:rPr>
            </w:pPr>
            <w:r>
              <w:rPr>
                <w:rFonts w:ascii="Times New Roman" w:cs="Times New Roman" w:eastAsia="Times New Roman" w:hAnsi="Times New Roman"/>
                <w:sz w:val="16"/>
                <w:szCs w:val="16"/>
                <w:color w:val="auto"/>
              </w:rPr>
              <w:t xml:space="preserve">Tangible net book value per common share </w:t>
            </w:r>
            <w:r>
              <w:rPr>
                <w:rFonts w:ascii="Times New Roman" w:cs="Times New Roman" w:eastAsia="Times New Roman" w:hAnsi="Times New Roman"/>
                <w:sz w:val="21"/>
                <w:szCs w:val="21"/>
                <w:color w:val="auto"/>
                <w:vertAlign w:val="superscript"/>
              </w:rPr>
              <w:t>2</w:t>
            </w:r>
          </w:p>
        </w:tc>
        <w:tc>
          <w:tcPr>
            <w:tcW w:w="214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rPr>
              <w:t>$</w:t>
            </w:r>
          </w:p>
        </w:tc>
        <w:tc>
          <w:tcPr>
            <w:tcW w:w="1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13.12</w:t>
            </w:r>
          </w:p>
        </w:tc>
        <w:tc>
          <w:tcPr>
            <w:tcW w:w="10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9"/>
              <w:spacing w:after="0"/>
              <w:rPr>
                <w:sz w:val="20"/>
                <w:szCs w:val="20"/>
                <w:color w:val="auto"/>
              </w:rPr>
            </w:pPr>
            <w:r>
              <w:rPr>
                <w:rFonts w:ascii="Times New Roman" w:cs="Times New Roman" w:eastAsia="Times New Roman" w:hAnsi="Times New Roman"/>
                <w:sz w:val="16"/>
                <w:szCs w:val="16"/>
                <w:color w:val="auto"/>
                <w:w w:val="99"/>
              </w:rPr>
              <w:t>$</w:t>
            </w:r>
          </w:p>
        </w:tc>
        <w:tc>
          <w:tcPr>
            <w:tcW w:w="1220" w:type="dxa"/>
            <w:vAlign w:val="bottom"/>
            <w:shd w:val="clear" w:color="auto" w:fill="CCEEFF"/>
          </w:tcPr>
          <w:p>
            <w:pPr>
              <w:jc w:val="right"/>
              <w:ind w:right="1"/>
              <w:spacing w:after="0"/>
              <w:rPr>
                <w:sz w:val="20"/>
                <w:szCs w:val="20"/>
                <w:color w:val="auto"/>
              </w:rPr>
            </w:pPr>
            <w:r>
              <w:rPr>
                <w:rFonts w:ascii="Times New Roman" w:cs="Times New Roman" w:eastAsia="Times New Roman" w:hAnsi="Times New Roman"/>
                <w:sz w:val="16"/>
                <w:szCs w:val="16"/>
                <w:color w:val="auto"/>
              </w:rPr>
              <w:t>15.75</w:t>
            </w:r>
          </w:p>
        </w:tc>
      </w:tr>
    </w:tbl>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31" w:name="page32"/>
    <w:bookmarkEnd w:id="31"/>
    <w:tbl>
      <w:tblPr>
        <w:tblLayout w:type="fixed"/>
        <w:tblInd w:w="700" w:type="dxa"/>
        <w:tblCellMar>
          <w:top w:w="0" w:type="dxa"/>
          <w:left w:w="0" w:type="dxa"/>
          <w:bottom w:w="0" w:type="dxa"/>
          <w:right w:w="0" w:type="dxa"/>
        </w:tblCellMar>
      </w:tblPr>
      <w:tr>
        <w:trPr>
          <w:trHeight w:val="161"/>
        </w:trPr>
        <w:tc>
          <w:tcPr>
            <w:tcW w:w="69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2500" w:type="dxa"/>
            <w:vAlign w:val="bottom"/>
            <w:gridSpan w:val="4"/>
          </w:tcPr>
          <w:p>
            <w:pPr>
              <w:jc w:val="right"/>
              <w:ind w:right="679"/>
              <w:spacing w:after="0"/>
              <w:rPr>
                <w:sz w:val="20"/>
                <w:szCs w:val="20"/>
                <w:color w:val="auto"/>
              </w:rPr>
            </w:pPr>
            <w:r>
              <w:rPr>
                <w:rFonts w:ascii="Times New Roman" w:cs="Times New Roman" w:eastAsia="Times New Roman" w:hAnsi="Times New Roman"/>
                <w:sz w:val="14"/>
                <w:szCs w:val="14"/>
                <w:b w:val="1"/>
                <w:bCs w:val="1"/>
                <w:color w:val="auto"/>
              </w:rPr>
              <w:t>Three Months Ended</w:t>
            </w:r>
          </w:p>
        </w:tc>
      </w:tr>
      <w:tr>
        <w:trPr>
          <w:trHeight w:val="194"/>
        </w:trPr>
        <w:tc>
          <w:tcPr>
            <w:tcW w:w="69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20" w:type="dxa"/>
            <w:vAlign w:val="bottom"/>
            <w:tcBorders>
              <w:bottom w:val="single" w:sz="8" w:color="auto"/>
            </w:tcBorders>
          </w:tcPr>
          <w:p>
            <w:pPr>
              <w:spacing w:after="0"/>
              <w:rPr>
                <w:sz w:val="16"/>
                <w:szCs w:val="16"/>
                <w:color w:val="auto"/>
              </w:rPr>
            </w:pPr>
          </w:p>
        </w:tc>
        <w:tc>
          <w:tcPr>
            <w:tcW w:w="1540" w:type="dxa"/>
            <w:vAlign w:val="bottom"/>
            <w:tcBorders>
              <w:bottom w:val="single" w:sz="8" w:color="auto"/>
            </w:tcBorders>
            <w:gridSpan w:val="3"/>
          </w:tcPr>
          <w:p>
            <w:pPr>
              <w:jc w:val="right"/>
              <w:ind w:right="59"/>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960" w:type="dxa"/>
            <w:vAlign w:val="bottom"/>
            <w:tcBorders>
              <w:bottom w:val="single" w:sz="8" w:color="auto"/>
            </w:tcBorders>
          </w:tcPr>
          <w:p>
            <w:pPr>
              <w:spacing w:after="0"/>
              <w:rPr>
                <w:sz w:val="16"/>
                <w:szCs w:val="16"/>
                <w:color w:val="auto"/>
              </w:rPr>
            </w:pPr>
          </w:p>
        </w:tc>
      </w:tr>
      <w:tr>
        <w:trPr>
          <w:trHeight w:val="196"/>
        </w:trPr>
        <w:tc>
          <w:tcPr>
            <w:tcW w:w="69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Statement of Comprehensive Income Data (Unaudited)</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459"/>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16"/>
        </w:trPr>
        <w:tc>
          <w:tcPr>
            <w:tcW w:w="70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Interest income</w:t>
            </w:r>
          </w:p>
        </w:tc>
        <w:tc>
          <w:tcPr>
            <w:tcW w:w="320" w:type="dxa"/>
            <w:vAlign w:val="bottom"/>
            <w:shd w:val="clear" w:color="auto" w:fill="CCEEFF"/>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475</w:t>
            </w:r>
          </w:p>
        </w:tc>
        <w:tc>
          <w:tcPr>
            <w:tcW w:w="100" w:type="dxa"/>
            <w:vAlign w:val="bottom"/>
            <w:shd w:val="clear" w:color="auto" w:fill="CCEEFF"/>
          </w:tcPr>
          <w:p>
            <w:pPr>
              <w:spacing w:after="0"/>
              <w:rPr>
                <w:sz w:val="18"/>
                <w:szCs w:val="18"/>
                <w:color w:val="auto"/>
              </w:rPr>
            </w:pPr>
          </w:p>
        </w:tc>
        <w:tc>
          <w:tcPr>
            <w:tcW w:w="400" w:type="dxa"/>
            <w:vAlign w:val="bottom"/>
            <w:shd w:val="clear" w:color="auto" w:fill="CCEEFF"/>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557</w:t>
            </w:r>
          </w:p>
        </w:tc>
      </w:tr>
      <w:tr>
        <w:trPr>
          <w:trHeight w:val="213"/>
        </w:trPr>
        <w:tc>
          <w:tcPr>
            <w:tcW w:w="702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4"/>
                <w:szCs w:val="14"/>
                <w:color w:val="auto"/>
              </w:rPr>
              <w:t>Interest expense</w:t>
            </w: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27</w:t>
            </w:r>
          </w:p>
        </w:tc>
        <w:tc>
          <w:tcPr>
            <w:tcW w:w="100" w:type="dxa"/>
            <w:vAlign w:val="bottom"/>
            <w:tcBorders>
              <w:bottom w:val="single" w:sz="8" w:color="CCEEFF"/>
            </w:tcBorders>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29</w:t>
            </w:r>
          </w:p>
        </w:tc>
      </w:tr>
      <w:tr>
        <w:trPr>
          <w:trHeight w:val="210"/>
        </w:trPr>
        <w:tc>
          <w:tcPr>
            <w:tcW w:w="70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interest income</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448</w:t>
            </w:r>
          </w:p>
        </w:tc>
        <w:tc>
          <w:tcPr>
            <w:tcW w:w="1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528</w:t>
            </w:r>
          </w:p>
        </w:tc>
      </w:tr>
      <w:tr>
        <w:trPr>
          <w:trHeight w:val="209"/>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Other gain (loss), net</w:t>
            </w:r>
          </w:p>
        </w:tc>
        <w:tc>
          <w:tcPr>
            <w:tcW w:w="3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(1,078)</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471</w:t>
            </w:r>
          </w:p>
        </w:tc>
      </w:tr>
      <w:tr>
        <w:trPr>
          <w:trHeight w:val="216"/>
        </w:trPr>
        <w:tc>
          <w:tcPr>
            <w:tcW w:w="70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Operating expenses</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21</w:t>
            </w:r>
          </w:p>
        </w:tc>
        <w:tc>
          <w:tcPr>
            <w:tcW w:w="1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24</w:t>
            </w:r>
          </w:p>
        </w:tc>
      </w:tr>
      <w:tr>
        <w:trPr>
          <w:trHeight w:val="210"/>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Net income (loss)</w:t>
            </w:r>
          </w:p>
        </w:tc>
        <w:tc>
          <w:tcPr>
            <w:tcW w:w="3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(651)</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975</w:t>
            </w:r>
          </w:p>
        </w:tc>
      </w:tr>
      <w:tr>
        <w:trPr>
          <w:trHeight w:val="216"/>
        </w:trPr>
        <w:tc>
          <w:tcPr>
            <w:tcW w:w="70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Dividends on preferred stock</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1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w:t>
            </w:r>
          </w:p>
        </w:tc>
      </w:tr>
      <w:tr>
        <w:trPr>
          <w:trHeight w:val="212"/>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Net income (loss) available (attributable) to common stockholders</w:t>
            </w:r>
          </w:p>
        </w:tc>
        <w:tc>
          <w:tcPr>
            <w:tcW w:w="32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(676)</w:t>
            </w:r>
          </w:p>
        </w:tc>
        <w:tc>
          <w:tcPr>
            <w:tcW w:w="100" w:type="dxa"/>
            <w:vAlign w:val="bottom"/>
          </w:tcPr>
          <w:p>
            <w:pPr>
              <w:spacing w:after="0"/>
              <w:rPr>
                <w:sz w:val="18"/>
                <w:szCs w:val="18"/>
                <w:color w:val="auto"/>
              </w:rPr>
            </w:pPr>
          </w:p>
        </w:tc>
        <w:tc>
          <w:tcPr>
            <w:tcW w:w="400" w:type="dxa"/>
            <w:vAlign w:val="bottom"/>
            <w:tcBorders>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950</w:t>
            </w:r>
          </w:p>
        </w:tc>
      </w:tr>
      <w:tr>
        <w:trPr>
          <w:trHeight w:val="20"/>
        </w:trPr>
        <w:tc>
          <w:tcPr>
            <w:tcW w:w="69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224"/>
        </w:trPr>
        <w:tc>
          <w:tcPr>
            <w:tcW w:w="6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r>
      <w:tr>
        <w:trPr>
          <w:trHeight w:val="213"/>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Net income (loss)</w:t>
            </w:r>
          </w:p>
        </w:tc>
        <w:tc>
          <w:tcPr>
            <w:tcW w:w="320" w:type="dxa"/>
            <w:vAlign w:val="bottom"/>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(651)</w:t>
            </w:r>
          </w:p>
        </w:tc>
        <w:tc>
          <w:tcPr>
            <w:tcW w:w="100" w:type="dxa"/>
            <w:vAlign w:val="bottom"/>
          </w:tcPr>
          <w:p>
            <w:pPr>
              <w:spacing w:after="0"/>
              <w:rPr>
                <w:sz w:val="18"/>
                <w:szCs w:val="18"/>
                <w:color w:val="auto"/>
              </w:rPr>
            </w:pPr>
          </w:p>
        </w:tc>
        <w:tc>
          <w:tcPr>
            <w:tcW w:w="400" w:type="dxa"/>
            <w:vAlign w:val="bottom"/>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975</w:t>
            </w:r>
          </w:p>
        </w:tc>
      </w:tr>
      <w:tr>
        <w:trPr>
          <w:trHeight w:val="216"/>
        </w:trPr>
        <w:tc>
          <w:tcPr>
            <w:tcW w:w="70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 comprehensive income (loss), net</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(491)</w:t>
            </w:r>
          </w:p>
        </w:tc>
        <w:tc>
          <w:tcPr>
            <w:tcW w:w="1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(237)</w:t>
            </w:r>
          </w:p>
        </w:tc>
      </w:tr>
      <w:tr>
        <w:trPr>
          <w:trHeight w:val="209"/>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Comprehensive income (loss)</w:t>
            </w:r>
          </w:p>
        </w:tc>
        <w:tc>
          <w:tcPr>
            <w:tcW w:w="32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(1,142)</w:t>
            </w:r>
          </w:p>
        </w:tc>
        <w:tc>
          <w:tcPr>
            <w:tcW w:w="10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738</w:t>
            </w:r>
          </w:p>
        </w:tc>
      </w:tr>
      <w:tr>
        <w:trPr>
          <w:trHeight w:val="216"/>
        </w:trPr>
        <w:tc>
          <w:tcPr>
            <w:tcW w:w="70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Dividends on preferred stock</w:t>
            </w:r>
          </w:p>
        </w:tc>
        <w:tc>
          <w:tcPr>
            <w:tcW w:w="32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w:t>
            </w:r>
          </w:p>
        </w:tc>
        <w:tc>
          <w:tcPr>
            <w:tcW w:w="10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25</w:t>
            </w:r>
          </w:p>
        </w:tc>
      </w:tr>
      <w:tr>
        <w:trPr>
          <w:trHeight w:val="212"/>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Comprehensive income (loss) available (attributable) to common stockholders</w:t>
            </w:r>
          </w:p>
        </w:tc>
        <w:tc>
          <w:tcPr>
            <w:tcW w:w="32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(1,167)</w:t>
            </w:r>
          </w:p>
        </w:tc>
        <w:tc>
          <w:tcPr>
            <w:tcW w:w="100" w:type="dxa"/>
            <w:vAlign w:val="bottom"/>
          </w:tcPr>
          <w:p>
            <w:pPr>
              <w:spacing w:after="0"/>
              <w:rPr>
                <w:sz w:val="18"/>
                <w:szCs w:val="18"/>
                <w:color w:val="auto"/>
              </w:rPr>
            </w:pPr>
          </w:p>
        </w:tc>
        <w:tc>
          <w:tcPr>
            <w:tcW w:w="400" w:type="dxa"/>
            <w:vAlign w:val="bottom"/>
            <w:tcBorders>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713</w:t>
            </w:r>
          </w:p>
        </w:tc>
      </w:tr>
      <w:tr>
        <w:trPr>
          <w:trHeight w:val="20"/>
        </w:trPr>
        <w:tc>
          <w:tcPr>
            <w:tcW w:w="69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223"/>
        </w:trPr>
        <w:tc>
          <w:tcPr>
            <w:tcW w:w="692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320" w:type="dxa"/>
            <w:vAlign w:val="bottom"/>
            <w:shd w:val="clear" w:color="auto" w:fill="CCEEFF"/>
          </w:tcPr>
          <w:p>
            <w:pPr>
              <w:spacing w:after="0"/>
              <w:rPr>
                <w:sz w:val="19"/>
                <w:szCs w:val="19"/>
                <w:color w:val="auto"/>
              </w:rPr>
            </w:pPr>
          </w:p>
        </w:tc>
        <w:tc>
          <w:tcPr>
            <w:tcW w:w="1040" w:type="dxa"/>
            <w:vAlign w:val="bottom"/>
            <w:shd w:val="clear" w:color="auto" w:fill="CCEEFF"/>
          </w:tcPr>
          <w:p>
            <w:pPr>
              <w:spacing w:after="0"/>
              <w:rPr>
                <w:sz w:val="19"/>
                <w:szCs w:val="19"/>
                <w:color w:val="auto"/>
              </w:rPr>
            </w:pPr>
          </w:p>
        </w:tc>
        <w:tc>
          <w:tcPr>
            <w:tcW w:w="100" w:type="dxa"/>
            <w:vAlign w:val="bottom"/>
            <w:shd w:val="clear" w:color="auto" w:fill="CCEEFF"/>
          </w:tcPr>
          <w:p>
            <w:pPr>
              <w:spacing w:after="0"/>
              <w:rPr>
                <w:sz w:val="19"/>
                <w:szCs w:val="19"/>
                <w:color w:val="auto"/>
              </w:rPr>
            </w:pPr>
          </w:p>
        </w:tc>
        <w:tc>
          <w:tcPr>
            <w:tcW w:w="400" w:type="dxa"/>
            <w:vAlign w:val="bottom"/>
            <w:shd w:val="clear" w:color="auto" w:fill="CCEEFF"/>
          </w:tcPr>
          <w:p>
            <w:pPr>
              <w:spacing w:after="0"/>
              <w:rPr>
                <w:sz w:val="19"/>
                <w:szCs w:val="19"/>
                <w:color w:val="auto"/>
              </w:rPr>
            </w:pPr>
          </w:p>
        </w:tc>
        <w:tc>
          <w:tcPr>
            <w:tcW w:w="960" w:type="dxa"/>
            <w:vAlign w:val="bottom"/>
            <w:shd w:val="clear" w:color="auto" w:fill="CCEEFF"/>
          </w:tcPr>
          <w:p>
            <w:pPr>
              <w:spacing w:after="0"/>
              <w:rPr>
                <w:sz w:val="19"/>
                <w:szCs w:val="19"/>
                <w:color w:val="auto"/>
              </w:rPr>
            </w:pPr>
          </w:p>
        </w:tc>
      </w:tr>
      <w:tr>
        <w:trPr>
          <w:trHeight w:val="216"/>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Weighted average number of common shares outstanding - basic</w:t>
            </w:r>
          </w:p>
        </w:tc>
        <w:tc>
          <w:tcPr>
            <w:tcW w:w="32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524.3</w:t>
            </w:r>
          </w:p>
        </w:tc>
        <w:tc>
          <w:tcPr>
            <w:tcW w:w="100" w:type="dxa"/>
            <w:vAlign w:val="bottom"/>
          </w:tcPr>
          <w:p>
            <w:pPr>
              <w:spacing w:after="0"/>
              <w:rPr>
                <w:sz w:val="18"/>
                <w:szCs w:val="18"/>
                <w:color w:val="auto"/>
              </w:rPr>
            </w:pPr>
          </w:p>
        </w:tc>
        <w:tc>
          <w:tcPr>
            <w:tcW w:w="40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533.7</w:t>
            </w:r>
          </w:p>
        </w:tc>
      </w:tr>
      <w:tr>
        <w:trPr>
          <w:trHeight w:val="20"/>
        </w:trPr>
        <w:tc>
          <w:tcPr>
            <w:tcW w:w="69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235"/>
        </w:trPr>
        <w:tc>
          <w:tcPr>
            <w:tcW w:w="70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Weighted average number of common shares outstanding - diluted</w:t>
            </w:r>
          </w:p>
        </w:tc>
        <w:tc>
          <w:tcPr>
            <w:tcW w:w="320" w:type="dxa"/>
            <w:vAlign w:val="bottom"/>
            <w:tcBorders>
              <w:bottom w:val="single" w:sz="8" w:color="auto"/>
            </w:tcBorders>
            <w:shd w:val="clear" w:color="auto" w:fill="CCEEFF"/>
          </w:tcPr>
          <w:p>
            <w:pPr>
              <w:spacing w:after="0"/>
              <w:rPr>
                <w:sz w:val="20"/>
                <w:szCs w:val="20"/>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524.3</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spacing w:after="0"/>
              <w:rPr>
                <w:sz w:val="20"/>
                <w:szCs w:val="20"/>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535.6</w:t>
            </w:r>
          </w:p>
        </w:tc>
      </w:tr>
      <w:tr>
        <w:trPr>
          <w:trHeight w:val="20"/>
        </w:trPr>
        <w:tc>
          <w:tcPr>
            <w:tcW w:w="69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r>
      <w:tr>
        <w:trPr>
          <w:trHeight w:val="190"/>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Net income (loss) per common share - basic</w:t>
            </w:r>
          </w:p>
        </w:tc>
        <w:tc>
          <w:tcPr>
            <w:tcW w:w="32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(1.29)</w:t>
            </w:r>
          </w:p>
        </w:tc>
        <w:tc>
          <w:tcPr>
            <w:tcW w:w="100" w:type="dxa"/>
            <w:vAlign w:val="bottom"/>
          </w:tcPr>
          <w:p>
            <w:pPr>
              <w:spacing w:after="0"/>
              <w:rPr>
                <w:sz w:val="16"/>
                <w:szCs w:val="16"/>
                <w:color w:val="auto"/>
              </w:rPr>
            </w:pPr>
          </w:p>
        </w:tc>
        <w:tc>
          <w:tcPr>
            <w:tcW w:w="400" w:type="dxa"/>
            <w:vAlign w:val="bottom"/>
            <w:tcBorders>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1.78</w:t>
            </w:r>
          </w:p>
        </w:tc>
      </w:tr>
      <w:tr>
        <w:trPr>
          <w:trHeight w:val="20"/>
        </w:trPr>
        <w:tc>
          <w:tcPr>
            <w:tcW w:w="69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235"/>
        </w:trPr>
        <w:tc>
          <w:tcPr>
            <w:tcW w:w="70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income (loss) per common share - diluted</w:t>
            </w:r>
          </w:p>
        </w:tc>
        <w:tc>
          <w:tcPr>
            <w:tcW w:w="320" w:type="dxa"/>
            <w:vAlign w:val="bottom"/>
            <w:tcBorders>
              <w:bottom w:val="single" w:sz="8" w:color="auto"/>
            </w:tcBorders>
            <w:shd w:val="clear" w:color="auto" w:fill="CCEEFF"/>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(1.29)</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1.77</w:t>
            </w:r>
          </w:p>
        </w:tc>
      </w:tr>
      <w:tr>
        <w:trPr>
          <w:trHeight w:val="20"/>
        </w:trPr>
        <w:tc>
          <w:tcPr>
            <w:tcW w:w="69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r>
      <w:tr>
        <w:trPr>
          <w:trHeight w:val="190"/>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Comprehensive income (loss) per common share - basic</w:t>
            </w:r>
          </w:p>
        </w:tc>
        <w:tc>
          <w:tcPr>
            <w:tcW w:w="32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(2.23)</w:t>
            </w:r>
          </w:p>
        </w:tc>
        <w:tc>
          <w:tcPr>
            <w:tcW w:w="100" w:type="dxa"/>
            <w:vAlign w:val="bottom"/>
          </w:tcPr>
          <w:p>
            <w:pPr>
              <w:spacing w:after="0"/>
              <w:rPr>
                <w:sz w:val="16"/>
                <w:szCs w:val="16"/>
                <w:color w:val="auto"/>
              </w:rPr>
            </w:pPr>
          </w:p>
        </w:tc>
        <w:tc>
          <w:tcPr>
            <w:tcW w:w="400" w:type="dxa"/>
            <w:vAlign w:val="bottom"/>
            <w:tcBorders>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1.34</w:t>
            </w:r>
          </w:p>
        </w:tc>
      </w:tr>
      <w:tr>
        <w:trPr>
          <w:trHeight w:val="20"/>
        </w:trPr>
        <w:tc>
          <w:tcPr>
            <w:tcW w:w="6920" w:type="dxa"/>
            <w:vAlign w:val="bottom"/>
            <w:tcBorders>
              <w:bottom w:val="single" w:sz="8" w:color="CCEEFF"/>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r>
        <w:trPr>
          <w:trHeight w:val="235"/>
        </w:trPr>
        <w:tc>
          <w:tcPr>
            <w:tcW w:w="70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Comprehensive income (loss) per common share - diluted</w:t>
            </w:r>
          </w:p>
        </w:tc>
        <w:tc>
          <w:tcPr>
            <w:tcW w:w="320" w:type="dxa"/>
            <w:vAlign w:val="bottom"/>
            <w:tcBorders>
              <w:bottom w:val="single" w:sz="8" w:color="auto"/>
            </w:tcBorders>
            <w:shd w:val="clear" w:color="auto" w:fill="CCEEFF"/>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(2.23)</w:t>
            </w:r>
          </w:p>
        </w:tc>
        <w:tc>
          <w:tcPr>
            <w:tcW w:w="100" w:type="dxa"/>
            <w:vAlign w:val="bottom"/>
            <w:tcBorders>
              <w:bottom w:val="single" w:sz="8" w:color="CCEEFF"/>
            </w:tcBorders>
            <w:shd w:val="clear" w:color="auto" w:fill="CCEEFF"/>
          </w:tcPr>
          <w:p>
            <w:pPr>
              <w:spacing w:after="0"/>
              <w:rPr>
                <w:sz w:val="20"/>
                <w:szCs w:val="20"/>
                <w:color w:val="auto"/>
              </w:rPr>
            </w:pPr>
          </w:p>
        </w:tc>
        <w:tc>
          <w:tcPr>
            <w:tcW w:w="400" w:type="dxa"/>
            <w:vAlign w:val="bottom"/>
            <w:tcBorders>
              <w:bottom w:val="single" w:sz="8" w:color="auto"/>
            </w:tcBorders>
            <w:shd w:val="clear" w:color="auto" w:fill="CCEEFF"/>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1.33</w:t>
            </w:r>
          </w:p>
        </w:tc>
      </w:tr>
      <w:tr>
        <w:trPr>
          <w:trHeight w:val="20"/>
        </w:trPr>
        <w:tc>
          <w:tcPr>
            <w:tcW w:w="692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r>
      <w:tr>
        <w:trPr>
          <w:trHeight w:val="190"/>
        </w:trPr>
        <w:tc>
          <w:tcPr>
            <w:tcW w:w="70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Dividends declared per common share</w:t>
            </w:r>
          </w:p>
        </w:tc>
        <w:tc>
          <w:tcPr>
            <w:tcW w:w="320" w:type="dxa"/>
            <w:vAlign w:val="bottom"/>
            <w:tcBorders>
              <w:bottom w:val="single" w:sz="8" w:color="auto"/>
            </w:tcBorders>
          </w:tcPr>
          <w:p>
            <w:pPr>
              <w:jc w:val="right"/>
              <w:ind w:right="1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0.36</w:t>
            </w:r>
          </w:p>
        </w:tc>
        <w:tc>
          <w:tcPr>
            <w:tcW w:w="100" w:type="dxa"/>
            <w:vAlign w:val="bottom"/>
          </w:tcPr>
          <w:p>
            <w:pPr>
              <w:spacing w:after="0"/>
              <w:rPr>
                <w:sz w:val="16"/>
                <w:szCs w:val="16"/>
                <w:color w:val="auto"/>
              </w:rPr>
            </w:pPr>
          </w:p>
        </w:tc>
        <w:tc>
          <w:tcPr>
            <w:tcW w:w="400" w:type="dxa"/>
            <w:vAlign w:val="bottom"/>
            <w:tcBorders>
              <w:bottom w:val="single" w:sz="8" w:color="auto"/>
            </w:tcBorders>
          </w:tcPr>
          <w:p>
            <w:pPr>
              <w:jc w:val="right"/>
              <w:ind w:right="219"/>
              <w:spacing w:after="0"/>
              <w:rPr>
                <w:sz w:val="20"/>
                <w:szCs w:val="20"/>
                <w:color w:val="auto"/>
              </w:rPr>
            </w:pPr>
            <w:r>
              <w:rPr>
                <w:rFonts w:ascii="Times New Roman" w:cs="Times New Roman" w:eastAsia="Times New Roman" w:hAnsi="Times New Roman"/>
                <w:sz w:val="16"/>
                <w:szCs w:val="16"/>
                <w:color w:val="auto"/>
                <w:w w:val="99"/>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6"/>
                <w:szCs w:val="16"/>
                <w:color w:val="auto"/>
              </w:rPr>
              <w:t>0.36</w:t>
            </w:r>
          </w:p>
        </w:tc>
      </w:tr>
      <w:tr>
        <w:trPr>
          <w:trHeight w:val="20"/>
        </w:trPr>
        <w:tc>
          <w:tcPr>
            <w:tcW w:w="69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r>
    </w:tbl>
    <w:p>
      <w:pPr>
        <w:spacing w:after="0" w:line="111" w:lineRule="exact"/>
        <w:rPr>
          <w:sz w:val="20"/>
          <w:szCs w:val="20"/>
          <w:color w:val="auto"/>
        </w:rPr>
      </w:pPr>
    </w:p>
    <w:tbl>
      <w:tblPr>
        <w:tblLayout w:type="fixed"/>
        <w:tblInd w:w="700" w:type="dxa"/>
        <w:tblCellMar>
          <w:top w:w="0" w:type="dxa"/>
          <w:left w:w="0" w:type="dxa"/>
          <w:bottom w:w="0" w:type="dxa"/>
          <w:right w:w="0" w:type="dxa"/>
        </w:tblCellMar>
      </w:tblPr>
      <w:tr>
        <w:trPr>
          <w:trHeight w:val="161"/>
        </w:trPr>
        <w:tc>
          <w:tcPr>
            <w:tcW w:w="67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680" w:type="dxa"/>
            <w:vAlign w:val="bottom"/>
            <w:gridSpan w:val="4"/>
          </w:tcPr>
          <w:p>
            <w:pPr>
              <w:jc w:val="right"/>
              <w:ind w:right="780"/>
              <w:spacing w:after="0"/>
              <w:rPr>
                <w:sz w:val="20"/>
                <w:szCs w:val="20"/>
                <w:color w:val="auto"/>
              </w:rPr>
            </w:pPr>
            <w:r>
              <w:rPr>
                <w:rFonts w:ascii="Times New Roman" w:cs="Times New Roman" w:eastAsia="Times New Roman" w:hAnsi="Times New Roman"/>
                <w:sz w:val="14"/>
                <w:szCs w:val="14"/>
                <w:b w:val="1"/>
                <w:bCs w:val="1"/>
                <w:color w:val="auto"/>
              </w:rPr>
              <w:t>Three Months Ended</w:t>
            </w:r>
          </w:p>
        </w:tc>
      </w:tr>
      <w:tr>
        <w:trPr>
          <w:trHeight w:val="194"/>
        </w:trPr>
        <w:tc>
          <w:tcPr>
            <w:tcW w:w="67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40" w:type="dxa"/>
            <w:vAlign w:val="bottom"/>
            <w:tcBorders>
              <w:bottom w:val="single" w:sz="8" w:color="auto"/>
            </w:tcBorders>
          </w:tcPr>
          <w:p>
            <w:pPr>
              <w:spacing w:after="0"/>
              <w:rPr>
                <w:sz w:val="16"/>
                <w:szCs w:val="16"/>
                <w:color w:val="auto"/>
              </w:rPr>
            </w:pPr>
          </w:p>
        </w:tc>
        <w:tc>
          <w:tcPr>
            <w:tcW w:w="1640" w:type="dxa"/>
            <w:vAlign w:val="bottom"/>
            <w:tcBorders>
              <w:bottom w:val="single" w:sz="8" w:color="auto"/>
            </w:tcBorders>
            <w:gridSpan w:val="3"/>
          </w:tcPr>
          <w:p>
            <w:pPr>
              <w:jc w:val="right"/>
              <w:ind w:right="79"/>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1040" w:type="dxa"/>
            <w:vAlign w:val="bottom"/>
            <w:tcBorders>
              <w:bottom w:val="single" w:sz="8" w:color="auto"/>
            </w:tcBorders>
          </w:tcPr>
          <w:p>
            <w:pPr>
              <w:spacing w:after="0"/>
              <w:rPr>
                <w:sz w:val="16"/>
                <w:szCs w:val="16"/>
                <w:color w:val="auto"/>
              </w:rPr>
            </w:pPr>
          </w:p>
        </w:tc>
      </w:tr>
      <w:tr>
        <w:trPr>
          <w:trHeight w:val="196"/>
        </w:trPr>
        <w:tc>
          <w:tcPr>
            <w:tcW w:w="670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4"/>
                <w:szCs w:val="14"/>
                <w:b w:val="1"/>
                <w:bCs w:val="1"/>
                <w:color w:val="auto"/>
              </w:rPr>
              <w:t>Other Data (Unaudited) *</w:t>
            </w:r>
          </w:p>
        </w:tc>
        <w:tc>
          <w:tcPr>
            <w:tcW w:w="12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right"/>
              <w:ind w:right="522"/>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bottom w:val="single" w:sz="8" w:color="CCEEFF"/>
            </w:tcBorders>
          </w:tcPr>
          <w:p>
            <w:pPr>
              <w:spacing w:after="0"/>
              <w:rPr>
                <w:sz w:val="17"/>
                <w:szCs w:val="17"/>
                <w:color w:val="auto"/>
              </w:rPr>
            </w:pPr>
          </w:p>
        </w:tc>
        <w:tc>
          <w:tcPr>
            <w:tcW w:w="420" w:type="dxa"/>
            <w:vAlign w:val="bottom"/>
            <w:tcBorders>
              <w:bottom w:val="single" w:sz="8" w:color="auto"/>
            </w:tcBorders>
          </w:tcPr>
          <w:p>
            <w:pPr>
              <w:spacing w:after="0"/>
              <w:rPr>
                <w:sz w:val="17"/>
                <w:szCs w:val="17"/>
                <w:color w:val="auto"/>
              </w:rPr>
            </w:pPr>
          </w:p>
        </w:tc>
        <w:tc>
          <w:tcPr>
            <w:tcW w:w="1040" w:type="dxa"/>
            <w:vAlign w:val="bottom"/>
            <w:tcBorders>
              <w:bottom w:val="single" w:sz="8" w:color="auto"/>
            </w:tcBorders>
          </w:tcPr>
          <w:p>
            <w:pPr>
              <w:jc w:val="right"/>
              <w:ind w:right="500"/>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16"/>
        </w:trPr>
        <w:tc>
          <w:tcPr>
            <w:tcW w:w="68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Average investment securities - at par</w:t>
            </w:r>
          </w:p>
        </w:tc>
        <w:tc>
          <w:tcPr>
            <w:tcW w:w="340" w:type="dxa"/>
            <w:vAlign w:val="bottom"/>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shd w:val="clear" w:color="auto" w:fill="CCEEFF"/>
          </w:tcPr>
          <w:p>
            <w:pPr>
              <w:jc w:val="right"/>
              <w:ind w:right="142"/>
              <w:spacing w:after="0"/>
              <w:rPr>
                <w:sz w:val="20"/>
                <w:szCs w:val="20"/>
                <w:color w:val="auto"/>
              </w:rPr>
            </w:pPr>
            <w:r>
              <w:rPr>
                <w:rFonts w:ascii="Times New Roman" w:cs="Times New Roman" w:eastAsia="Times New Roman" w:hAnsi="Times New Roman"/>
                <w:sz w:val="16"/>
                <w:szCs w:val="16"/>
                <w:color w:val="auto"/>
              </w:rPr>
              <w:t>51,749</w:t>
            </w:r>
          </w:p>
        </w:tc>
        <w:tc>
          <w:tcPr>
            <w:tcW w:w="10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2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56,641</w:t>
            </w:r>
          </w:p>
        </w:tc>
      </w:tr>
      <w:tr>
        <w:trPr>
          <w:trHeight w:val="213"/>
        </w:trPr>
        <w:tc>
          <w:tcPr>
            <w:tcW w:w="68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Average investment securities - at cost</w:t>
            </w:r>
          </w:p>
        </w:tc>
        <w:tc>
          <w:tcPr>
            <w:tcW w:w="3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ind w:right="142"/>
              <w:spacing w:after="0"/>
              <w:rPr>
                <w:sz w:val="20"/>
                <w:szCs w:val="20"/>
                <w:color w:val="auto"/>
              </w:rPr>
            </w:pPr>
            <w:r>
              <w:rPr>
                <w:rFonts w:ascii="Times New Roman" w:cs="Times New Roman" w:eastAsia="Times New Roman" w:hAnsi="Times New Roman"/>
                <w:sz w:val="16"/>
                <w:szCs w:val="16"/>
                <w:color w:val="auto"/>
              </w:rPr>
              <w:t>53,535</w:t>
            </w:r>
          </w:p>
        </w:tc>
        <w:tc>
          <w:tcPr>
            <w:tcW w:w="100" w:type="dxa"/>
            <w:vAlign w:val="bottom"/>
          </w:tcPr>
          <w:p>
            <w:pPr>
              <w:spacing w:after="0"/>
              <w:rPr>
                <w:sz w:val="18"/>
                <w:szCs w:val="18"/>
                <w:color w:val="auto"/>
              </w:rPr>
            </w:pPr>
          </w:p>
        </w:tc>
        <w:tc>
          <w:tcPr>
            <w:tcW w:w="420" w:type="dxa"/>
            <w:vAlign w:val="bottom"/>
          </w:tcPr>
          <w:p>
            <w:pPr>
              <w:jc w:val="right"/>
              <w:ind w:right="2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58,948</w:t>
            </w:r>
          </w:p>
        </w:tc>
      </w:tr>
      <w:tr>
        <w:trPr>
          <w:trHeight w:val="219"/>
        </w:trPr>
        <w:tc>
          <w:tcPr>
            <w:tcW w:w="68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Average net TBA dollar roll position - at cost</w:t>
            </w:r>
          </w:p>
        </w:tc>
        <w:tc>
          <w:tcPr>
            <w:tcW w:w="340" w:type="dxa"/>
            <w:vAlign w:val="bottom"/>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shd w:val="clear" w:color="auto" w:fill="CCEEFF"/>
          </w:tcPr>
          <w:p>
            <w:pPr>
              <w:jc w:val="right"/>
              <w:ind w:right="142"/>
              <w:spacing w:after="0"/>
              <w:rPr>
                <w:sz w:val="20"/>
                <w:szCs w:val="20"/>
                <w:color w:val="auto"/>
              </w:rPr>
            </w:pPr>
            <w:r>
              <w:rPr>
                <w:rFonts w:ascii="Times New Roman" w:cs="Times New Roman" w:eastAsia="Times New Roman" w:hAnsi="Times New Roman"/>
                <w:sz w:val="16"/>
                <w:szCs w:val="16"/>
                <w:color w:val="auto"/>
              </w:rPr>
              <w:t>23,605</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32,022</w:t>
            </w:r>
          </w:p>
        </w:tc>
      </w:tr>
      <w:tr>
        <w:trPr>
          <w:trHeight w:val="213"/>
        </w:trPr>
        <w:tc>
          <w:tcPr>
            <w:tcW w:w="68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Average total assets - at fair value</w:t>
            </w:r>
          </w:p>
        </w:tc>
        <w:tc>
          <w:tcPr>
            <w:tcW w:w="3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ind w:right="142"/>
              <w:spacing w:after="0"/>
              <w:rPr>
                <w:sz w:val="20"/>
                <w:szCs w:val="20"/>
                <w:color w:val="auto"/>
              </w:rPr>
            </w:pPr>
            <w:r>
              <w:rPr>
                <w:rFonts w:ascii="Times New Roman" w:cs="Times New Roman" w:eastAsia="Times New Roman" w:hAnsi="Times New Roman"/>
                <w:sz w:val="16"/>
                <w:szCs w:val="16"/>
                <w:color w:val="auto"/>
              </w:rPr>
              <w:t>67,213</w:t>
            </w:r>
          </w:p>
        </w:tc>
        <w:tc>
          <w:tcPr>
            <w:tcW w:w="100" w:type="dxa"/>
            <w:vAlign w:val="bottom"/>
          </w:tcPr>
          <w:p>
            <w:pPr>
              <w:spacing w:after="0"/>
              <w:rPr>
                <w:sz w:val="18"/>
                <w:szCs w:val="18"/>
                <w:color w:val="auto"/>
              </w:rPr>
            </w:pPr>
          </w:p>
        </w:tc>
        <w:tc>
          <w:tcPr>
            <w:tcW w:w="420" w:type="dxa"/>
            <w:vAlign w:val="bottom"/>
          </w:tcPr>
          <w:p>
            <w:pPr>
              <w:jc w:val="right"/>
              <w:ind w:right="2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79,415</w:t>
            </w:r>
          </w:p>
        </w:tc>
      </w:tr>
      <w:tr>
        <w:trPr>
          <w:trHeight w:val="219"/>
        </w:trPr>
        <w:tc>
          <w:tcPr>
            <w:tcW w:w="68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 xml:space="preserve">Average repurchase agreements and other debt outstanding </w:t>
            </w:r>
            <w:r>
              <w:rPr>
                <w:rFonts w:ascii="Times New Roman" w:cs="Times New Roman" w:eastAsia="Times New Roman" w:hAnsi="Times New Roman"/>
                <w:sz w:val="18"/>
                <w:szCs w:val="18"/>
                <w:color w:val="auto"/>
                <w:vertAlign w:val="superscript"/>
              </w:rPr>
              <w:t>3</w:t>
            </w:r>
          </w:p>
        </w:tc>
        <w:tc>
          <w:tcPr>
            <w:tcW w:w="340" w:type="dxa"/>
            <w:vAlign w:val="bottom"/>
            <w:shd w:val="clear" w:color="auto" w:fill="CCEEFF"/>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shd w:val="clear" w:color="auto" w:fill="CCEEFF"/>
          </w:tcPr>
          <w:p>
            <w:pPr>
              <w:jc w:val="right"/>
              <w:ind w:right="142"/>
              <w:spacing w:after="0"/>
              <w:rPr>
                <w:sz w:val="20"/>
                <w:szCs w:val="20"/>
                <w:color w:val="auto"/>
              </w:rPr>
            </w:pPr>
            <w:r>
              <w:rPr>
                <w:rFonts w:ascii="Times New Roman" w:cs="Times New Roman" w:eastAsia="Times New Roman" w:hAnsi="Times New Roman"/>
                <w:sz w:val="16"/>
                <w:szCs w:val="16"/>
                <w:color w:val="auto"/>
              </w:rPr>
              <w:t>46,570</w:t>
            </w:r>
          </w:p>
        </w:tc>
        <w:tc>
          <w:tcPr>
            <w:tcW w:w="100" w:type="dxa"/>
            <w:vAlign w:val="bottom"/>
            <w:shd w:val="clear" w:color="auto" w:fill="CCEEFF"/>
          </w:tcPr>
          <w:p>
            <w:pPr>
              <w:spacing w:after="0"/>
              <w:rPr>
                <w:sz w:val="19"/>
                <w:szCs w:val="19"/>
                <w:color w:val="auto"/>
              </w:rPr>
            </w:pPr>
          </w:p>
        </w:tc>
        <w:tc>
          <w:tcPr>
            <w:tcW w:w="420" w:type="dxa"/>
            <w:vAlign w:val="bottom"/>
            <w:shd w:val="clear" w:color="auto" w:fill="CCEEFF"/>
          </w:tcPr>
          <w:p>
            <w:pPr>
              <w:jc w:val="right"/>
              <w:ind w:right="2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shd w:val="clear" w:color="auto" w:fill="CCEEFF"/>
          </w:tcPr>
          <w:p>
            <w:pPr>
              <w:jc w:val="right"/>
              <w:ind w:right="120"/>
              <w:spacing w:after="0"/>
              <w:rPr>
                <w:sz w:val="20"/>
                <w:szCs w:val="20"/>
                <w:color w:val="auto"/>
              </w:rPr>
            </w:pPr>
            <w:r>
              <w:rPr>
                <w:rFonts w:ascii="Times New Roman" w:cs="Times New Roman" w:eastAsia="Times New Roman" w:hAnsi="Times New Roman"/>
                <w:sz w:val="16"/>
                <w:szCs w:val="16"/>
                <w:color w:val="auto"/>
              </w:rPr>
              <w:t>54,602</w:t>
            </w:r>
          </w:p>
        </w:tc>
      </w:tr>
      <w:tr>
        <w:trPr>
          <w:trHeight w:val="216"/>
        </w:trPr>
        <w:tc>
          <w:tcPr>
            <w:tcW w:w="68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 xml:space="preserve">Average stockholders' equity </w:t>
            </w:r>
            <w:r>
              <w:rPr>
                <w:rFonts w:ascii="Times New Roman" w:cs="Times New Roman" w:eastAsia="Times New Roman" w:hAnsi="Times New Roman"/>
                <w:sz w:val="18"/>
                <w:szCs w:val="18"/>
                <w:color w:val="auto"/>
                <w:vertAlign w:val="superscript"/>
              </w:rPr>
              <w:t>4</w:t>
            </w:r>
          </w:p>
        </w:tc>
        <w:tc>
          <w:tcPr>
            <w:tcW w:w="340" w:type="dxa"/>
            <w:vAlign w:val="bottom"/>
          </w:tcPr>
          <w:p>
            <w:pPr>
              <w:jc w:val="right"/>
              <w:ind w:right="159"/>
              <w:spacing w:after="0"/>
              <w:rPr>
                <w:sz w:val="20"/>
                <w:szCs w:val="20"/>
                <w:color w:val="auto"/>
              </w:rPr>
            </w:pPr>
            <w:r>
              <w:rPr>
                <w:rFonts w:ascii="Times New Roman" w:cs="Times New Roman" w:eastAsia="Times New Roman" w:hAnsi="Times New Roman"/>
                <w:sz w:val="16"/>
                <w:szCs w:val="16"/>
                <w:color w:val="auto"/>
                <w:w w:val="99"/>
              </w:rPr>
              <w:t>$</w:t>
            </w:r>
          </w:p>
        </w:tc>
        <w:tc>
          <w:tcPr>
            <w:tcW w:w="1120" w:type="dxa"/>
            <w:vAlign w:val="bottom"/>
          </w:tcPr>
          <w:p>
            <w:pPr>
              <w:jc w:val="right"/>
              <w:ind w:right="142"/>
              <w:spacing w:after="0"/>
              <w:rPr>
                <w:sz w:val="20"/>
                <w:szCs w:val="20"/>
                <w:color w:val="auto"/>
              </w:rPr>
            </w:pPr>
            <w:r>
              <w:rPr>
                <w:rFonts w:ascii="Times New Roman" w:cs="Times New Roman" w:eastAsia="Times New Roman" w:hAnsi="Times New Roman"/>
                <w:sz w:val="16"/>
                <w:szCs w:val="16"/>
                <w:color w:val="auto"/>
              </w:rPr>
              <w:t>9,545</w:t>
            </w:r>
          </w:p>
        </w:tc>
        <w:tc>
          <w:tcPr>
            <w:tcW w:w="100" w:type="dxa"/>
            <w:vAlign w:val="bottom"/>
          </w:tcPr>
          <w:p>
            <w:pPr>
              <w:spacing w:after="0"/>
              <w:rPr>
                <w:sz w:val="18"/>
                <w:szCs w:val="18"/>
                <w:color w:val="auto"/>
              </w:rPr>
            </w:pPr>
          </w:p>
        </w:tc>
        <w:tc>
          <w:tcPr>
            <w:tcW w:w="420" w:type="dxa"/>
            <w:vAlign w:val="bottom"/>
          </w:tcPr>
          <w:p>
            <w:pPr>
              <w:jc w:val="right"/>
              <w:ind w:right="239"/>
              <w:spacing w:after="0"/>
              <w:rPr>
                <w:sz w:val="20"/>
                <w:szCs w:val="20"/>
                <w:color w:val="auto"/>
              </w:rPr>
            </w:pPr>
            <w:r>
              <w:rPr>
                <w:rFonts w:ascii="Times New Roman" w:cs="Times New Roman" w:eastAsia="Times New Roman" w:hAnsi="Times New Roman"/>
                <w:sz w:val="16"/>
                <w:szCs w:val="16"/>
                <w:color w:val="auto"/>
                <w:w w:val="99"/>
              </w:rPr>
              <w:t>$</w:t>
            </w:r>
          </w:p>
        </w:tc>
        <w:tc>
          <w:tcPr>
            <w:tcW w:w="1040" w:type="dxa"/>
            <w:vAlign w:val="bottom"/>
          </w:tcPr>
          <w:p>
            <w:pPr>
              <w:jc w:val="right"/>
              <w:ind w:right="120"/>
              <w:spacing w:after="0"/>
              <w:rPr>
                <w:sz w:val="20"/>
                <w:szCs w:val="20"/>
                <w:color w:val="auto"/>
              </w:rPr>
            </w:pPr>
            <w:r>
              <w:rPr>
                <w:rFonts w:ascii="Times New Roman" w:cs="Times New Roman" w:eastAsia="Times New Roman" w:hAnsi="Times New Roman"/>
                <w:sz w:val="16"/>
                <w:szCs w:val="16"/>
                <w:color w:val="auto"/>
              </w:rPr>
              <w:t>11,312</w:t>
            </w:r>
          </w:p>
        </w:tc>
      </w:tr>
    </w:tbl>
    <w:p>
      <w:pPr>
        <w:spacing w:after="0" w:line="9" w:lineRule="exact"/>
        <w:rPr>
          <w:sz w:val="20"/>
          <w:szCs w:val="20"/>
          <w:color w:val="auto"/>
        </w:rPr>
      </w:pPr>
    </w:p>
    <w:tbl>
      <w:tblPr>
        <w:tblLayout w:type="fixed"/>
        <w:tblInd w:w="700" w:type="dxa"/>
        <w:tblCellMar>
          <w:top w:w="0" w:type="dxa"/>
          <w:left w:w="0" w:type="dxa"/>
          <w:bottom w:w="0" w:type="dxa"/>
          <w:right w:w="0" w:type="dxa"/>
        </w:tblCellMar>
      </w:tblPr>
      <w:tr>
        <w:trPr>
          <w:trHeight w:val="207"/>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 xml:space="preserve">Average tangible net book value "at risk" leverage </w:t>
            </w:r>
            <w:r>
              <w:rPr>
                <w:rFonts w:ascii="Times New Roman" w:cs="Times New Roman" w:eastAsia="Times New Roman" w:hAnsi="Times New Roman"/>
                <w:sz w:val="18"/>
                <w:szCs w:val="18"/>
                <w:color w:val="auto"/>
                <w:vertAlign w:val="superscript"/>
              </w:rPr>
              <w:t>5</w:t>
            </w:r>
          </w:p>
        </w:tc>
        <w:tc>
          <w:tcPr>
            <w:tcW w:w="2640" w:type="dxa"/>
            <w:vAlign w:val="bottom"/>
            <w:shd w:val="clear" w:color="auto" w:fill="CCEEFF"/>
          </w:tcPr>
          <w:p>
            <w:pPr>
              <w:jc w:val="right"/>
              <w:ind w:right="459"/>
              <w:spacing w:after="0"/>
              <w:rPr>
                <w:sz w:val="20"/>
                <w:szCs w:val="20"/>
                <w:color w:val="auto"/>
              </w:rPr>
            </w:pPr>
            <w:r>
              <w:rPr>
                <w:rFonts w:ascii="Times New Roman" w:cs="Times New Roman" w:eastAsia="Times New Roman" w:hAnsi="Times New Roman"/>
                <w:sz w:val="16"/>
                <w:szCs w:val="16"/>
                <w:color w:val="auto"/>
              </w:rPr>
              <w:t>7.8:1</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8.0:1</w:t>
            </w:r>
          </w:p>
        </w:tc>
      </w:tr>
      <w:tr>
        <w:trPr>
          <w:trHeight w:val="216"/>
        </w:trPr>
        <w:tc>
          <w:tcPr>
            <w:tcW w:w="61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 xml:space="preserve">Tangible net book value "at risk" leverage </w:t>
            </w:r>
            <w:r>
              <w:rPr>
                <w:rFonts w:ascii="Times New Roman" w:cs="Times New Roman" w:eastAsia="Times New Roman" w:hAnsi="Times New Roman"/>
                <w:sz w:val="14"/>
                <w:szCs w:val="14"/>
                <w:i w:val="1"/>
                <w:iCs w:val="1"/>
                <w:color w:val="auto"/>
              </w:rPr>
              <w:t>(as of period end)</w:t>
            </w: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8"/>
                <w:szCs w:val="18"/>
                <w:color w:val="auto"/>
                <w:vertAlign w:val="superscript"/>
              </w:rPr>
              <w:t>6</w:t>
            </w:r>
          </w:p>
        </w:tc>
        <w:tc>
          <w:tcPr>
            <w:tcW w:w="2640" w:type="dxa"/>
            <w:vAlign w:val="bottom"/>
          </w:tcPr>
          <w:p>
            <w:pPr>
              <w:jc w:val="right"/>
              <w:ind w:right="459"/>
              <w:spacing w:after="0"/>
              <w:rPr>
                <w:sz w:val="20"/>
                <w:szCs w:val="20"/>
                <w:color w:val="auto"/>
              </w:rPr>
            </w:pPr>
            <w:r>
              <w:rPr>
                <w:rFonts w:ascii="Times New Roman" w:cs="Times New Roman" w:eastAsia="Times New Roman" w:hAnsi="Times New Roman"/>
                <w:sz w:val="16"/>
                <w:szCs w:val="16"/>
                <w:color w:val="auto"/>
              </w:rPr>
              <w:t>7.5:1</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7.7:1</w:t>
            </w:r>
          </w:p>
        </w:tc>
      </w:tr>
      <w:tr>
        <w:trPr>
          <w:trHeight w:val="216"/>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 xml:space="preserve">Economic return on tangible common equity - unannualized </w:t>
            </w:r>
            <w:r>
              <w:rPr>
                <w:rFonts w:ascii="Times New Roman" w:cs="Times New Roman" w:eastAsia="Times New Roman" w:hAnsi="Times New Roman"/>
                <w:sz w:val="18"/>
                <w:szCs w:val="18"/>
                <w:color w:val="auto"/>
                <w:vertAlign w:val="superscript"/>
              </w:rPr>
              <w:t>7</w:t>
            </w:r>
          </w:p>
        </w:tc>
        <w:tc>
          <w:tcPr>
            <w:tcW w:w="2640" w:type="dxa"/>
            <w:vAlign w:val="bottom"/>
            <w:shd w:val="clear" w:color="auto" w:fill="CCEEFF"/>
          </w:tcPr>
          <w:p>
            <w:pPr>
              <w:jc w:val="right"/>
              <w:ind w:right="459"/>
              <w:spacing w:after="0"/>
              <w:rPr>
                <w:sz w:val="20"/>
                <w:szCs w:val="20"/>
                <w:color w:val="auto"/>
              </w:rPr>
            </w:pPr>
            <w:r>
              <w:rPr>
                <w:rFonts w:ascii="Times New Roman" w:cs="Times New Roman" w:eastAsia="Times New Roman" w:hAnsi="Times New Roman"/>
                <w:sz w:val="16"/>
                <w:szCs w:val="16"/>
                <w:color w:val="auto"/>
              </w:rPr>
              <w:t>(14.4)%</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8.2 %</w:t>
            </w:r>
          </w:p>
        </w:tc>
      </w:tr>
      <w:tr>
        <w:trPr>
          <w:trHeight w:val="213"/>
        </w:trPr>
        <w:tc>
          <w:tcPr>
            <w:tcW w:w="61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Expenses % of average total assets - annualized</w:t>
            </w:r>
          </w:p>
        </w:tc>
        <w:tc>
          <w:tcPr>
            <w:tcW w:w="2640" w:type="dxa"/>
            <w:vAlign w:val="bottom"/>
          </w:tcPr>
          <w:p>
            <w:pPr>
              <w:jc w:val="right"/>
              <w:ind w:right="459"/>
              <w:spacing w:after="0"/>
              <w:rPr>
                <w:sz w:val="20"/>
                <w:szCs w:val="20"/>
                <w:color w:val="auto"/>
              </w:rPr>
            </w:pPr>
            <w:r>
              <w:rPr>
                <w:rFonts w:ascii="Times New Roman" w:cs="Times New Roman" w:eastAsia="Times New Roman" w:hAnsi="Times New Roman"/>
                <w:sz w:val="16"/>
                <w:szCs w:val="16"/>
                <w:color w:val="auto"/>
              </w:rPr>
              <w:t>0.12 %</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0.12 %</w:t>
            </w:r>
          </w:p>
        </w:tc>
      </w:tr>
      <w:tr>
        <w:trPr>
          <w:trHeight w:val="219"/>
        </w:trPr>
        <w:tc>
          <w:tcPr>
            <w:tcW w:w="61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Expenses % of average assets, including average net TBA position - annualized</w:t>
            </w:r>
          </w:p>
        </w:tc>
        <w:tc>
          <w:tcPr>
            <w:tcW w:w="2640" w:type="dxa"/>
            <w:vAlign w:val="bottom"/>
            <w:shd w:val="clear" w:color="auto" w:fill="CCEEFF"/>
          </w:tcPr>
          <w:p>
            <w:pPr>
              <w:jc w:val="right"/>
              <w:ind w:right="459"/>
              <w:spacing w:after="0"/>
              <w:rPr>
                <w:sz w:val="20"/>
                <w:szCs w:val="20"/>
                <w:color w:val="auto"/>
              </w:rPr>
            </w:pPr>
            <w:r>
              <w:rPr>
                <w:rFonts w:ascii="Times New Roman" w:cs="Times New Roman" w:eastAsia="Times New Roman" w:hAnsi="Times New Roman"/>
                <w:sz w:val="16"/>
                <w:szCs w:val="16"/>
                <w:color w:val="auto"/>
              </w:rPr>
              <w:t>0.09 %</w:t>
            </w:r>
          </w:p>
        </w:tc>
        <w:tc>
          <w:tcPr>
            <w:tcW w:w="10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6"/>
                <w:szCs w:val="16"/>
                <w:color w:val="auto"/>
              </w:rPr>
              <w:t>0.09 %</w:t>
            </w:r>
          </w:p>
        </w:tc>
      </w:tr>
      <w:tr>
        <w:trPr>
          <w:trHeight w:val="210"/>
        </w:trPr>
        <w:tc>
          <w:tcPr>
            <w:tcW w:w="61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Expenses % of average stockholders' equity - annualized</w:t>
            </w:r>
          </w:p>
        </w:tc>
        <w:tc>
          <w:tcPr>
            <w:tcW w:w="2640" w:type="dxa"/>
            <w:vAlign w:val="bottom"/>
          </w:tcPr>
          <w:p>
            <w:pPr>
              <w:jc w:val="right"/>
              <w:ind w:right="459"/>
              <w:spacing w:after="0"/>
              <w:rPr>
                <w:sz w:val="20"/>
                <w:szCs w:val="20"/>
                <w:color w:val="auto"/>
              </w:rPr>
            </w:pPr>
            <w:r>
              <w:rPr>
                <w:rFonts w:ascii="Times New Roman" w:cs="Times New Roman" w:eastAsia="Times New Roman" w:hAnsi="Times New Roman"/>
                <w:sz w:val="16"/>
                <w:szCs w:val="16"/>
                <w:color w:val="auto"/>
              </w:rPr>
              <w:t>0.88 %</w:t>
            </w:r>
          </w:p>
        </w:tc>
        <w:tc>
          <w:tcPr>
            <w:tcW w:w="104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0.85 %</w:t>
            </w:r>
          </w:p>
        </w:tc>
      </w:tr>
    </w:tbl>
    <w:p>
      <w:pPr>
        <w:spacing w:after="0" w:line="100"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4"/>
          <w:szCs w:val="14"/>
          <w:color w:val="auto"/>
        </w:rPr>
        <w:t>* Except as noted below, average numbers for each period are weighted based on days on our books and records.</w:t>
      </w:r>
    </w:p>
    <w:p>
      <w:pPr>
        <w:spacing w:after="0" w:line="3" w:lineRule="exact"/>
        <w:rPr>
          <w:sz w:val="20"/>
          <w:szCs w:val="20"/>
          <w:color w:val="auto"/>
        </w:rPr>
      </w:pPr>
    </w:p>
    <w:p>
      <w:pPr>
        <w:ind w:left="660" w:hanging="328"/>
        <w:spacing w:after="0" w:line="259" w:lineRule="auto"/>
        <w:tabs>
          <w:tab w:leader="none" w:pos="660" w:val="left"/>
        </w:tabs>
        <w:numPr>
          <w:ilvl w:val="0"/>
          <w:numId w:val="2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Net book value per common share is calculated as total stockholders' equity, less preferred stock liquidation preference, divided by number of common shares outstanding as of period end.</w:t>
      </w:r>
    </w:p>
    <w:p>
      <w:pPr>
        <w:spacing w:after="0" w:line="173"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Tangible net book value per common share excludes goodwill.</w:t>
      </w:r>
    </w:p>
    <w:p>
      <w:pPr>
        <w:spacing w:after="0" w:line="14"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Amount excludes U.S. Treasury repurchase agreements and TBA contracts. Other debt includes debt of consolidated VIEs.</w:t>
      </w:r>
    </w:p>
    <w:p>
      <w:pPr>
        <w:spacing w:after="0" w:line="14"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Average stockholders' equity calculated as average month-ended stockholders' equity during the period.</w:t>
      </w:r>
    </w:p>
    <w:p>
      <w:pPr>
        <w:spacing w:after="0" w:line="4" w:lineRule="exact"/>
        <w:rPr>
          <w:rFonts w:ascii="Times New Roman" w:cs="Times New Roman" w:eastAsia="Times New Roman" w:hAnsi="Times New Roman"/>
          <w:sz w:val="14"/>
          <w:szCs w:val="14"/>
          <w:color w:val="auto"/>
        </w:rPr>
      </w:pPr>
    </w:p>
    <w:p>
      <w:pPr>
        <w:jc w:val="both"/>
        <w:ind w:left="660" w:hanging="328"/>
        <w:spacing w:after="0" w:line="260" w:lineRule="auto"/>
        <w:tabs>
          <w:tab w:leader="none" w:pos="660" w:val="left"/>
        </w:tabs>
        <w:numPr>
          <w:ilvl w:val="0"/>
          <w:numId w:val="2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Average tangible net book value "at risk" leverage is calculated by dividing the sum of daily weighted average repurchase agreements used to fund our investment securities, other debt, and TBA and forward settling securities (at cost) (collectively "mortgage borrowings") outstanding for the period by the sum of average stockholders' equity adjusted to exclude goodwill for the period. Leverage excludes U.S. Treasury repurchase agreements.</w:t>
      </w:r>
    </w:p>
    <w:p>
      <w:pPr>
        <w:ind w:left="660" w:hanging="328"/>
        <w:spacing w:after="0" w:line="283" w:lineRule="auto"/>
        <w:tabs>
          <w:tab w:leader="none" w:pos="660" w:val="left"/>
        </w:tabs>
        <w:numPr>
          <w:ilvl w:val="0"/>
          <w:numId w:val="24"/>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Tangible net book value "at risk" leverage as of period end is calculated by dividing the sum of mortgage borrowings outstanding and receivable/payable for unsettled investment securities as of period end by the sum of total stockholders' equity adjusted to exclude goodwill as of period end. Leverage excludes U.S. Treasury repurchase agreements.</w:t>
      </w: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2" w:right="339" w:bottom="1440" w:gutter="0" w:footer="0" w:header="0"/>
        </w:sectPr>
      </w:pPr>
    </w:p>
    <w:bookmarkStart w:id="32" w:name="page33"/>
    <w:bookmarkEnd w:id="32"/>
    <w:p>
      <w:pPr>
        <w:ind w:left="660" w:right="20" w:hanging="328"/>
        <w:spacing w:after="0" w:line="302" w:lineRule="auto"/>
        <w:tabs>
          <w:tab w:leader="none" w:pos="660" w:val="left"/>
        </w:tabs>
        <w:numPr>
          <w:ilvl w:val="0"/>
          <w:numId w:val="2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Economic return on tangible common equity represents the sum of the change in tangible net book value per common share and dividends declared per share of common stock during the period over beginning tangible net book value per common share.</w:t>
      </w:r>
    </w:p>
    <w:p>
      <w:pPr>
        <w:spacing w:after="0" w:line="10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Economic Interest Income and Asset Yields</w:t>
      </w:r>
    </w:p>
    <w:p>
      <w:pPr>
        <w:spacing w:after="0" w:line="175"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The following table summarizes our economic interest income (a non-GAAP measure) for the three months ended March 31, 2022 and 2021, which includes the combination of interest income (a GAAP measure) on our holdings reported as investment securities on our consolidated balance sheets, adjusted to exclude estimated "catch-up" premium amortization adjustments for the cumulative effect from prior reporting periods due to changes in our CPR forecast, and implied interest income on our TBA securities (dollars in millions):</w:t>
      </w:r>
    </w:p>
    <w:p>
      <w:pPr>
        <w:spacing w:after="0" w:line="79" w:lineRule="exact"/>
        <w:rPr>
          <w:sz w:val="20"/>
          <w:szCs w:val="20"/>
          <w:color w:val="auto"/>
        </w:rPr>
      </w:pPr>
    </w:p>
    <w:tbl>
      <w:tblPr>
        <w:tblLayout w:type="fixed"/>
        <w:tblInd w:w="1620" w:type="dxa"/>
        <w:tblCellMar>
          <w:top w:w="0" w:type="dxa"/>
          <w:left w:w="0" w:type="dxa"/>
          <w:bottom w:w="0" w:type="dxa"/>
          <w:right w:w="0" w:type="dxa"/>
        </w:tblCellMar>
      </w:tblPr>
      <w:tr>
        <w:trPr>
          <w:trHeight w:val="190"/>
        </w:trPr>
        <w:tc>
          <w:tcPr>
            <w:tcW w:w="428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920" w:type="dxa"/>
            <w:vAlign w:val="bottom"/>
            <w:gridSpan w:val="9"/>
          </w:tcPr>
          <w:p>
            <w:pPr>
              <w:jc w:val="right"/>
              <w:ind w:right="220"/>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6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4280" w:type="dxa"/>
            <w:vAlign w:val="bottom"/>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gridSpan w:val="3"/>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020" w:type="dxa"/>
            <w:vAlign w:val="bottom"/>
            <w:tcBorders>
              <w:bottom w:val="single" w:sz="8" w:color="auto"/>
            </w:tcBorders>
            <w:gridSpan w:val="3"/>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4280" w:type="dxa"/>
            <w:vAlign w:val="bottom"/>
          </w:tcPr>
          <w:p>
            <w:pPr>
              <w:spacing w:after="0"/>
              <w:rPr>
                <w:sz w:val="16"/>
                <w:szCs w:val="16"/>
                <w:color w:val="auto"/>
              </w:rPr>
            </w:pPr>
          </w:p>
        </w:tc>
        <w:tc>
          <w:tcPr>
            <w:tcW w:w="140" w:type="dxa"/>
            <w:vAlign w:val="bottom"/>
            <w:tcBorders>
              <w:bottom w:val="single" w:sz="8" w:color="auto"/>
            </w:tcBorders>
          </w:tcPr>
          <w:p>
            <w:pPr>
              <w:spacing w:after="0"/>
              <w:rPr>
                <w:sz w:val="16"/>
                <w:szCs w:val="16"/>
                <w:color w:val="auto"/>
              </w:rPr>
            </w:pPr>
          </w:p>
        </w:tc>
        <w:tc>
          <w:tcPr>
            <w:tcW w:w="1000" w:type="dxa"/>
            <w:vAlign w:val="bottom"/>
            <w:tcBorders>
              <w:bottom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2022</w:t>
            </w:r>
          </w:p>
        </w:tc>
        <w:tc>
          <w:tcPr>
            <w:tcW w:w="660" w:type="dxa"/>
            <w:vAlign w:val="bottom"/>
            <w:tcBorders>
              <w:bottom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020" w:type="dxa"/>
            <w:vAlign w:val="bottom"/>
            <w:tcBorders>
              <w:bottom w:val="single" w:sz="8" w:color="auto"/>
            </w:tcBorders>
            <w:gridSpan w:val="3"/>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2021</w:t>
            </w:r>
          </w:p>
        </w:tc>
        <w:tc>
          <w:tcPr>
            <w:tcW w:w="6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428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000" w:type="dxa"/>
            <w:vAlign w:val="bottom"/>
            <w:gridSpan w:val="3"/>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660" w:type="dxa"/>
            <w:vAlign w:val="bottom"/>
          </w:tcPr>
          <w:p>
            <w:pPr>
              <w:jc w:val="right"/>
              <w:ind w:right="168"/>
              <w:spacing w:after="0"/>
              <w:rPr>
                <w:sz w:val="20"/>
                <w:szCs w:val="20"/>
                <w:color w:val="auto"/>
              </w:rPr>
            </w:pPr>
            <w:r>
              <w:rPr>
                <w:rFonts w:ascii="Times New Roman" w:cs="Times New Roman" w:eastAsia="Times New Roman" w:hAnsi="Times New Roman"/>
                <w:sz w:val="14"/>
                <w:szCs w:val="14"/>
                <w:b w:val="1"/>
                <w:bCs w:val="1"/>
                <w:color w:val="auto"/>
              </w:rPr>
              <w:t>Yield</w:t>
            </w: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020" w:type="dxa"/>
            <w:vAlign w:val="bottom"/>
            <w:gridSpan w:val="3"/>
          </w:tcPr>
          <w:p>
            <w:pPr>
              <w:jc w:val="right"/>
              <w:ind w:right="46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660" w:type="dxa"/>
            <w:vAlign w:val="bottom"/>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rPr>
              <w:t>Yield</w:t>
            </w:r>
          </w:p>
        </w:tc>
        <w:tc>
          <w:tcPr>
            <w:tcW w:w="0" w:type="dxa"/>
            <w:vAlign w:val="bottom"/>
          </w:tcPr>
          <w:p>
            <w:pPr>
              <w:spacing w:after="0"/>
              <w:rPr>
                <w:sz w:val="1"/>
                <w:szCs w:val="1"/>
                <w:color w:val="auto"/>
              </w:rPr>
            </w:pPr>
          </w:p>
        </w:tc>
      </w:tr>
      <w:tr>
        <w:trPr>
          <w:trHeight w:val="166"/>
        </w:trPr>
        <w:tc>
          <w:tcPr>
            <w:tcW w:w="42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Interest income:</w:t>
            </w:r>
          </w:p>
        </w:tc>
        <w:tc>
          <w:tcPr>
            <w:tcW w:w="14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Borders>
              <w:top w:val="single" w:sz="8" w:color="auto"/>
            </w:tcBorders>
          </w:tcPr>
          <w:p>
            <w:pPr>
              <w:spacing w:after="0"/>
              <w:rPr>
                <w:sz w:val="14"/>
                <w:szCs w:val="14"/>
                <w:color w:val="auto"/>
              </w:rPr>
            </w:pPr>
          </w:p>
        </w:tc>
        <w:tc>
          <w:tcPr>
            <w:tcW w:w="740" w:type="dxa"/>
            <w:vAlign w:val="bottom"/>
            <w:tcBorders>
              <w:top w:val="single" w:sz="8" w:color="auto"/>
            </w:tcBorders>
          </w:tcPr>
          <w:p>
            <w:pPr>
              <w:spacing w:after="0"/>
              <w:rPr>
                <w:sz w:val="14"/>
                <w:szCs w:val="14"/>
                <w:color w:val="auto"/>
              </w:rPr>
            </w:pPr>
          </w:p>
        </w:tc>
        <w:tc>
          <w:tcPr>
            <w:tcW w:w="120" w:type="dxa"/>
            <w:vAlign w:val="bottom"/>
          </w:tcPr>
          <w:p>
            <w:pPr>
              <w:spacing w:after="0"/>
              <w:rPr>
                <w:sz w:val="14"/>
                <w:szCs w:val="14"/>
                <w:color w:val="auto"/>
              </w:rPr>
            </w:pPr>
          </w:p>
        </w:tc>
        <w:tc>
          <w:tcPr>
            <w:tcW w:w="160" w:type="dxa"/>
            <w:vAlign w:val="bottom"/>
            <w:tcBorders>
              <w:top w:val="single" w:sz="8" w:color="auto"/>
            </w:tcBorders>
          </w:tcPr>
          <w:p>
            <w:pPr>
              <w:spacing w:after="0"/>
              <w:rPr>
                <w:sz w:val="14"/>
                <w:szCs w:val="14"/>
                <w:color w:val="auto"/>
              </w:rPr>
            </w:pPr>
          </w:p>
        </w:tc>
        <w:tc>
          <w:tcPr>
            <w:tcW w:w="66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3"/>
        </w:trPr>
        <w:tc>
          <w:tcPr>
            <w:tcW w:w="4280" w:type="dxa"/>
            <w:vAlign w:val="bottom"/>
          </w:tcPr>
          <w:p>
            <w:pPr>
              <w:spacing w:after="0"/>
              <w:rPr>
                <w:sz w:val="2"/>
                <w:szCs w:val="2"/>
                <w:color w:val="auto"/>
              </w:rPr>
            </w:pPr>
          </w:p>
        </w:tc>
        <w:tc>
          <w:tcPr>
            <w:tcW w:w="140" w:type="dxa"/>
            <w:vAlign w:val="bottom"/>
          </w:tcPr>
          <w:p>
            <w:pPr>
              <w:spacing w:after="0"/>
              <w:rPr>
                <w:sz w:val="2"/>
                <w:szCs w:val="2"/>
                <w:color w:val="auto"/>
              </w:rPr>
            </w:pPr>
          </w:p>
        </w:tc>
        <w:tc>
          <w:tcPr>
            <w:tcW w:w="740" w:type="dxa"/>
            <w:vAlign w:val="bottom"/>
          </w:tcPr>
          <w:p>
            <w:pPr>
              <w:spacing w:after="0"/>
              <w:rPr>
                <w:sz w:val="2"/>
                <w:szCs w:val="2"/>
                <w:color w:val="auto"/>
              </w:rPr>
            </w:pPr>
          </w:p>
        </w:tc>
        <w:tc>
          <w:tcPr>
            <w:tcW w:w="100" w:type="dxa"/>
            <w:vAlign w:val="bottom"/>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120" w:type="dxa"/>
            <w:vAlign w:val="bottom"/>
          </w:tcPr>
          <w:p>
            <w:pPr>
              <w:spacing w:after="0"/>
              <w:rPr>
                <w:sz w:val="2"/>
                <w:szCs w:val="2"/>
                <w:color w:val="auto"/>
              </w:rPr>
            </w:pPr>
          </w:p>
        </w:tc>
        <w:tc>
          <w:tcPr>
            <w:tcW w:w="740" w:type="dxa"/>
            <w:vAlign w:val="bottom"/>
          </w:tcPr>
          <w:p>
            <w:pPr>
              <w:spacing w:after="0"/>
              <w:rPr>
                <w:sz w:val="2"/>
                <w:szCs w:val="2"/>
                <w:color w:val="auto"/>
              </w:rPr>
            </w:pPr>
          </w:p>
        </w:tc>
        <w:tc>
          <w:tcPr>
            <w:tcW w:w="120" w:type="dxa"/>
            <w:vAlign w:val="bottom"/>
          </w:tcPr>
          <w:p>
            <w:pPr>
              <w:spacing w:after="0"/>
              <w:rPr>
                <w:sz w:val="2"/>
                <w:szCs w:val="2"/>
                <w:color w:val="auto"/>
              </w:rPr>
            </w:pPr>
          </w:p>
        </w:tc>
        <w:tc>
          <w:tcPr>
            <w:tcW w:w="160" w:type="dxa"/>
            <w:vAlign w:val="bottom"/>
          </w:tcPr>
          <w:p>
            <w:pPr>
              <w:spacing w:after="0"/>
              <w:rPr>
                <w:sz w:val="2"/>
                <w:szCs w:val="2"/>
                <w:color w:val="auto"/>
              </w:rPr>
            </w:pPr>
          </w:p>
        </w:tc>
        <w:tc>
          <w:tcPr>
            <w:tcW w:w="6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03"/>
        </w:trPr>
        <w:tc>
          <w:tcPr>
            <w:tcW w:w="42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Cash/coupon interest income</w:t>
            </w: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397</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3.07 %</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480</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3.40 %</w:t>
            </w:r>
          </w:p>
        </w:tc>
        <w:tc>
          <w:tcPr>
            <w:tcW w:w="0" w:type="dxa"/>
            <w:vAlign w:val="bottom"/>
          </w:tcPr>
          <w:p>
            <w:pPr>
              <w:spacing w:after="0"/>
              <w:rPr>
                <w:sz w:val="1"/>
                <w:szCs w:val="1"/>
                <w:color w:val="auto"/>
              </w:rPr>
            </w:pPr>
          </w:p>
        </w:tc>
      </w:tr>
      <w:tr>
        <w:trPr>
          <w:trHeight w:val="196"/>
        </w:trPr>
        <w:tc>
          <w:tcPr>
            <w:tcW w:w="42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4"/>
                <w:szCs w:val="14"/>
                <w:color w:val="auto"/>
              </w:rPr>
              <w:t>Net premium amortization benefit (cost)</w:t>
            </w: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color w:val="auto"/>
              </w:rPr>
              <w:t>78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0.48 %</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77</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0.38 %</w:t>
            </w:r>
          </w:p>
        </w:tc>
        <w:tc>
          <w:tcPr>
            <w:tcW w:w="0" w:type="dxa"/>
            <w:vAlign w:val="bottom"/>
          </w:tcPr>
          <w:p>
            <w:pPr>
              <w:spacing w:after="0"/>
              <w:rPr>
                <w:sz w:val="1"/>
                <w:szCs w:val="1"/>
                <w:color w:val="auto"/>
              </w:rPr>
            </w:pPr>
          </w:p>
        </w:tc>
      </w:tr>
      <w:tr>
        <w:trPr>
          <w:trHeight w:val="203"/>
        </w:trPr>
        <w:tc>
          <w:tcPr>
            <w:tcW w:w="4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Interest income (GAAP measure)</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475</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3.55 %</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557</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3.78 %</w:t>
            </w:r>
          </w:p>
        </w:tc>
        <w:tc>
          <w:tcPr>
            <w:tcW w:w="0" w:type="dxa"/>
            <w:vAlign w:val="bottom"/>
          </w:tcPr>
          <w:p>
            <w:pPr>
              <w:spacing w:after="0"/>
              <w:rPr>
                <w:sz w:val="1"/>
                <w:szCs w:val="1"/>
                <w:color w:val="auto"/>
              </w:rPr>
            </w:pPr>
          </w:p>
        </w:tc>
      </w:tr>
      <w:tr>
        <w:trPr>
          <w:trHeight w:val="139"/>
        </w:trPr>
        <w:tc>
          <w:tcPr>
            <w:tcW w:w="4280" w:type="dxa"/>
            <w:vAlign w:val="bottom"/>
          </w:tcPr>
          <w:p>
            <w:pPr>
              <w:ind w:left="100"/>
              <w:spacing w:after="0" w:line="139" w:lineRule="exact"/>
              <w:rPr>
                <w:sz w:val="20"/>
                <w:szCs w:val="20"/>
                <w:color w:val="auto"/>
              </w:rPr>
            </w:pPr>
            <w:r>
              <w:rPr>
                <w:rFonts w:ascii="Times New Roman" w:cs="Times New Roman" w:eastAsia="Times New Roman" w:hAnsi="Times New Roman"/>
                <w:sz w:val="14"/>
                <w:szCs w:val="14"/>
                <w:color w:val="auto"/>
              </w:rPr>
              <w:t>Estimated "catch-up" premium amortization cost (benefit) due to</w:t>
            </w:r>
          </w:p>
        </w:tc>
        <w:tc>
          <w:tcPr>
            <w:tcW w:w="140" w:type="dxa"/>
            <w:vAlign w:val="bottom"/>
          </w:tcPr>
          <w:p>
            <w:pPr>
              <w:spacing w:after="0"/>
              <w:rPr>
                <w:sz w:val="12"/>
                <w:szCs w:val="12"/>
                <w:color w:val="auto"/>
              </w:rPr>
            </w:pPr>
          </w:p>
        </w:tc>
        <w:tc>
          <w:tcPr>
            <w:tcW w:w="740" w:type="dxa"/>
            <w:vAlign w:val="bottom"/>
            <w:vMerge w:val="restart"/>
          </w:tcPr>
          <w:p>
            <w:pPr>
              <w:jc w:val="right"/>
              <w:ind w:right="88"/>
              <w:spacing w:after="0"/>
              <w:rPr>
                <w:sz w:val="20"/>
                <w:szCs w:val="20"/>
                <w:color w:val="auto"/>
              </w:rPr>
            </w:pPr>
            <w:r>
              <w:rPr>
                <w:rFonts w:ascii="Times New Roman" w:cs="Times New Roman" w:eastAsia="Times New Roman" w:hAnsi="Times New Roman"/>
                <w:sz w:val="14"/>
                <w:szCs w:val="14"/>
                <w:color w:val="auto"/>
              </w:rPr>
              <w:t>(159)</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(1.19)%</w:t>
            </w:r>
          </w:p>
        </w:tc>
        <w:tc>
          <w:tcPr>
            <w:tcW w:w="12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40" w:type="dxa"/>
            <w:vAlign w:val="bottom"/>
            <w:vMerge w:val="restart"/>
          </w:tcPr>
          <w:p>
            <w:pPr>
              <w:jc w:val="right"/>
              <w:ind w:right="68"/>
              <w:spacing w:after="0"/>
              <w:rPr>
                <w:sz w:val="20"/>
                <w:szCs w:val="20"/>
                <w:color w:val="auto"/>
              </w:rPr>
            </w:pPr>
            <w:r>
              <w:rPr>
                <w:rFonts w:ascii="Times New Roman" w:cs="Times New Roman" w:eastAsia="Times New Roman" w:hAnsi="Times New Roman"/>
                <w:sz w:val="14"/>
                <w:szCs w:val="14"/>
                <w:color w:val="auto"/>
              </w:rPr>
              <w:t>(213)</w:t>
            </w:r>
          </w:p>
        </w:tc>
        <w:tc>
          <w:tcPr>
            <w:tcW w:w="1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(1.45)%</w:t>
            </w:r>
          </w:p>
        </w:tc>
        <w:tc>
          <w:tcPr>
            <w:tcW w:w="0" w:type="dxa"/>
            <w:vAlign w:val="bottom"/>
          </w:tcPr>
          <w:p>
            <w:pPr>
              <w:spacing w:after="0"/>
              <w:rPr>
                <w:sz w:val="1"/>
                <w:szCs w:val="1"/>
                <w:color w:val="auto"/>
              </w:rPr>
            </w:pPr>
          </w:p>
        </w:tc>
      </w:tr>
      <w:tr>
        <w:trPr>
          <w:trHeight w:val="193"/>
        </w:trPr>
        <w:tc>
          <w:tcPr>
            <w:tcW w:w="42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4"/>
                <w:szCs w:val="14"/>
                <w:color w:val="auto"/>
              </w:rPr>
              <w:t>change in CPR forecast</w:t>
            </w:r>
          </w:p>
        </w:tc>
        <w:tc>
          <w:tcPr>
            <w:tcW w:w="14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10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vMerge w:val="continue"/>
          </w:tcPr>
          <w:p>
            <w:pPr>
              <w:spacing w:after="0"/>
              <w:rPr>
                <w:sz w:val="16"/>
                <w:szCs w:val="16"/>
                <w:color w:val="auto"/>
              </w:rPr>
            </w:pPr>
          </w:p>
        </w:tc>
        <w:tc>
          <w:tcPr>
            <w:tcW w:w="120" w:type="dxa"/>
            <w:vAlign w:val="bottom"/>
            <w:tcBorders>
              <w:bottom w:val="single" w:sz="8" w:color="CCEEFF"/>
            </w:tcBorders>
          </w:tcPr>
          <w:p>
            <w:pPr>
              <w:spacing w:after="0"/>
              <w:rPr>
                <w:sz w:val="16"/>
                <w:szCs w:val="16"/>
                <w:color w:val="auto"/>
              </w:rPr>
            </w:pPr>
          </w:p>
        </w:tc>
        <w:tc>
          <w:tcPr>
            <w:tcW w:w="160" w:type="dxa"/>
            <w:vAlign w:val="bottom"/>
            <w:tcBorders>
              <w:bottom w:val="single" w:sz="8" w:color="auto"/>
            </w:tcBorders>
          </w:tcPr>
          <w:p>
            <w:pPr>
              <w:spacing w:after="0"/>
              <w:rPr>
                <w:sz w:val="16"/>
                <w:szCs w:val="16"/>
                <w:color w:val="auto"/>
              </w:rPr>
            </w:pPr>
          </w:p>
        </w:tc>
        <w:tc>
          <w:tcPr>
            <w:tcW w:w="660" w:type="dxa"/>
            <w:vAlign w:val="bottom"/>
            <w:tcBorders>
              <w:bottom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42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Interest income, excluding "catch-up" premium amortization</w:t>
            </w:r>
          </w:p>
        </w:tc>
        <w:tc>
          <w:tcPr>
            <w:tcW w:w="14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316</w:t>
            </w: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2.36 %</w:t>
            </w:r>
          </w:p>
        </w:tc>
        <w:tc>
          <w:tcPr>
            <w:tcW w:w="1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74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344</w:t>
            </w:r>
          </w:p>
        </w:tc>
        <w:tc>
          <w:tcPr>
            <w:tcW w:w="12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2.33 %</w:t>
            </w:r>
          </w:p>
        </w:tc>
        <w:tc>
          <w:tcPr>
            <w:tcW w:w="0" w:type="dxa"/>
            <w:vAlign w:val="bottom"/>
          </w:tcPr>
          <w:p>
            <w:pPr>
              <w:spacing w:after="0"/>
              <w:rPr>
                <w:sz w:val="1"/>
                <w:szCs w:val="1"/>
                <w:color w:val="auto"/>
              </w:rPr>
            </w:pPr>
          </w:p>
        </w:tc>
      </w:tr>
      <w:tr>
        <w:trPr>
          <w:trHeight w:val="196"/>
        </w:trPr>
        <w:tc>
          <w:tcPr>
            <w:tcW w:w="42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4"/>
                <w:szCs w:val="14"/>
                <w:color w:val="auto"/>
              </w:rPr>
              <w:t xml:space="preserve">TBA dollar roll income - implied interest income </w:t>
            </w:r>
            <w:r>
              <w:rPr>
                <w:rFonts w:ascii="Times New Roman" w:cs="Times New Roman" w:eastAsia="Times New Roman" w:hAnsi="Times New Roman"/>
                <w:sz w:val="9"/>
                <w:szCs w:val="9"/>
                <w:color w:val="auto"/>
              </w:rPr>
              <w:t>1,2</w:t>
            </w:r>
          </w:p>
        </w:tc>
        <w:tc>
          <w:tcPr>
            <w:tcW w:w="14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color w:val="auto"/>
              </w:rPr>
              <w:t>123</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2.09 %</w:t>
            </w:r>
          </w:p>
        </w:tc>
        <w:tc>
          <w:tcPr>
            <w:tcW w:w="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116</w:t>
            </w:r>
          </w:p>
        </w:tc>
        <w:tc>
          <w:tcPr>
            <w:tcW w:w="12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1.44 %</w:t>
            </w:r>
          </w:p>
        </w:tc>
        <w:tc>
          <w:tcPr>
            <w:tcW w:w="0" w:type="dxa"/>
            <w:vAlign w:val="bottom"/>
          </w:tcPr>
          <w:p>
            <w:pPr>
              <w:spacing w:after="0"/>
              <w:rPr>
                <w:sz w:val="1"/>
                <w:szCs w:val="1"/>
                <w:color w:val="auto"/>
              </w:rPr>
            </w:pPr>
          </w:p>
        </w:tc>
      </w:tr>
      <w:tr>
        <w:trPr>
          <w:trHeight w:val="123"/>
        </w:trPr>
        <w:tc>
          <w:tcPr>
            <w:tcW w:w="4280" w:type="dxa"/>
            <w:vAlign w:val="bottom"/>
            <w:shd w:val="clear" w:color="auto" w:fill="CCEEFF"/>
          </w:tcPr>
          <w:p>
            <w:pPr>
              <w:ind w:left="20"/>
              <w:spacing w:after="0" w:line="123" w:lineRule="exact"/>
              <w:rPr>
                <w:sz w:val="20"/>
                <w:szCs w:val="20"/>
                <w:color w:val="auto"/>
              </w:rPr>
            </w:pPr>
            <w:r>
              <w:rPr>
                <w:rFonts w:ascii="Times New Roman" w:cs="Times New Roman" w:eastAsia="Times New Roman" w:hAnsi="Times New Roman"/>
                <w:sz w:val="14"/>
                <w:szCs w:val="14"/>
                <w:color w:val="auto"/>
              </w:rPr>
              <w:t>Economic interest income, excluding "catch-up" amortization (non-</w:t>
            </w:r>
          </w:p>
        </w:tc>
        <w:tc>
          <w:tcPr>
            <w:tcW w:w="1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vMerge w:val="restart"/>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439</w:t>
            </w: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2.28 %</w:t>
            </w:r>
          </w:p>
        </w:tc>
        <w:tc>
          <w:tcPr>
            <w:tcW w:w="120" w:type="dxa"/>
            <w:vAlign w:val="bottom"/>
            <w:shd w:val="clear" w:color="auto" w:fill="CCEEFF"/>
          </w:tcPr>
          <w:p>
            <w:pPr>
              <w:spacing w:after="0"/>
              <w:rPr>
                <w:sz w:val="10"/>
                <w:szCs w:val="10"/>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vMerge w:val="restart"/>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460</w:t>
            </w:r>
          </w:p>
        </w:tc>
        <w:tc>
          <w:tcPr>
            <w:tcW w:w="12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6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2.02 %</w:t>
            </w:r>
          </w:p>
        </w:tc>
        <w:tc>
          <w:tcPr>
            <w:tcW w:w="0" w:type="dxa"/>
            <w:vAlign w:val="bottom"/>
          </w:tcPr>
          <w:p>
            <w:pPr>
              <w:spacing w:after="0"/>
              <w:rPr>
                <w:sz w:val="1"/>
                <w:szCs w:val="1"/>
                <w:color w:val="auto"/>
              </w:rPr>
            </w:pPr>
          </w:p>
        </w:tc>
      </w:tr>
      <w:tr>
        <w:trPr>
          <w:trHeight w:val="194"/>
        </w:trPr>
        <w:tc>
          <w:tcPr>
            <w:tcW w:w="4280" w:type="dxa"/>
            <w:vAlign w:val="bottom"/>
            <w:tcBorders>
              <w:bottom w:val="single" w:sz="8" w:color="CCEEFF"/>
            </w:tcBorders>
            <w:shd w:val="clear" w:color="auto" w:fill="CCEEFF"/>
          </w:tcPr>
          <w:p>
            <w:pPr>
              <w:ind w:left="20"/>
              <w:spacing w:after="0" w:line="175" w:lineRule="exact"/>
              <w:rPr>
                <w:sz w:val="20"/>
                <w:szCs w:val="20"/>
                <w:color w:val="auto"/>
              </w:rPr>
            </w:pPr>
            <w:r>
              <w:rPr>
                <w:rFonts w:ascii="Times New Roman" w:cs="Times New Roman" w:eastAsia="Times New Roman" w:hAnsi="Times New Roman"/>
                <w:sz w:val="14"/>
                <w:szCs w:val="14"/>
                <w:color w:val="auto"/>
              </w:rPr>
              <w:t xml:space="preserve">GAAP measure) </w:t>
            </w:r>
            <w:r>
              <w:rPr>
                <w:rFonts w:ascii="Times New Roman" w:cs="Times New Roman" w:eastAsia="Times New Roman" w:hAnsi="Times New Roman"/>
                <w:sz w:val="18"/>
                <w:szCs w:val="18"/>
                <w:color w:val="auto"/>
                <w:vertAlign w:val="superscript"/>
              </w:rPr>
              <w:t>3</w:t>
            </w:r>
          </w:p>
        </w:tc>
        <w:tc>
          <w:tcPr>
            <w:tcW w:w="140" w:type="dxa"/>
            <w:vAlign w:val="bottom"/>
            <w:tcBorders>
              <w:bottom w:val="single" w:sz="8" w:color="auto"/>
            </w:tcBorders>
            <w:vMerge w:val="continue"/>
            <w:shd w:val="clear" w:color="auto" w:fill="CCEEFF"/>
          </w:tcPr>
          <w:p>
            <w:pPr>
              <w:spacing w:after="0"/>
              <w:rPr>
                <w:sz w:val="16"/>
                <w:szCs w:val="16"/>
                <w:color w:val="auto"/>
              </w:rPr>
            </w:pPr>
          </w:p>
        </w:tc>
        <w:tc>
          <w:tcPr>
            <w:tcW w:w="740" w:type="dxa"/>
            <w:vAlign w:val="bottom"/>
            <w:tcBorders>
              <w:bottom w:val="single" w:sz="8" w:color="auto"/>
            </w:tcBorders>
            <w:vMerge w:val="continue"/>
            <w:shd w:val="clear" w:color="auto" w:fill="CCEEFF"/>
          </w:tcPr>
          <w:p>
            <w:pPr>
              <w:spacing w:after="0"/>
              <w:rPr>
                <w:sz w:val="16"/>
                <w:szCs w:val="16"/>
                <w:color w:val="auto"/>
              </w:rPr>
            </w:pPr>
          </w:p>
        </w:tc>
        <w:tc>
          <w:tcPr>
            <w:tcW w:w="10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120" w:type="dxa"/>
            <w:vAlign w:val="bottom"/>
            <w:tcBorders>
              <w:bottom w:val="single" w:sz="8" w:color="auto"/>
            </w:tcBorders>
            <w:vMerge w:val="continue"/>
            <w:shd w:val="clear" w:color="auto" w:fill="CCEEFF"/>
          </w:tcPr>
          <w:p>
            <w:pPr>
              <w:spacing w:after="0"/>
              <w:rPr>
                <w:sz w:val="16"/>
                <w:szCs w:val="16"/>
                <w:color w:val="auto"/>
              </w:rPr>
            </w:pPr>
          </w:p>
        </w:tc>
        <w:tc>
          <w:tcPr>
            <w:tcW w:w="740" w:type="dxa"/>
            <w:vAlign w:val="bottom"/>
            <w:tcBorders>
              <w:bottom w:val="single" w:sz="8" w:color="auto"/>
            </w:tcBorders>
            <w:vMerge w:val="continue"/>
            <w:shd w:val="clear" w:color="auto" w:fill="CCEEFF"/>
          </w:tcPr>
          <w:p>
            <w:pPr>
              <w:spacing w:after="0"/>
              <w:rPr>
                <w:sz w:val="16"/>
                <w:szCs w:val="16"/>
                <w:color w:val="auto"/>
              </w:rPr>
            </w:pPr>
          </w:p>
        </w:tc>
        <w:tc>
          <w:tcPr>
            <w:tcW w:w="120" w:type="dxa"/>
            <w:vAlign w:val="bottom"/>
            <w:tcBorders>
              <w:bottom w:val="single" w:sz="8" w:color="CCEEFF"/>
            </w:tcBorders>
            <w:shd w:val="clear" w:color="auto" w:fill="CCEEFF"/>
          </w:tcPr>
          <w:p>
            <w:pPr>
              <w:spacing w:after="0"/>
              <w:rPr>
                <w:sz w:val="16"/>
                <w:szCs w:val="16"/>
                <w:color w:val="auto"/>
              </w:rPr>
            </w:pPr>
          </w:p>
        </w:tc>
        <w:tc>
          <w:tcPr>
            <w:tcW w:w="160" w:type="dxa"/>
            <w:vAlign w:val="bottom"/>
            <w:tcBorders>
              <w:bottom w:val="single" w:sz="8" w:color="auto"/>
            </w:tcBorders>
            <w:shd w:val="clear" w:color="auto" w:fill="CCEEFF"/>
          </w:tcPr>
          <w:p>
            <w:pPr>
              <w:spacing w:after="0"/>
              <w:rPr>
                <w:sz w:val="16"/>
                <w:szCs w:val="16"/>
                <w:color w:val="auto"/>
              </w:rPr>
            </w:pPr>
          </w:p>
        </w:tc>
        <w:tc>
          <w:tcPr>
            <w:tcW w:w="660" w:type="dxa"/>
            <w:vAlign w:val="bottom"/>
            <w:tcBorders>
              <w:bottom w:val="single" w:sz="8" w:color="auto"/>
            </w:tcBorders>
            <w:vMerge w:val="continue"/>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0"/>
        </w:trPr>
        <w:tc>
          <w:tcPr>
            <w:tcW w:w="4280" w:type="dxa"/>
            <w:vAlign w:val="bottom"/>
            <w:tcBorders>
              <w:top w:val="single" w:sz="8" w:color="CCEEFF"/>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80" w:lineRule="exact"/>
        <w:rPr>
          <w:sz w:val="20"/>
          <w:szCs w:val="20"/>
          <w:color w:val="auto"/>
        </w:rPr>
      </w:pPr>
    </w:p>
    <w:p>
      <w:pPr>
        <w:sectPr>
          <w:pgSz w:w="11900" w:h="16838" w:orient="portrait"/>
          <w:cols w:equalWidth="0" w:num="1">
            <w:col w:w="11240"/>
          </w:cols>
          <w:pgMar w:left="320" w:top="886" w:right="339" w:bottom="1440" w:gutter="0" w:footer="0" w:header="0"/>
        </w:sectPr>
      </w:pPr>
    </w:p>
    <w:p>
      <w:pPr>
        <w:ind w:left="1640"/>
        <w:spacing w:after="0" w:line="251" w:lineRule="auto"/>
        <w:rPr>
          <w:sz w:val="20"/>
          <w:szCs w:val="20"/>
          <w:color w:val="auto"/>
        </w:rPr>
      </w:pPr>
      <w:r>
        <w:rPr>
          <w:rFonts w:ascii="Times New Roman" w:cs="Times New Roman" w:eastAsia="Times New Roman" w:hAnsi="Times New Roman"/>
          <w:sz w:val="14"/>
          <w:szCs w:val="14"/>
          <w:color w:val="auto"/>
        </w:rPr>
        <w:t>Weighted average actual portfolio CPR for investment securities held during the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1033780</wp:posOffset>
            </wp:positionH>
            <wp:positionV relativeFrom="paragraph">
              <wp:posOffset>-207645</wp:posOffset>
            </wp:positionV>
            <wp:extent cx="5074920" cy="21463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074920" cy="214630"/>
                    </a:xfrm>
                    <a:prstGeom prst="rect">
                      <a:avLst/>
                    </a:prstGeom>
                    <a:noFill/>
                  </pic:spPr>
                </pic:pic>
              </a:graphicData>
            </a:graphic>
          </wp:anchor>
        </w:drawing>
      </w:r>
    </w:p>
    <w:p>
      <w:pPr>
        <w:ind w:left="1640"/>
        <w:spacing w:after="0" w:line="251" w:lineRule="auto"/>
        <w:rPr>
          <w:sz w:val="20"/>
          <w:szCs w:val="20"/>
          <w:color w:val="auto"/>
        </w:rPr>
      </w:pPr>
      <w:r>
        <w:rPr>
          <w:rFonts w:ascii="Times New Roman" w:cs="Times New Roman" w:eastAsia="Times New Roman" w:hAnsi="Times New Roman"/>
          <w:sz w:val="14"/>
          <w:szCs w:val="14"/>
          <w:color w:val="auto"/>
        </w:rPr>
        <w:t>Weighted average projected CPR for the remaining life of investment securities held as of period end</w:t>
      </w:r>
    </w:p>
    <w:p>
      <w:pPr>
        <w:spacing w:after="0" w:line="1" w:lineRule="exact"/>
        <w:rPr>
          <w:sz w:val="20"/>
          <w:szCs w:val="20"/>
          <w:color w:val="auto"/>
        </w:rPr>
      </w:pPr>
    </w:p>
    <w:p>
      <w:pPr>
        <w:ind w:left="1640"/>
        <w:spacing w:after="0"/>
        <w:rPr>
          <w:sz w:val="20"/>
          <w:szCs w:val="20"/>
          <w:color w:val="auto"/>
        </w:rPr>
      </w:pPr>
      <w:r>
        <w:rPr>
          <w:rFonts w:ascii="Times New Roman" w:cs="Times New Roman" w:eastAsia="Times New Roman" w:hAnsi="Times New Roman"/>
          <w:sz w:val="14"/>
          <w:szCs w:val="14"/>
          <w:color w:val="auto"/>
        </w:rPr>
        <w:t xml:space="preserve">30-year fixed rate mortgage rate as of period end </w:t>
      </w:r>
      <w:r>
        <w:rPr>
          <w:rFonts w:ascii="Times New Roman" w:cs="Times New Roman" w:eastAsia="Times New Roman" w:hAnsi="Times New Roman"/>
          <w:sz w:val="9"/>
          <w:szCs w:val="9"/>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1033780</wp:posOffset>
            </wp:positionH>
            <wp:positionV relativeFrom="paragraph">
              <wp:posOffset>-95885</wp:posOffset>
            </wp:positionV>
            <wp:extent cx="5074920" cy="128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074920" cy="128905"/>
                    </a:xfrm>
                    <a:prstGeom prst="rect">
                      <a:avLst/>
                    </a:prstGeom>
                    <a:noFill/>
                  </pic:spPr>
                </pic:pic>
              </a:graphicData>
            </a:graphic>
          </wp:anchor>
        </w:drawing>
      </w:r>
    </w:p>
    <w:p>
      <w:pPr>
        <w:spacing w:after="0" w:line="22" w:lineRule="exact"/>
        <w:rPr>
          <w:sz w:val="20"/>
          <w:szCs w:val="20"/>
          <w:color w:val="auto"/>
        </w:rPr>
      </w:pPr>
    </w:p>
    <w:p>
      <w:pPr>
        <w:ind w:left="1640"/>
        <w:spacing w:after="0"/>
        <w:rPr>
          <w:sz w:val="20"/>
          <w:szCs w:val="20"/>
          <w:color w:val="auto"/>
        </w:rPr>
      </w:pPr>
      <w:r>
        <w:rPr>
          <w:rFonts w:ascii="Times New Roman" w:cs="Times New Roman" w:eastAsia="Times New Roman" w:hAnsi="Times New Roman"/>
          <w:sz w:val="14"/>
          <w:szCs w:val="14"/>
          <w:color w:val="auto"/>
        </w:rPr>
        <w:t>10-year U.S. Treasury rate as of period end</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0" w:lineRule="exact"/>
        <w:rPr>
          <w:sz w:val="20"/>
          <w:szCs w:val="20"/>
          <w:color w:val="auto"/>
        </w:rPr>
      </w:pPr>
      <w:r>
        <w:rPr>
          <w:sz w:val="20"/>
          <w:szCs w:val="20"/>
          <w:color w:val="auto"/>
        </w:rPr>
        <w:br w:type="column"/>
      </w:r>
    </w:p>
    <w:p>
      <w:pPr>
        <w:spacing w:after="0" w:line="115" w:lineRule="exact"/>
        <w:rPr>
          <w:sz w:val="20"/>
          <w:szCs w:val="20"/>
          <w:color w:val="auto"/>
        </w:rPr>
      </w:pPr>
    </w:p>
    <w:p>
      <w:pPr>
        <w:spacing w:after="0"/>
        <w:tabs>
          <w:tab w:leader="none" w:pos="1900" w:val="left"/>
        </w:tabs>
        <w:rPr>
          <w:sz w:val="20"/>
          <w:szCs w:val="20"/>
          <w:color w:val="auto"/>
        </w:rPr>
      </w:pPr>
      <w:r>
        <w:rPr>
          <w:rFonts w:ascii="Times New Roman" w:cs="Times New Roman" w:eastAsia="Times New Roman" w:hAnsi="Times New Roman"/>
          <w:sz w:val="14"/>
          <w:szCs w:val="14"/>
          <w:color w:val="auto"/>
        </w:rPr>
        <w:t>14.5 %</w:t>
      </w:r>
      <w:r>
        <w:rPr>
          <w:sz w:val="20"/>
          <w:szCs w:val="20"/>
          <w:color w:val="auto"/>
        </w:rPr>
        <w:tab/>
      </w:r>
      <w:r>
        <w:rPr>
          <w:rFonts w:ascii="Times New Roman" w:cs="Times New Roman" w:eastAsia="Times New Roman" w:hAnsi="Times New Roman"/>
          <w:sz w:val="14"/>
          <w:szCs w:val="14"/>
          <w:color w:val="auto"/>
        </w:rPr>
        <w:t>24.6 %</w:t>
      </w:r>
    </w:p>
    <w:p>
      <w:pPr>
        <w:spacing w:after="0" w:line="177" w:lineRule="exact"/>
        <w:rPr>
          <w:sz w:val="20"/>
          <w:szCs w:val="20"/>
          <w:color w:val="auto"/>
        </w:rPr>
      </w:pPr>
    </w:p>
    <w:p>
      <w:pPr>
        <w:ind w:left="60"/>
        <w:spacing w:after="0"/>
        <w:tabs>
          <w:tab w:leader="none" w:pos="1900" w:val="left"/>
        </w:tabs>
        <w:rPr>
          <w:sz w:val="20"/>
          <w:szCs w:val="20"/>
          <w:color w:val="auto"/>
        </w:rPr>
      </w:pPr>
      <w:r>
        <w:rPr>
          <w:rFonts w:ascii="Times New Roman" w:cs="Times New Roman" w:eastAsia="Times New Roman" w:hAnsi="Times New Roman"/>
          <w:sz w:val="14"/>
          <w:szCs w:val="14"/>
          <w:color w:val="auto"/>
        </w:rPr>
        <w:t>7.9 %</w:t>
      </w:r>
      <w:r>
        <w:rPr>
          <w:sz w:val="20"/>
          <w:szCs w:val="20"/>
          <w:color w:val="auto"/>
        </w:rPr>
        <w:tab/>
      </w:r>
      <w:r>
        <w:rPr>
          <w:rFonts w:ascii="Times New Roman" w:cs="Times New Roman" w:eastAsia="Times New Roman" w:hAnsi="Times New Roman"/>
          <w:sz w:val="14"/>
          <w:szCs w:val="14"/>
          <w:color w:val="auto"/>
        </w:rPr>
        <w:t>11.3 %</w:t>
      </w:r>
    </w:p>
    <w:p>
      <w:pPr>
        <w:spacing w:after="0" w:line="42" w:lineRule="exact"/>
        <w:rPr>
          <w:sz w:val="20"/>
          <w:szCs w:val="20"/>
          <w:color w:val="auto"/>
        </w:rPr>
      </w:pPr>
    </w:p>
    <w:p>
      <w:pPr>
        <w:spacing w:after="0"/>
        <w:tabs>
          <w:tab w:leader="none" w:pos="1900" w:val="left"/>
        </w:tabs>
        <w:rPr>
          <w:sz w:val="20"/>
          <w:szCs w:val="20"/>
          <w:color w:val="auto"/>
        </w:rPr>
      </w:pPr>
      <w:r>
        <w:rPr>
          <w:rFonts w:ascii="Times New Roman" w:cs="Times New Roman" w:eastAsia="Times New Roman" w:hAnsi="Times New Roman"/>
          <w:sz w:val="14"/>
          <w:szCs w:val="14"/>
          <w:color w:val="auto"/>
        </w:rPr>
        <w:t>4.90 %</w:t>
      </w:r>
      <w:r>
        <w:rPr>
          <w:sz w:val="20"/>
          <w:szCs w:val="20"/>
          <w:color w:val="auto"/>
        </w:rPr>
        <w:tab/>
      </w:r>
      <w:r>
        <w:rPr>
          <w:rFonts w:ascii="Times New Roman" w:cs="Times New Roman" w:eastAsia="Times New Roman" w:hAnsi="Times New Roman"/>
          <w:sz w:val="14"/>
          <w:szCs w:val="14"/>
          <w:color w:val="auto"/>
        </w:rPr>
        <w:t>3.27 %</w:t>
      </w:r>
    </w:p>
    <w:p>
      <w:pPr>
        <w:spacing w:after="0" w:line="42" w:lineRule="exact"/>
        <w:rPr>
          <w:sz w:val="20"/>
          <w:szCs w:val="20"/>
          <w:color w:val="auto"/>
        </w:rPr>
      </w:pPr>
    </w:p>
    <w:p>
      <w:pPr>
        <w:spacing w:after="0"/>
        <w:tabs>
          <w:tab w:leader="none" w:pos="1900" w:val="left"/>
        </w:tabs>
        <w:rPr>
          <w:sz w:val="20"/>
          <w:szCs w:val="20"/>
          <w:color w:val="auto"/>
        </w:rPr>
      </w:pPr>
      <w:r>
        <w:rPr>
          <w:rFonts w:ascii="Times New Roman" w:cs="Times New Roman" w:eastAsia="Times New Roman" w:hAnsi="Times New Roman"/>
          <w:sz w:val="14"/>
          <w:szCs w:val="14"/>
          <w:color w:val="auto"/>
        </w:rPr>
        <w:t>2.34 %</w:t>
      </w:r>
      <w:r>
        <w:rPr>
          <w:sz w:val="20"/>
          <w:szCs w:val="20"/>
          <w:color w:val="auto"/>
        </w:rPr>
        <w:tab/>
      </w:r>
      <w:r>
        <w:rPr>
          <w:rFonts w:ascii="Times New Roman" w:cs="Times New Roman" w:eastAsia="Times New Roman" w:hAnsi="Times New Roman"/>
          <w:sz w:val="14"/>
          <w:szCs w:val="14"/>
          <w:color w:val="auto"/>
        </w:rPr>
        <w:t>1.74 %</w:t>
      </w:r>
    </w:p>
    <w:p>
      <w:pPr>
        <w:spacing w:after="0" w:line="285" w:lineRule="exact"/>
        <w:rPr>
          <w:sz w:val="20"/>
          <w:szCs w:val="20"/>
          <w:color w:val="auto"/>
        </w:rPr>
      </w:pPr>
    </w:p>
    <w:p>
      <w:pPr>
        <w:sectPr>
          <w:pgSz w:w="11900" w:h="16838" w:orient="portrait"/>
          <w:cols w:equalWidth="0" w:num="2">
            <w:col w:w="5640" w:space="700"/>
            <w:col w:w="4900"/>
          </w:cols>
          <w:pgMar w:left="320" w:top="886" w:right="339" w:bottom="1440" w:gutter="0" w:footer="0" w:header="0"/>
          <w:type w:val="continuous"/>
        </w:sectPr>
      </w:pPr>
    </w:p>
    <w:p>
      <w:pPr>
        <w:ind w:left="660" w:hanging="328"/>
        <w:spacing w:after="0"/>
        <w:tabs>
          <w:tab w:leader="none" w:pos="660" w:val="left"/>
        </w:tabs>
        <w:numPr>
          <w:ilvl w:val="0"/>
          <w:numId w:val="2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Reported in gain (loss) on derivatives instruments and other securities, net in the accompanying consolidated statements of operations.</w:t>
      </w:r>
    </w:p>
    <w:p>
      <w:pPr>
        <w:spacing w:after="0" w:line="13" w:lineRule="exact"/>
        <w:rPr>
          <w:rFonts w:ascii="Times New Roman" w:cs="Times New Roman" w:eastAsia="Times New Roman" w:hAnsi="Times New Roman"/>
          <w:sz w:val="14"/>
          <w:szCs w:val="14"/>
          <w:color w:val="auto"/>
        </w:rPr>
      </w:pPr>
    </w:p>
    <w:p>
      <w:pPr>
        <w:jc w:val="both"/>
        <w:ind w:left="660" w:hanging="328"/>
        <w:spacing w:after="0" w:line="256" w:lineRule="auto"/>
        <w:tabs>
          <w:tab w:leader="none" w:pos="660" w:val="left"/>
        </w:tabs>
        <w:numPr>
          <w:ilvl w:val="0"/>
          <w:numId w:val="2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 xml:space="preserve">Implied interest income from TBA dollar roll transactions is computed as the sum of (i) TBA dollar roll income and (ii) estimated TBA implied funding cost (see </w:t>
      </w:r>
      <w:r>
        <w:rPr>
          <w:rFonts w:ascii="Times New Roman" w:cs="Times New Roman" w:eastAsia="Times New Roman" w:hAnsi="Times New Roman"/>
          <w:sz w:val="14"/>
          <w:szCs w:val="14"/>
          <w:i w:val="1"/>
          <w:iCs w:val="1"/>
          <w:color w:val="auto"/>
        </w:rPr>
        <w:t>Economic Interest</w:t>
      </w:r>
      <w:r>
        <w:rPr>
          <w:rFonts w:ascii="Times New Roman" w:cs="Times New Roman" w:eastAsia="Times New Roman" w:hAnsi="Times New Roman"/>
          <w:sz w:val="14"/>
          <w:szCs w:val="14"/>
          <w:color w:val="auto"/>
        </w:rPr>
        <w:t xml:space="preserve"> </w:t>
      </w:r>
      <w:r>
        <w:rPr>
          <w:rFonts w:ascii="Times New Roman" w:cs="Times New Roman" w:eastAsia="Times New Roman" w:hAnsi="Times New Roman"/>
          <w:sz w:val="14"/>
          <w:szCs w:val="14"/>
          <w:i w:val="1"/>
          <w:iCs w:val="1"/>
          <w:color w:val="auto"/>
        </w:rPr>
        <w:t xml:space="preserve">Expense and Aggregate Cost of Funds </w:t>
      </w:r>
      <w:r>
        <w:rPr>
          <w:rFonts w:ascii="Times New Roman" w:cs="Times New Roman" w:eastAsia="Times New Roman" w:hAnsi="Times New Roman"/>
          <w:sz w:val="14"/>
          <w:szCs w:val="14"/>
          <w:color w:val="auto"/>
        </w:rPr>
        <w:t>below). TBA dollar roll income represents the price differential, or "price drop," between the TBA price for current month settlement versus the</w:t>
      </w:r>
      <w:r>
        <w:rPr>
          <w:rFonts w:ascii="Times New Roman" w:cs="Times New Roman" w:eastAsia="Times New Roman" w:hAnsi="Times New Roman"/>
          <w:sz w:val="14"/>
          <w:szCs w:val="14"/>
          <w:i w:val="1"/>
          <w:iCs w:val="1"/>
          <w:color w:val="auto"/>
        </w:rPr>
        <w:t xml:space="preserve"> </w:t>
      </w:r>
      <w:r>
        <w:rPr>
          <w:rFonts w:ascii="Times New Roman" w:cs="Times New Roman" w:eastAsia="Times New Roman" w:hAnsi="Times New Roman"/>
          <w:sz w:val="14"/>
          <w:szCs w:val="14"/>
          <w:color w:val="auto"/>
        </w:rPr>
        <w:t>TBA price for forward month settlement and is the economic equivalent to interest income on the underlying Agency securities, less an implied funding cost, over the forward settlement period. Amount is net of TBAs used for hedging purposes. Amount excludes TBA mark-to-market adjustments.</w:t>
      </w:r>
    </w:p>
    <w:p>
      <w:pPr>
        <w:spacing w:after="0" w:line="1"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combined asset yield is calculated on a weighted average basis based on our average investment and TBA balances outstanding during the period and their respective yields.</w:t>
      </w:r>
    </w:p>
    <w:p>
      <w:pPr>
        <w:spacing w:after="0" w:line="14"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Source: Bloomberg</w:t>
      </w:r>
    </w:p>
    <w:p>
      <w:pPr>
        <w:spacing w:after="0" w:line="155"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The principal elements impacting our economic interest income are the size of our average investment portfolio and the yield on our securities. The following table includes a summary of the estimated impact of each of these elements on our economic interest income for the three months ended March 31, 2022 compared to the prior year period (in millions):</w:t>
      </w:r>
    </w:p>
    <w:p>
      <w:pPr>
        <w:spacing w:after="0" w:line="156"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Impact of Changes in the Principal Elements Impacting Economic Interest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33655</wp:posOffset>
            </wp:positionV>
            <wp:extent cx="7106285"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06285" cy="8255"/>
                    </a:xfrm>
                    <a:prstGeom prst="rect">
                      <a:avLst/>
                    </a:prstGeom>
                    <a:noFill/>
                  </pic:spPr>
                </pic:pic>
              </a:graphicData>
            </a:graphic>
          </wp:anchor>
        </w:drawing>
      </w:r>
    </w:p>
    <w:p>
      <w:pPr>
        <w:spacing w:after="0" w:line="35"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4"/>
          <w:szCs w:val="14"/>
          <w:b w:val="1"/>
          <w:bCs w:val="1"/>
          <w:color w:val="auto"/>
        </w:rPr>
        <w:t>Three Months Ended March 31, 2022 vs. March 31, 2021</w:t>
      </w:r>
    </w:p>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210"/>
        </w:trPr>
        <w:tc>
          <w:tcPr>
            <w:tcW w:w="660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2680" w:type="dxa"/>
            <w:vAlign w:val="bottom"/>
            <w:tcBorders>
              <w:top w:val="single" w:sz="8" w:color="auto"/>
              <w:bottom w:val="single" w:sz="8" w:color="auto"/>
            </w:tcBorders>
            <w:gridSpan w:val="4"/>
          </w:tcPr>
          <w:p>
            <w:pPr>
              <w:ind w:left="400"/>
              <w:spacing w:after="0"/>
              <w:rPr>
                <w:sz w:val="20"/>
                <w:szCs w:val="20"/>
                <w:color w:val="auto"/>
              </w:rPr>
            </w:pPr>
            <w:r>
              <w:rPr>
                <w:rFonts w:ascii="Times New Roman" w:cs="Times New Roman" w:eastAsia="Times New Roman" w:hAnsi="Times New Roman"/>
                <w:sz w:val="14"/>
                <w:szCs w:val="14"/>
                <w:b w:val="1"/>
                <w:bCs w:val="1"/>
                <w:color w:val="auto"/>
              </w:rPr>
              <w:t>Due to Change in Average</w:t>
            </w:r>
          </w:p>
        </w:tc>
      </w:tr>
      <w:tr>
        <w:trPr>
          <w:trHeight w:val="137"/>
        </w:trPr>
        <w:tc>
          <w:tcPr>
            <w:tcW w:w="66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380" w:type="dxa"/>
            <w:vAlign w:val="bottom"/>
            <w:gridSpan w:val="2"/>
          </w:tcPr>
          <w:p>
            <w:pPr>
              <w:jc w:val="center"/>
              <w:ind w:right="280"/>
              <w:spacing w:after="0" w:line="137" w:lineRule="exact"/>
              <w:rPr>
                <w:sz w:val="20"/>
                <w:szCs w:val="20"/>
                <w:color w:val="auto"/>
              </w:rPr>
            </w:pPr>
            <w:r>
              <w:rPr>
                <w:rFonts w:ascii="Times New Roman" w:cs="Times New Roman" w:eastAsia="Times New Roman" w:hAnsi="Times New Roman"/>
                <w:sz w:val="14"/>
                <w:szCs w:val="14"/>
                <w:b w:val="1"/>
                <w:bCs w:val="1"/>
                <w:color w:val="auto"/>
              </w:rPr>
              <w:t>Total Increase /</w:t>
            </w:r>
          </w:p>
        </w:tc>
        <w:tc>
          <w:tcPr>
            <w:tcW w:w="260" w:type="dxa"/>
            <w:vAlign w:val="bottom"/>
          </w:tcPr>
          <w:p>
            <w:pPr>
              <w:spacing w:after="0"/>
              <w:rPr>
                <w:sz w:val="11"/>
                <w:szCs w:val="11"/>
                <w:color w:val="auto"/>
              </w:rPr>
            </w:pPr>
          </w:p>
        </w:tc>
        <w:tc>
          <w:tcPr>
            <w:tcW w:w="1240" w:type="dxa"/>
            <w:vAlign w:val="bottom"/>
            <w:gridSpan w:val="2"/>
          </w:tcPr>
          <w:p>
            <w:pPr>
              <w:jc w:val="center"/>
              <w:ind w:right="360"/>
              <w:spacing w:after="0" w:line="137" w:lineRule="exact"/>
              <w:rPr>
                <w:sz w:val="20"/>
                <w:szCs w:val="20"/>
                <w:color w:val="auto"/>
              </w:rPr>
            </w:pPr>
            <w:r>
              <w:rPr>
                <w:rFonts w:ascii="Times New Roman" w:cs="Times New Roman" w:eastAsia="Times New Roman" w:hAnsi="Times New Roman"/>
                <w:sz w:val="14"/>
                <w:szCs w:val="14"/>
                <w:b w:val="1"/>
                <w:bCs w:val="1"/>
                <w:color w:val="auto"/>
              </w:rPr>
              <w:t>Portfolio</w:t>
            </w:r>
          </w:p>
        </w:tc>
        <w:tc>
          <w:tcPr>
            <w:tcW w:w="320" w:type="dxa"/>
            <w:vAlign w:val="bottom"/>
          </w:tcPr>
          <w:p>
            <w:pPr>
              <w:spacing w:after="0"/>
              <w:rPr>
                <w:sz w:val="11"/>
                <w:szCs w:val="11"/>
                <w:color w:val="auto"/>
              </w:rPr>
            </w:pPr>
          </w:p>
        </w:tc>
        <w:tc>
          <w:tcPr>
            <w:tcW w:w="1120" w:type="dxa"/>
            <w:vAlign w:val="bottom"/>
          </w:tcPr>
          <w:p>
            <w:pPr>
              <w:ind w:left="240"/>
              <w:spacing w:after="0" w:line="137" w:lineRule="exact"/>
              <w:rPr>
                <w:sz w:val="20"/>
                <w:szCs w:val="20"/>
                <w:color w:val="auto"/>
              </w:rPr>
            </w:pPr>
            <w:r>
              <w:rPr>
                <w:rFonts w:ascii="Times New Roman" w:cs="Times New Roman" w:eastAsia="Times New Roman" w:hAnsi="Times New Roman"/>
                <w:sz w:val="14"/>
                <w:szCs w:val="14"/>
                <w:b w:val="1"/>
                <w:bCs w:val="1"/>
                <w:color w:val="auto"/>
              </w:rPr>
              <w:t>Asset</w:t>
            </w:r>
          </w:p>
        </w:tc>
      </w:tr>
      <w:tr>
        <w:trPr>
          <w:trHeight w:val="195"/>
        </w:trPr>
        <w:tc>
          <w:tcPr>
            <w:tcW w:w="660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380" w:type="dxa"/>
            <w:vAlign w:val="bottom"/>
            <w:gridSpan w:val="2"/>
          </w:tcPr>
          <w:p>
            <w:pPr>
              <w:jc w:val="center"/>
              <w:ind w:right="260"/>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60" w:type="dxa"/>
            <w:vAlign w:val="bottom"/>
          </w:tcPr>
          <w:p>
            <w:pPr>
              <w:spacing w:after="0"/>
              <w:rPr>
                <w:sz w:val="16"/>
                <w:szCs w:val="16"/>
                <w:color w:val="auto"/>
              </w:rPr>
            </w:pPr>
          </w:p>
        </w:tc>
        <w:tc>
          <w:tcPr>
            <w:tcW w:w="124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w w:val="99"/>
              </w:rPr>
              <w:t>Size</w:t>
            </w:r>
          </w:p>
        </w:tc>
        <w:tc>
          <w:tcPr>
            <w:tcW w:w="320" w:type="dxa"/>
            <w:vAlign w:val="bottom"/>
          </w:tcPr>
          <w:p>
            <w:pPr>
              <w:spacing w:after="0"/>
              <w:rPr>
                <w:sz w:val="16"/>
                <w:szCs w:val="16"/>
                <w:color w:val="auto"/>
              </w:rPr>
            </w:pPr>
          </w:p>
        </w:tc>
        <w:tc>
          <w:tcPr>
            <w:tcW w:w="1120" w:type="dxa"/>
            <w:vAlign w:val="bottom"/>
          </w:tcPr>
          <w:p>
            <w:pPr>
              <w:ind w:left="240"/>
              <w:spacing w:after="0"/>
              <w:rPr>
                <w:sz w:val="20"/>
                <w:szCs w:val="20"/>
                <w:color w:val="auto"/>
              </w:rPr>
            </w:pPr>
            <w:r>
              <w:rPr>
                <w:rFonts w:ascii="Times New Roman" w:cs="Times New Roman" w:eastAsia="Times New Roman" w:hAnsi="Times New Roman"/>
                <w:sz w:val="14"/>
                <w:szCs w:val="14"/>
                <w:b w:val="1"/>
                <w:bCs w:val="1"/>
                <w:color w:val="auto"/>
              </w:rPr>
              <w:t>Yield</w:t>
            </w:r>
          </w:p>
        </w:tc>
      </w:tr>
      <w:tr>
        <w:trPr>
          <w:trHeight w:val="201"/>
        </w:trPr>
        <w:tc>
          <w:tcPr>
            <w:tcW w:w="66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Interest Income (GAAP measure)</w:t>
            </w:r>
          </w:p>
        </w:tc>
        <w:tc>
          <w:tcPr>
            <w:tcW w:w="12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(82)</w:t>
            </w:r>
          </w:p>
        </w:tc>
        <w:tc>
          <w:tcPr>
            <w:tcW w:w="12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1140" w:type="dxa"/>
            <w:vAlign w:val="bottom"/>
            <w:tcBorders>
              <w:top w:val="single" w:sz="8" w:color="auto"/>
            </w:tcBorders>
            <w:shd w:val="clear" w:color="auto" w:fill="CCEEFF"/>
          </w:tcPr>
          <w:p>
            <w:pPr>
              <w:jc w:val="center"/>
              <w:ind w:left="788"/>
              <w:spacing w:after="0"/>
              <w:rPr>
                <w:sz w:val="20"/>
                <w:szCs w:val="20"/>
                <w:color w:val="auto"/>
              </w:rPr>
            </w:pPr>
            <w:r>
              <w:rPr>
                <w:rFonts w:ascii="Times New Roman" w:cs="Times New Roman" w:eastAsia="Times New Roman" w:hAnsi="Times New Roman"/>
                <w:sz w:val="14"/>
                <w:szCs w:val="14"/>
                <w:color w:val="auto"/>
              </w:rPr>
              <w:t>(51)</w:t>
            </w:r>
          </w:p>
        </w:tc>
        <w:tc>
          <w:tcPr>
            <w:tcW w:w="1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Borders>
              <w:top w:val="single" w:sz="8" w:color="auto"/>
            </w:tcBorders>
            <w:shd w:val="clear" w:color="auto" w:fill="CCEEFF"/>
          </w:tcPr>
          <w:p>
            <w:pPr>
              <w:jc w:val="center"/>
              <w:ind w:left="768"/>
              <w:spacing w:after="0"/>
              <w:rPr>
                <w:sz w:val="20"/>
                <w:szCs w:val="20"/>
                <w:color w:val="auto"/>
              </w:rPr>
            </w:pPr>
            <w:r>
              <w:rPr>
                <w:rFonts w:ascii="Times New Roman" w:cs="Times New Roman" w:eastAsia="Times New Roman" w:hAnsi="Times New Roman"/>
                <w:sz w:val="14"/>
                <w:szCs w:val="14"/>
                <w:color w:val="auto"/>
              </w:rPr>
              <w:t>(31)</w:t>
            </w:r>
          </w:p>
        </w:tc>
      </w:tr>
      <w:tr>
        <w:trPr>
          <w:trHeight w:val="196"/>
        </w:trPr>
        <w:tc>
          <w:tcPr>
            <w:tcW w:w="672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Estimated "catch-up" premium amortization due to change in CPR forecast</w:t>
            </w:r>
          </w:p>
        </w:tc>
        <w:tc>
          <w:tcPr>
            <w:tcW w:w="160" w:type="dxa"/>
            <w:vAlign w:val="bottom"/>
          </w:tcPr>
          <w:p>
            <w:pPr>
              <w:spacing w:after="0"/>
              <w:rPr>
                <w:sz w:val="17"/>
                <w:szCs w:val="17"/>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54</w:t>
            </w:r>
          </w:p>
        </w:tc>
        <w:tc>
          <w:tcPr>
            <w:tcW w:w="12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240" w:type="dxa"/>
            <w:vAlign w:val="bottom"/>
            <w:gridSpan w:val="2"/>
          </w:tcPr>
          <w:p>
            <w:pPr>
              <w:jc w:val="center"/>
              <w:ind w:left="708"/>
              <w:spacing w:after="0"/>
              <w:rPr>
                <w:sz w:val="20"/>
                <w:szCs w:val="20"/>
                <w:color w:val="auto"/>
              </w:rPr>
            </w:pPr>
            <w:r>
              <w:rPr>
                <w:rFonts w:ascii="Times New Roman" w:cs="Times New Roman" w:eastAsia="Times New Roman" w:hAnsi="Times New Roman"/>
                <w:sz w:val="14"/>
                <w:szCs w:val="14"/>
                <w:color w:val="auto"/>
                <w:w w:val="99"/>
              </w:rPr>
              <w:t>—</w:t>
            </w:r>
          </w:p>
        </w:tc>
        <w:tc>
          <w:tcPr>
            <w:tcW w:w="320" w:type="dxa"/>
            <w:vAlign w:val="bottom"/>
          </w:tcPr>
          <w:p>
            <w:pPr>
              <w:spacing w:after="0"/>
              <w:rPr>
                <w:sz w:val="17"/>
                <w:szCs w:val="17"/>
                <w:color w:val="auto"/>
              </w:rPr>
            </w:pPr>
          </w:p>
        </w:tc>
        <w:tc>
          <w:tcPr>
            <w:tcW w:w="1120" w:type="dxa"/>
            <w:vAlign w:val="bottom"/>
          </w:tcPr>
          <w:p>
            <w:pPr>
              <w:jc w:val="center"/>
              <w:ind w:left="788"/>
              <w:spacing w:after="0"/>
              <w:rPr>
                <w:sz w:val="20"/>
                <w:szCs w:val="20"/>
                <w:color w:val="auto"/>
              </w:rPr>
            </w:pPr>
            <w:r>
              <w:rPr>
                <w:rFonts w:ascii="Times New Roman" w:cs="Times New Roman" w:eastAsia="Times New Roman" w:hAnsi="Times New Roman"/>
                <w:sz w:val="14"/>
                <w:szCs w:val="14"/>
                <w:color w:val="auto"/>
                <w:w w:val="99"/>
              </w:rPr>
              <w:t>54</w:t>
            </w:r>
          </w:p>
        </w:tc>
      </w:tr>
      <w:tr>
        <w:trPr>
          <w:trHeight w:val="203"/>
        </w:trPr>
        <w:tc>
          <w:tcPr>
            <w:tcW w:w="672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Interest income, excluding "catch-up" premium amortization</w:t>
            </w:r>
          </w:p>
        </w:tc>
        <w:tc>
          <w:tcPr>
            <w:tcW w:w="160" w:type="dxa"/>
            <w:vAlign w:val="bottom"/>
            <w:tcBorders>
              <w:top w:val="single" w:sz="8" w:color="auto"/>
            </w:tcBorders>
            <w:shd w:val="clear" w:color="auto" w:fill="CCEEFF"/>
          </w:tcPr>
          <w:p>
            <w:pPr>
              <w:spacing w:after="0"/>
              <w:rPr>
                <w:sz w:val="17"/>
                <w:szCs w:val="17"/>
                <w:color w:val="auto"/>
              </w:rPr>
            </w:pPr>
          </w:p>
        </w:tc>
        <w:tc>
          <w:tcPr>
            <w:tcW w:w="12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(28)</w:t>
            </w:r>
          </w:p>
        </w:tc>
        <w:tc>
          <w:tcPr>
            <w:tcW w:w="120" w:type="dxa"/>
            <w:vAlign w:val="bottom"/>
            <w:tcBorders>
              <w:top w:val="single" w:sz="8" w:color="CCEEFF"/>
            </w:tcBorders>
            <w:shd w:val="clear" w:color="auto" w:fill="CCEEFF"/>
          </w:tcPr>
          <w:p>
            <w:pPr>
              <w:spacing w:after="0"/>
              <w:rPr>
                <w:sz w:val="17"/>
                <w:szCs w:val="17"/>
                <w:color w:val="auto"/>
              </w:rPr>
            </w:pPr>
          </w:p>
        </w:tc>
        <w:tc>
          <w:tcPr>
            <w:tcW w:w="260" w:type="dxa"/>
            <w:vAlign w:val="bottom"/>
            <w:tcBorders>
              <w:top w:val="single" w:sz="8" w:color="auto"/>
            </w:tcBorders>
            <w:shd w:val="clear" w:color="auto" w:fill="CCEEFF"/>
          </w:tcPr>
          <w:p>
            <w:pPr>
              <w:spacing w:after="0"/>
              <w:rPr>
                <w:sz w:val="17"/>
                <w:szCs w:val="17"/>
                <w:color w:val="auto"/>
              </w:rPr>
            </w:pPr>
          </w:p>
        </w:tc>
        <w:tc>
          <w:tcPr>
            <w:tcW w:w="1140" w:type="dxa"/>
            <w:vAlign w:val="bottom"/>
            <w:tcBorders>
              <w:top w:val="single" w:sz="8" w:color="auto"/>
            </w:tcBorders>
            <w:shd w:val="clear" w:color="auto" w:fill="CCEEFF"/>
          </w:tcPr>
          <w:p>
            <w:pPr>
              <w:jc w:val="center"/>
              <w:ind w:left="788"/>
              <w:spacing w:after="0"/>
              <w:rPr>
                <w:sz w:val="20"/>
                <w:szCs w:val="20"/>
                <w:color w:val="auto"/>
              </w:rPr>
            </w:pPr>
            <w:r>
              <w:rPr>
                <w:rFonts w:ascii="Times New Roman" w:cs="Times New Roman" w:eastAsia="Times New Roman" w:hAnsi="Times New Roman"/>
                <w:sz w:val="14"/>
                <w:szCs w:val="14"/>
                <w:color w:val="auto"/>
              </w:rPr>
              <w:t>(51)</w:t>
            </w:r>
          </w:p>
        </w:tc>
        <w:tc>
          <w:tcPr>
            <w:tcW w:w="1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jc w:val="center"/>
              <w:ind w:left="788"/>
              <w:spacing w:after="0"/>
              <w:rPr>
                <w:sz w:val="20"/>
                <w:szCs w:val="20"/>
                <w:color w:val="auto"/>
              </w:rPr>
            </w:pPr>
            <w:r>
              <w:rPr>
                <w:rFonts w:ascii="Times New Roman" w:cs="Times New Roman" w:eastAsia="Times New Roman" w:hAnsi="Times New Roman"/>
                <w:sz w:val="14"/>
                <w:szCs w:val="14"/>
                <w:color w:val="auto"/>
                <w:w w:val="99"/>
              </w:rPr>
              <w:t>23</w:t>
            </w:r>
          </w:p>
        </w:tc>
      </w:tr>
      <w:tr>
        <w:trPr>
          <w:trHeight w:val="196"/>
        </w:trPr>
        <w:tc>
          <w:tcPr>
            <w:tcW w:w="672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4"/>
                <w:szCs w:val="14"/>
                <w:color w:val="auto"/>
              </w:rPr>
              <w:t>TBA dollar roll income - implied interest income</w:t>
            </w:r>
          </w:p>
        </w:tc>
        <w:tc>
          <w:tcPr>
            <w:tcW w:w="16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7</w:t>
            </w:r>
          </w:p>
        </w:tc>
        <w:tc>
          <w:tcPr>
            <w:tcW w:w="12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center"/>
              <w:ind w:left="788"/>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1120" w:type="dxa"/>
            <w:vAlign w:val="bottom"/>
            <w:tcBorders>
              <w:bottom w:val="single" w:sz="8" w:color="auto"/>
            </w:tcBorders>
          </w:tcPr>
          <w:p>
            <w:pPr>
              <w:jc w:val="center"/>
              <w:ind w:left="788"/>
              <w:spacing w:after="0"/>
              <w:rPr>
                <w:sz w:val="20"/>
                <w:szCs w:val="20"/>
                <w:color w:val="auto"/>
              </w:rPr>
            </w:pPr>
            <w:r>
              <w:rPr>
                <w:rFonts w:ascii="Times New Roman" w:cs="Times New Roman" w:eastAsia="Times New Roman" w:hAnsi="Times New Roman"/>
                <w:sz w:val="14"/>
                <w:szCs w:val="14"/>
                <w:color w:val="auto"/>
                <w:w w:val="99"/>
              </w:rPr>
              <w:t>37</w:t>
            </w:r>
          </w:p>
        </w:tc>
      </w:tr>
      <w:tr>
        <w:trPr>
          <w:trHeight w:val="228"/>
        </w:trPr>
        <w:tc>
          <w:tcPr>
            <w:tcW w:w="67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Economic interest income, excluding "catch-up" amortization (non-GAAP measure)</w:t>
            </w:r>
          </w:p>
        </w:tc>
        <w:tc>
          <w:tcPr>
            <w:tcW w:w="16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w:t>
            </w:r>
          </w:p>
        </w:tc>
        <w:tc>
          <w:tcPr>
            <w:tcW w:w="120" w:type="dxa"/>
            <w:vAlign w:val="bottom"/>
            <w:tcBorders>
              <w:bottom w:val="single" w:sz="8" w:color="CCEEFF"/>
            </w:tcBorders>
            <w:shd w:val="clear" w:color="auto" w:fill="CCEEFF"/>
          </w:tcPr>
          <w:p>
            <w:pPr>
              <w:spacing w:after="0"/>
              <w:rPr>
                <w:sz w:val="19"/>
                <w:szCs w:val="19"/>
                <w:color w:val="auto"/>
              </w:rPr>
            </w:pPr>
          </w:p>
        </w:tc>
        <w:tc>
          <w:tcPr>
            <w:tcW w:w="260" w:type="dxa"/>
            <w:vAlign w:val="bottom"/>
            <w:tcBorders>
              <w:bottom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w w:val="85"/>
              </w:rPr>
              <w:t>$</w:t>
            </w:r>
          </w:p>
        </w:tc>
        <w:tc>
          <w:tcPr>
            <w:tcW w:w="1140" w:type="dxa"/>
            <w:vAlign w:val="bottom"/>
            <w:tcBorders>
              <w:bottom w:val="single" w:sz="8" w:color="auto"/>
            </w:tcBorders>
            <w:shd w:val="clear" w:color="auto" w:fill="CCEEFF"/>
          </w:tcPr>
          <w:p>
            <w:pPr>
              <w:jc w:val="center"/>
              <w:ind w:left="788"/>
              <w:spacing w:after="0"/>
              <w:rPr>
                <w:sz w:val="20"/>
                <w:szCs w:val="20"/>
                <w:color w:val="auto"/>
              </w:rPr>
            </w:pPr>
            <w:r>
              <w:rPr>
                <w:rFonts w:ascii="Times New Roman" w:cs="Times New Roman" w:eastAsia="Times New Roman" w:hAnsi="Times New Roman"/>
                <w:sz w:val="14"/>
                <w:szCs w:val="14"/>
                <w:color w:val="auto"/>
              </w:rPr>
              <w:t>(81)</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1120" w:type="dxa"/>
            <w:vAlign w:val="bottom"/>
            <w:tcBorders>
              <w:bottom w:val="single" w:sz="8" w:color="auto"/>
            </w:tcBorders>
            <w:shd w:val="clear" w:color="auto" w:fill="CCEEFF"/>
          </w:tcPr>
          <w:p>
            <w:pPr>
              <w:jc w:val="center"/>
              <w:ind w:left="788"/>
              <w:spacing w:after="0"/>
              <w:rPr>
                <w:sz w:val="20"/>
                <w:szCs w:val="20"/>
                <w:color w:val="auto"/>
              </w:rPr>
            </w:pPr>
            <w:r>
              <w:rPr>
                <w:rFonts w:ascii="Times New Roman" w:cs="Times New Roman" w:eastAsia="Times New Roman" w:hAnsi="Times New Roman"/>
                <w:sz w:val="14"/>
                <w:szCs w:val="14"/>
                <w:color w:val="auto"/>
                <w:w w:val="99"/>
              </w:rPr>
              <w:t>60</w:t>
            </w:r>
          </w:p>
        </w:tc>
      </w:tr>
      <w:tr>
        <w:trPr>
          <w:trHeight w:val="20"/>
        </w:trPr>
        <w:tc>
          <w:tcPr>
            <w:tcW w:w="66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r>
    </w:tbl>
    <w:p>
      <w:pPr>
        <w:spacing w:after="0" w:line="252"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Our average investment portfolio, inclusive of TBAs (at cost), decreased 15% for the three months ended March 31, 2022, compared to the prior year period, primarily due to a decline in stockholders' equity. The average yield on our investment portfolio, including TBA implied asset yields and excluding "catch-up" premium amortization, increased 26 basis points largely due to changes in asset composition and slower CPR projections.</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6" w:right="339" w:bottom="1440" w:gutter="0" w:footer="0" w:header="0"/>
          <w:type w:val="continuous"/>
        </w:sectPr>
      </w:pPr>
    </w:p>
    <w:bookmarkStart w:id="33" w:name="page34"/>
    <w:bookmarkEnd w:id="33"/>
    <w:p>
      <w:pPr>
        <w:spacing w:after="0"/>
        <w:rPr>
          <w:sz w:val="20"/>
          <w:szCs w:val="20"/>
          <w:color w:val="auto"/>
        </w:rPr>
      </w:pPr>
      <w:r>
        <w:rPr>
          <w:rFonts w:ascii="Times New Roman" w:cs="Times New Roman" w:eastAsia="Times New Roman" w:hAnsi="Times New Roman"/>
          <w:sz w:val="18"/>
          <w:szCs w:val="18"/>
          <w:b w:val="1"/>
          <w:bCs w:val="1"/>
          <w:i w:val="1"/>
          <w:iCs w:val="1"/>
          <w:color w:val="auto"/>
        </w:rPr>
        <w:t>Leverage</w:t>
      </w:r>
    </w:p>
    <w:p>
      <w:pPr>
        <w:spacing w:after="0" w:line="175"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Our primary measure of leverage is our tangible net book value "at risk" leverage ratio, which is measured as the sum of our repurchase agreements and other debt used to fund our investment securities and net TBA and forward settling securities position (at cost) (together referred to as "mortgage borrowings") and our net receivable/payable for unsettled investment securities, divided by our total stockholders' equity adjusted to exclude goodwill.</w:t>
      </w:r>
    </w:p>
    <w:p>
      <w:pPr>
        <w:spacing w:after="0" w:line="122"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 xml:space="preserve">We include our net TBA position in our measure of leverage because a forward contract to acquire Agency RMBS in the TBA market carries similar risks to Agency RMBS purchased in the cash market and funded with on-balance sheet liabilities. Similarly, a TBA contract for the forward sale of Agency securities has substantially the same effect as selling the underlying Agency RMBS and reducing our on-balance sheet funding commitments. (Refer to </w:t>
      </w:r>
      <w:r>
        <w:rPr>
          <w:rFonts w:ascii="Times New Roman" w:cs="Times New Roman" w:eastAsia="Times New Roman" w:hAnsi="Times New Roman"/>
          <w:sz w:val="18"/>
          <w:szCs w:val="18"/>
          <w:i w:val="1"/>
          <w:iCs w:val="1"/>
          <w:color w:val="auto"/>
        </w:rPr>
        <w:t xml:space="preserve">Liquidity and Capital Resources </w:t>
      </w:r>
      <w:r>
        <w:rPr>
          <w:rFonts w:ascii="Times New Roman" w:cs="Times New Roman" w:eastAsia="Times New Roman" w:hAnsi="Times New Roman"/>
          <w:sz w:val="18"/>
          <w:szCs w:val="18"/>
          <w:color w:val="auto"/>
        </w:rPr>
        <w:t>for further discussion of TBA securities and dollar roll transactions). Repurchase agreements used to fund short-term</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investments in U.S. Treasury securities ("U.S. Treasury repo") are excluded from our measure of leverage due to the temporary and highly liquid nature of these investments. The following table presents a summary of our leverage ratios for the periods listed (dollars in millions):</w:t>
      </w:r>
    </w:p>
    <w:p>
      <w:pPr>
        <w:spacing w:after="0" w:line="97" w:lineRule="exact"/>
        <w:rPr>
          <w:sz w:val="20"/>
          <w:szCs w:val="20"/>
          <w:color w:val="auto"/>
        </w:rPr>
      </w:pPr>
    </w:p>
    <w:tbl>
      <w:tblPr>
        <w:tblLayout w:type="fixed"/>
        <w:tblInd w:w="60" w:type="dxa"/>
        <w:tblCellMar>
          <w:top w:w="0" w:type="dxa"/>
          <w:left w:w="0" w:type="dxa"/>
          <w:bottom w:w="0" w:type="dxa"/>
          <w:right w:w="0" w:type="dxa"/>
        </w:tblCellMar>
      </w:tblPr>
      <w:tr>
        <w:trPr>
          <w:trHeight w:val="149"/>
        </w:trPr>
        <w:tc>
          <w:tcPr>
            <w:tcW w:w="3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960" w:type="dxa"/>
            <w:vAlign w:val="bottom"/>
            <w:gridSpan w:val="6"/>
          </w:tcPr>
          <w:p>
            <w:pPr>
              <w:jc w:val="center"/>
              <w:ind w:left="472"/>
              <w:spacing w:after="0"/>
              <w:rPr>
                <w:sz w:val="20"/>
                <w:szCs w:val="20"/>
                <w:color w:val="auto"/>
              </w:rPr>
            </w:pPr>
            <w:r>
              <w:rPr>
                <w:rFonts w:ascii="Times New Roman" w:cs="Times New Roman" w:eastAsia="Times New Roman" w:hAnsi="Times New Roman"/>
                <w:sz w:val="13"/>
                <w:szCs w:val="13"/>
                <w:b w:val="1"/>
                <w:bCs w:val="1"/>
                <w:color w:val="auto"/>
                <w:w w:val="95"/>
              </w:rPr>
              <w:t>Repurchase Agreements</w:t>
            </w:r>
          </w:p>
        </w:tc>
        <w:tc>
          <w:tcPr>
            <w:tcW w:w="7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700" w:type="dxa"/>
            <w:vAlign w:val="bottom"/>
            <w:gridSpan w:val="4"/>
          </w:tcPr>
          <w:p>
            <w:pPr>
              <w:jc w:val="right"/>
              <w:ind w:right="392"/>
              <w:spacing w:after="0"/>
              <w:rPr>
                <w:sz w:val="20"/>
                <w:szCs w:val="20"/>
                <w:color w:val="auto"/>
              </w:rPr>
            </w:pPr>
            <w:r>
              <w:rPr>
                <w:rFonts w:ascii="Times New Roman" w:cs="Times New Roman" w:eastAsia="Times New Roman" w:hAnsi="Times New Roman"/>
                <w:sz w:val="13"/>
                <w:szCs w:val="13"/>
                <w:b w:val="1"/>
                <w:bCs w:val="1"/>
                <w:color w:val="auto"/>
              </w:rPr>
              <w:t>Net TBA Position</w:t>
            </w:r>
          </w:p>
        </w:tc>
        <w:tc>
          <w:tcPr>
            <w:tcW w:w="100" w:type="dxa"/>
            <w:vAlign w:val="bottom"/>
          </w:tcPr>
          <w:p>
            <w:pPr>
              <w:spacing w:after="0"/>
              <w:rPr>
                <w:sz w:val="12"/>
                <w:szCs w:val="12"/>
                <w:color w:val="auto"/>
              </w:rPr>
            </w:pPr>
          </w:p>
        </w:tc>
        <w:tc>
          <w:tcPr>
            <w:tcW w:w="13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300" w:type="dxa"/>
            <w:vAlign w:val="bottom"/>
            <w:vMerge w:val="restart"/>
          </w:tcPr>
          <w:p>
            <w:pPr>
              <w:jc w:val="center"/>
              <w:spacing w:after="0"/>
              <w:rPr>
                <w:sz w:val="20"/>
                <w:szCs w:val="20"/>
                <w:color w:val="auto"/>
              </w:rPr>
            </w:pPr>
            <w:r>
              <w:rPr>
                <w:rFonts w:ascii="Times New Roman" w:cs="Times New Roman" w:eastAsia="Times New Roman" w:hAnsi="Times New Roman"/>
                <w:sz w:val="13"/>
                <w:szCs w:val="13"/>
                <w:b w:val="1"/>
                <w:bCs w:val="1"/>
                <w:color w:val="auto"/>
                <w:w w:val="96"/>
              </w:rPr>
              <w:t>Tangible Net Book</w:t>
            </w:r>
          </w:p>
        </w:tc>
        <w:tc>
          <w:tcPr>
            <w:tcW w:w="0" w:type="dxa"/>
            <w:vAlign w:val="bottom"/>
          </w:tcPr>
          <w:p>
            <w:pPr>
              <w:spacing w:after="0"/>
              <w:rPr>
                <w:sz w:val="1"/>
                <w:szCs w:val="1"/>
                <w:color w:val="auto"/>
              </w:rPr>
            </w:pPr>
          </w:p>
        </w:tc>
      </w:tr>
      <w:tr>
        <w:trPr>
          <w:trHeight w:val="122"/>
        </w:trPr>
        <w:tc>
          <w:tcPr>
            <w:tcW w:w="3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100" w:type="dxa"/>
            <w:vAlign w:val="bottom"/>
            <w:gridSpan w:val="4"/>
          </w:tcPr>
          <w:p>
            <w:pPr>
              <w:jc w:val="center"/>
              <w:spacing w:after="0" w:line="122" w:lineRule="exact"/>
              <w:rPr>
                <w:sz w:val="20"/>
                <w:szCs w:val="20"/>
                <w:color w:val="auto"/>
              </w:rPr>
            </w:pPr>
            <w:r>
              <w:rPr>
                <w:rFonts w:ascii="Times New Roman" w:cs="Times New Roman" w:eastAsia="Times New Roman" w:hAnsi="Times New Roman"/>
                <w:sz w:val="11"/>
                <w:szCs w:val="11"/>
                <w:b w:val="1"/>
                <w:bCs w:val="1"/>
                <w:color w:val="auto"/>
              </w:rPr>
              <w:t xml:space="preserve">and Other Debt </w:t>
            </w:r>
            <w:r>
              <w:rPr>
                <w:rFonts w:ascii="Times New Roman" w:cs="Times New Roman" w:eastAsia="Times New Roman" w:hAnsi="Times New Roman"/>
                <w:sz w:val="14"/>
                <w:szCs w:val="14"/>
                <w:b w:val="1"/>
                <w:bCs w:val="1"/>
                <w:color w:val="auto"/>
                <w:vertAlign w:val="superscript"/>
              </w:rPr>
              <w:t>1</w:t>
            </w:r>
          </w:p>
        </w:tc>
        <w:tc>
          <w:tcPr>
            <w:tcW w:w="160" w:type="dxa"/>
            <w:vAlign w:val="bottom"/>
          </w:tcPr>
          <w:p>
            <w:pPr>
              <w:spacing w:after="0"/>
              <w:rPr>
                <w:sz w:val="10"/>
                <w:szCs w:val="10"/>
                <w:color w:val="auto"/>
              </w:rPr>
            </w:pPr>
          </w:p>
        </w:tc>
        <w:tc>
          <w:tcPr>
            <w:tcW w:w="7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1700" w:type="dxa"/>
            <w:vAlign w:val="bottom"/>
            <w:gridSpan w:val="4"/>
          </w:tcPr>
          <w:p>
            <w:pPr>
              <w:jc w:val="right"/>
              <w:ind w:right="472"/>
              <w:spacing w:after="0" w:line="122" w:lineRule="exact"/>
              <w:rPr>
                <w:sz w:val="20"/>
                <w:szCs w:val="20"/>
                <w:color w:val="auto"/>
              </w:rPr>
            </w:pPr>
            <w:r>
              <w:rPr>
                <w:rFonts w:ascii="Times New Roman" w:cs="Times New Roman" w:eastAsia="Times New Roman" w:hAnsi="Times New Roman"/>
                <w:sz w:val="11"/>
                <w:szCs w:val="11"/>
                <w:b w:val="1"/>
                <w:bCs w:val="1"/>
                <w:color w:val="auto"/>
              </w:rPr>
              <w:t xml:space="preserve">Long/(Short) </w:t>
            </w:r>
            <w:r>
              <w:rPr>
                <w:rFonts w:ascii="Times New Roman" w:cs="Times New Roman" w:eastAsia="Times New Roman" w:hAnsi="Times New Roman"/>
                <w:sz w:val="14"/>
                <w:szCs w:val="14"/>
                <w:b w:val="1"/>
                <w:bCs w:val="1"/>
                <w:color w:val="auto"/>
                <w:vertAlign w:val="superscript"/>
              </w:rPr>
              <w:t>2</w:t>
            </w:r>
          </w:p>
        </w:tc>
        <w:tc>
          <w:tcPr>
            <w:tcW w:w="100" w:type="dxa"/>
            <w:vAlign w:val="bottom"/>
          </w:tcPr>
          <w:p>
            <w:pPr>
              <w:spacing w:after="0"/>
              <w:rPr>
                <w:sz w:val="10"/>
                <w:szCs w:val="10"/>
                <w:color w:val="auto"/>
              </w:rPr>
            </w:pPr>
          </w:p>
        </w:tc>
        <w:tc>
          <w:tcPr>
            <w:tcW w:w="13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30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68"/>
        </w:trPr>
        <w:tc>
          <w:tcPr>
            <w:tcW w:w="3460" w:type="dxa"/>
            <w:vAlign w:val="bottom"/>
          </w:tcPr>
          <w:p>
            <w:pPr>
              <w:spacing w:after="0"/>
              <w:rPr>
                <w:sz w:val="5"/>
                <w:szCs w:val="5"/>
                <w:color w:val="auto"/>
              </w:rPr>
            </w:pPr>
          </w:p>
        </w:tc>
        <w:tc>
          <w:tcPr>
            <w:tcW w:w="100" w:type="dxa"/>
            <w:vAlign w:val="bottom"/>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12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20" w:type="dxa"/>
            <w:vAlign w:val="bottom"/>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1400" w:type="dxa"/>
            <w:vAlign w:val="bottom"/>
            <w:gridSpan w:val="2"/>
            <w:vMerge w:val="restart"/>
          </w:tcPr>
          <w:p>
            <w:pPr>
              <w:jc w:val="center"/>
              <w:ind w:right="120"/>
              <w:spacing w:after="0" w:line="108" w:lineRule="exact"/>
              <w:rPr>
                <w:sz w:val="20"/>
                <w:szCs w:val="20"/>
                <w:color w:val="auto"/>
              </w:rPr>
            </w:pPr>
            <w:r>
              <w:rPr>
                <w:rFonts w:ascii="Times New Roman" w:cs="Times New Roman" w:eastAsia="Times New Roman" w:hAnsi="Times New Roman"/>
                <w:sz w:val="12"/>
                <w:szCs w:val="12"/>
                <w:b w:val="1"/>
                <w:bCs w:val="1"/>
                <w:color w:val="auto"/>
              </w:rPr>
              <w:t>Average Tangible Net</w:t>
            </w:r>
          </w:p>
        </w:tc>
        <w:tc>
          <w:tcPr>
            <w:tcW w:w="1300" w:type="dxa"/>
            <w:vAlign w:val="bottom"/>
            <w:vMerge w:val="restart"/>
          </w:tcPr>
          <w:p>
            <w:pPr>
              <w:jc w:val="center"/>
              <w:spacing w:after="0" w:line="108" w:lineRule="exact"/>
              <w:rPr>
                <w:sz w:val="20"/>
                <w:szCs w:val="20"/>
                <w:color w:val="auto"/>
              </w:rPr>
            </w:pPr>
            <w:r>
              <w:rPr>
                <w:rFonts w:ascii="Times New Roman" w:cs="Times New Roman" w:eastAsia="Times New Roman" w:hAnsi="Times New Roman"/>
                <w:sz w:val="12"/>
                <w:szCs w:val="12"/>
                <w:b w:val="1"/>
                <w:bCs w:val="1"/>
                <w:color w:val="auto"/>
              </w:rPr>
              <w:t>Value "At Risk"</w:t>
            </w:r>
          </w:p>
        </w:tc>
        <w:tc>
          <w:tcPr>
            <w:tcW w:w="0" w:type="dxa"/>
            <w:vAlign w:val="bottom"/>
          </w:tcPr>
          <w:p>
            <w:pPr>
              <w:spacing w:after="0"/>
              <w:rPr>
                <w:sz w:val="1"/>
                <w:szCs w:val="1"/>
                <w:color w:val="auto"/>
              </w:rPr>
            </w:pPr>
          </w:p>
        </w:tc>
      </w:tr>
      <w:tr>
        <w:trPr>
          <w:trHeight w:val="21"/>
        </w:trPr>
        <w:tc>
          <w:tcPr>
            <w:tcW w:w="34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7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400" w:type="dxa"/>
            <w:vAlign w:val="bottom"/>
            <w:gridSpan w:val="2"/>
            <w:vMerge w:val="continue"/>
          </w:tcPr>
          <w:p>
            <w:pPr>
              <w:spacing w:after="0" w:line="20" w:lineRule="exact"/>
              <w:rPr>
                <w:sz w:val="1"/>
                <w:szCs w:val="1"/>
                <w:color w:val="auto"/>
              </w:rPr>
            </w:pPr>
          </w:p>
        </w:tc>
        <w:tc>
          <w:tcPr>
            <w:tcW w:w="1300" w:type="dxa"/>
            <w:vAlign w:val="bottom"/>
            <w:vMerge w:val="continue"/>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1"/>
        </w:trPr>
        <w:tc>
          <w:tcPr>
            <w:tcW w:w="3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3"/>
                <w:szCs w:val="13"/>
                <w:b w:val="1"/>
                <w:bCs w:val="1"/>
                <w:color w:val="auto"/>
                <w:w w:val="98"/>
              </w:rPr>
              <w:t>Average Daily</w:t>
            </w: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13"/>
                <w:szCs w:val="13"/>
                <w:b w:val="1"/>
                <w:bCs w:val="1"/>
                <w:color w:val="auto"/>
                <w:w w:val="96"/>
              </w:rPr>
              <w:t>Maximum</w:t>
            </w:r>
          </w:p>
        </w:tc>
        <w:tc>
          <w:tcPr>
            <w:tcW w:w="160" w:type="dxa"/>
            <w:vAlign w:val="bottom"/>
          </w:tcPr>
          <w:p>
            <w:pPr>
              <w:spacing w:after="0"/>
              <w:rPr>
                <w:sz w:val="10"/>
                <w:szCs w:val="10"/>
                <w:color w:val="auto"/>
              </w:rPr>
            </w:pPr>
          </w:p>
        </w:tc>
        <w:tc>
          <w:tcPr>
            <w:tcW w:w="820" w:type="dxa"/>
            <w:vAlign w:val="bottom"/>
            <w:gridSpan w:val="2"/>
            <w:vMerge w:val="restart"/>
          </w:tcPr>
          <w:p>
            <w:pPr>
              <w:jc w:val="center"/>
              <w:ind w:right="280"/>
              <w:spacing w:after="0"/>
              <w:rPr>
                <w:sz w:val="20"/>
                <w:szCs w:val="20"/>
                <w:color w:val="auto"/>
              </w:rPr>
            </w:pPr>
            <w:r>
              <w:rPr>
                <w:rFonts w:ascii="Times New Roman" w:cs="Times New Roman" w:eastAsia="Times New Roman" w:hAnsi="Times New Roman"/>
                <w:sz w:val="13"/>
                <w:szCs w:val="13"/>
                <w:b w:val="1"/>
                <w:bCs w:val="1"/>
                <w:color w:val="auto"/>
                <w:w w:val="93"/>
              </w:rPr>
              <w:t>Ending</w:t>
            </w:r>
          </w:p>
        </w:tc>
        <w:tc>
          <w:tcPr>
            <w:tcW w:w="960" w:type="dxa"/>
            <w:vAlign w:val="bottom"/>
            <w:gridSpan w:val="3"/>
            <w:vMerge w:val="restart"/>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w w:val="96"/>
              </w:rPr>
              <w:t>Average Daily</w:t>
            </w:r>
          </w:p>
        </w:tc>
        <w:tc>
          <w:tcPr>
            <w:tcW w:w="160" w:type="dxa"/>
            <w:vAlign w:val="bottom"/>
          </w:tcPr>
          <w:p>
            <w:pPr>
              <w:spacing w:after="0"/>
              <w:rPr>
                <w:sz w:val="10"/>
                <w:szCs w:val="10"/>
                <w:color w:val="auto"/>
              </w:rPr>
            </w:pPr>
          </w:p>
        </w:tc>
        <w:tc>
          <w:tcPr>
            <w:tcW w:w="720" w:type="dxa"/>
            <w:vAlign w:val="bottom"/>
            <w:vMerge w:val="restart"/>
          </w:tcPr>
          <w:p>
            <w:pPr>
              <w:jc w:val="right"/>
              <w:ind w:right="192"/>
              <w:spacing w:after="0"/>
              <w:rPr>
                <w:sz w:val="20"/>
                <w:szCs w:val="20"/>
                <w:color w:val="auto"/>
              </w:rPr>
            </w:pPr>
            <w:r>
              <w:rPr>
                <w:rFonts w:ascii="Times New Roman" w:cs="Times New Roman" w:eastAsia="Times New Roman" w:hAnsi="Times New Roman"/>
                <w:sz w:val="13"/>
                <w:szCs w:val="13"/>
                <w:b w:val="1"/>
                <w:bCs w:val="1"/>
                <w:color w:val="auto"/>
              </w:rPr>
              <w:t>Ending</w:t>
            </w:r>
          </w:p>
        </w:tc>
        <w:tc>
          <w:tcPr>
            <w:tcW w:w="100" w:type="dxa"/>
            <w:vAlign w:val="bottom"/>
          </w:tcPr>
          <w:p>
            <w:pPr>
              <w:spacing w:after="0"/>
              <w:rPr>
                <w:sz w:val="10"/>
                <w:szCs w:val="10"/>
                <w:color w:val="auto"/>
              </w:rPr>
            </w:pPr>
          </w:p>
        </w:tc>
        <w:tc>
          <w:tcPr>
            <w:tcW w:w="1400" w:type="dxa"/>
            <w:vAlign w:val="bottom"/>
            <w:gridSpan w:val="2"/>
          </w:tcPr>
          <w:p>
            <w:pPr>
              <w:jc w:val="center"/>
              <w:ind w:right="120"/>
              <w:spacing w:after="0" w:line="122" w:lineRule="exact"/>
              <w:rPr>
                <w:sz w:val="20"/>
                <w:szCs w:val="20"/>
                <w:color w:val="auto"/>
              </w:rPr>
            </w:pPr>
            <w:r>
              <w:rPr>
                <w:rFonts w:ascii="Times New Roman" w:cs="Times New Roman" w:eastAsia="Times New Roman" w:hAnsi="Times New Roman"/>
                <w:sz w:val="13"/>
                <w:szCs w:val="13"/>
                <w:b w:val="1"/>
                <w:bCs w:val="1"/>
                <w:color w:val="auto"/>
                <w:w w:val="92"/>
              </w:rPr>
              <w:t>Book Value</w:t>
            </w:r>
          </w:p>
        </w:tc>
        <w:tc>
          <w:tcPr>
            <w:tcW w:w="1300" w:type="dxa"/>
            <w:vAlign w:val="bottom"/>
          </w:tcPr>
          <w:p>
            <w:pPr>
              <w:jc w:val="center"/>
              <w:spacing w:after="0" w:line="122" w:lineRule="exact"/>
              <w:rPr>
                <w:sz w:val="20"/>
                <w:szCs w:val="20"/>
                <w:color w:val="auto"/>
              </w:rPr>
            </w:pPr>
            <w:r>
              <w:rPr>
                <w:rFonts w:ascii="Times New Roman" w:cs="Times New Roman" w:eastAsia="Times New Roman" w:hAnsi="Times New Roman"/>
                <w:sz w:val="13"/>
                <w:szCs w:val="13"/>
                <w:b w:val="1"/>
                <w:bCs w:val="1"/>
                <w:color w:val="auto"/>
                <w:w w:val="97"/>
              </w:rPr>
              <w:t>Leverage</w:t>
            </w:r>
          </w:p>
        </w:tc>
        <w:tc>
          <w:tcPr>
            <w:tcW w:w="0" w:type="dxa"/>
            <w:vAlign w:val="bottom"/>
          </w:tcPr>
          <w:p>
            <w:pPr>
              <w:spacing w:after="0"/>
              <w:rPr>
                <w:sz w:val="1"/>
                <w:szCs w:val="1"/>
                <w:color w:val="auto"/>
              </w:rPr>
            </w:pPr>
          </w:p>
        </w:tc>
      </w:tr>
      <w:tr>
        <w:trPr>
          <w:trHeight w:val="122"/>
        </w:trPr>
        <w:tc>
          <w:tcPr>
            <w:tcW w:w="34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2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60" w:type="dxa"/>
            <w:vAlign w:val="bottom"/>
            <w:gridSpan w:val="2"/>
            <w:vMerge w:val="continue"/>
          </w:tcPr>
          <w:p>
            <w:pPr>
              <w:spacing w:after="0"/>
              <w:rPr>
                <w:sz w:val="10"/>
                <w:szCs w:val="10"/>
                <w:color w:val="auto"/>
              </w:rPr>
            </w:pPr>
          </w:p>
        </w:tc>
        <w:tc>
          <w:tcPr>
            <w:tcW w:w="160" w:type="dxa"/>
            <w:vAlign w:val="bottom"/>
          </w:tcPr>
          <w:p>
            <w:pPr>
              <w:spacing w:after="0"/>
              <w:rPr>
                <w:sz w:val="10"/>
                <w:szCs w:val="10"/>
                <w:color w:val="auto"/>
              </w:rPr>
            </w:pPr>
          </w:p>
        </w:tc>
        <w:tc>
          <w:tcPr>
            <w:tcW w:w="820" w:type="dxa"/>
            <w:vAlign w:val="bottom"/>
            <w:gridSpan w:val="2"/>
            <w:vMerge w:val="continue"/>
          </w:tcPr>
          <w:p>
            <w:pPr>
              <w:spacing w:after="0"/>
              <w:rPr>
                <w:sz w:val="10"/>
                <w:szCs w:val="10"/>
                <w:color w:val="auto"/>
              </w:rPr>
            </w:pPr>
          </w:p>
        </w:tc>
        <w:tc>
          <w:tcPr>
            <w:tcW w:w="960" w:type="dxa"/>
            <w:vAlign w:val="bottom"/>
            <w:gridSpan w:val="3"/>
            <w:vMerge w:val="continue"/>
          </w:tcPr>
          <w:p>
            <w:pPr>
              <w:spacing w:after="0"/>
              <w:rPr>
                <w:sz w:val="10"/>
                <w:szCs w:val="10"/>
                <w:color w:val="auto"/>
              </w:rPr>
            </w:pPr>
          </w:p>
        </w:tc>
        <w:tc>
          <w:tcPr>
            <w:tcW w:w="160" w:type="dxa"/>
            <w:vAlign w:val="bottom"/>
          </w:tcPr>
          <w:p>
            <w:pPr>
              <w:spacing w:after="0"/>
              <w:rPr>
                <w:sz w:val="10"/>
                <w:szCs w:val="10"/>
                <w:color w:val="auto"/>
              </w:rPr>
            </w:pPr>
          </w:p>
        </w:tc>
        <w:tc>
          <w:tcPr>
            <w:tcW w:w="720" w:type="dxa"/>
            <w:vAlign w:val="bottom"/>
            <w:vMerge w:val="continue"/>
          </w:tcPr>
          <w:p>
            <w:pPr>
              <w:spacing w:after="0"/>
              <w:rPr>
                <w:sz w:val="10"/>
                <w:szCs w:val="10"/>
                <w:color w:val="auto"/>
              </w:rPr>
            </w:pPr>
          </w:p>
        </w:tc>
        <w:tc>
          <w:tcPr>
            <w:tcW w:w="100" w:type="dxa"/>
            <w:vAlign w:val="bottom"/>
          </w:tcPr>
          <w:p>
            <w:pPr>
              <w:spacing w:after="0"/>
              <w:rPr>
                <w:sz w:val="10"/>
                <w:szCs w:val="10"/>
                <w:color w:val="auto"/>
              </w:rPr>
            </w:pPr>
          </w:p>
        </w:tc>
        <w:tc>
          <w:tcPr>
            <w:tcW w:w="1400" w:type="dxa"/>
            <w:vAlign w:val="bottom"/>
            <w:gridSpan w:val="2"/>
          </w:tcPr>
          <w:p>
            <w:pPr>
              <w:jc w:val="center"/>
              <w:ind w:right="120"/>
              <w:spacing w:after="0" w:line="122" w:lineRule="exact"/>
              <w:rPr>
                <w:sz w:val="20"/>
                <w:szCs w:val="20"/>
                <w:color w:val="auto"/>
              </w:rPr>
            </w:pPr>
            <w:r>
              <w:rPr>
                <w:rFonts w:ascii="Times New Roman" w:cs="Times New Roman" w:eastAsia="Times New Roman" w:hAnsi="Times New Roman"/>
                <w:sz w:val="13"/>
                <w:szCs w:val="13"/>
                <w:b w:val="1"/>
                <w:bCs w:val="1"/>
                <w:color w:val="auto"/>
                <w:w w:val="97"/>
              </w:rPr>
              <w:t>"At Risk" Leverage</w:t>
            </w:r>
          </w:p>
        </w:tc>
        <w:tc>
          <w:tcPr>
            <w:tcW w:w="1300" w:type="dxa"/>
            <w:vAlign w:val="bottom"/>
          </w:tcPr>
          <w:p>
            <w:pPr>
              <w:jc w:val="center"/>
              <w:spacing w:after="0" w:line="122" w:lineRule="exact"/>
              <w:rPr>
                <w:sz w:val="20"/>
                <w:szCs w:val="20"/>
                <w:color w:val="auto"/>
              </w:rPr>
            </w:pPr>
            <w:r>
              <w:rPr>
                <w:rFonts w:ascii="Times New Roman" w:cs="Times New Roman" w:eastAsia="Times New Roman" w:hAnsi="Times New Roman"/>
                <w:sz w:val="13"/>
                <w:szCs w:val="13"/>
                <w:b w:val="1"/>
                <w:bCs w:val="1"/>
                <w:color w:val="auto"/>
                <w:w w:val="93"/>
              </w:rPr>
              <w:t>as of</w:t>
            </w:r>
          </w:p>
        </w:tc>
        <w:tc>
          <w:tcPr>
            <w:tcW w:w="0" w:type="dxa"/>
            <w:vAlign w:val="bottom"/>
          </w:tcPr>
          <w:p>
            <w:pPr>
              <w:spacing w:after="0"/>
              <w:rPr>
                <w:sz w:val="1"/>
                <w:szCs w:val="1"/>
                <w:color w:val="auto"/>
              </w:rPr>
            </w:pPr>
          </w:p>
        </w:tc>
      </w:tr>
      <w:tr>
        <w:trPr>
          <w:trHeight w:val="189"/>
        </w:trPr>
        <w:tc>
          <w:tcPr>
            <w:tcW w:w="3560" w:type="dxa"/>
            <w:vAlign w:val="bottom"/>
            <w:gridSpan w:val="2"/>
          </w:tcPr>
          <w:p>
            <w:pPr>
              <w:ind w:left="20"/>
              <w:spacing w:after="0"/>
              <w:rPr>
                <w:sz w:val="20"/>
                <w:szCs w:val="20"/>
                <w:color w:val="auto"/>
              </w:rPr>
            </w:pPr>
            <w:r>
              <w:rPr>
                <w:rFonts w:ascii="Times New Roman" w:cs="Times New Roman" w:eastAsia="Times New Roman" w:hAnsi="Times New Roman"/>
                <w:sz w:val="13"/>
                <w:szCs w:val="13"/>
                <w:b w:val="1"/>
                <w:bCs w:val="1"/>
                <w:color w:val="auto"/>
              </w:rPr>
              <w:t>Quarter Ended</w:t>
            </w:r>
          </w:p>
        </w:tc>
        <w:tc>
          <w:tcPr>
            <w:tcW w:w="160" w:type="dxa"/>
            <w:vAlign w:val="bottom"/>
          </w:tcPr>
          <w:p>
            <w:pPr>
              <w:spacing w:after="0"/>
              <w:rPr>
                <w:sz w:val="16"/>
                <w:szCs w:val="16"/>
                <w:color w:val="auto"/>
              </w:rPr>
            </w:pPr>
          </w:p>
        </w:tc>
        <w:tc>
          <w:tcPr>
            <w:tcW w:w="700" w:type="dxa"/>
            <w:vAlign w:val="bottom"/>
          </w:tcPr>
          <w:p>
            <w:pPr>
              <w:jc w:val="right"/>
              <w:ind w:right="132"/>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20" w:type="dxa"/>
            <w:vAlign w:val="bottom"/>
          </w:tcPr>
          <w:p>
            <w:pPr>
              <w:spacing w:after="0"/>
              <w:rPr>
                <w:sz w:val="16"/>
                <w:szCs w:val="16"/>
                <w:color w:val="auto"/>
              </w:rPr>
            </w:pPr>
          </w:p>
        </w:tc>
        <w:tc>
          <w:tcPr>
            <w:tcW w:w="980" w:type="dxa"/>
            <w:vAlign w:val="bottom"/>
            <w:gridSpan w:val="3"/>
          </w:tcPr>
          <w:p>
            <w:pPr>
              <w:jc w:val="right"/>
              <w:ind w:right="180"/>
              <w:spacing w:after="0"/>
              <w:rPr>
                <w:sz w:val="20"/>
                <w:szCs w:val="20"/>
                <w:color w:val="auto"/>
              </w:rPr>
            </w:pPr>
            <w:r>
              <w:rPr>
                <w:rFonts w:ascii="Times New Roman" w:cs="Times New Roman" w:eastAsia="Times New Roman" w:hAnsi="Times New Roman"/>
                <w:sz w:val="13"/>
                <w:szCs w:val="13"/>
                <w:b w:val="1"/>
                <w:bCs w:val="1"/>
                <w:color w:val="auto"/>
                <w:w w:val="99"/>
              </w:rPr>
              <w:t>Daily Amount</w:t>
            </w:r>
          </w:p>
        </w:tc>
        <w:tc>
          <w:tcPr>
            <w:tcW w:w="160" w:type="dxa"/>
            <w:vAlign w:val="bottom"/>
          </w:tcPr>
          <w:p>
            <w:pPr>
              <w:spacing w:after="0"/>
              <w:rPr>
                <w:sz w:val="16"/>
                <w:szCs w:val="16"/>
                <w:color w:val="auto"/>
              </w:rPr>
            </w:pPr>
          </w:p>
        </w:tc>
        <w:tc>
          <w:tcPr>
            <w:tcW w:w="820" w:type="dxa"/>
            <w:vAlign w:val="bottom"/>
            <w:gridSpan w:val="2"/>
          </w:tcPr>
          <w:p>
            <w:pPr>
              <w:jc w:val="center"/>
              <w:ind w:right="300"/>
              <w:spacing w:after="0"/>
              <w:rPr>
                <w:sz w:val="20"/>
                <w:szCs w:val="20"/>
                <w:color w:val="auto"/>
              </w:rPr>
            </w:pPr>
            <w:r>
              <w:rPr>
                <w:rFonts w:ascii="Times New Roman" w:cs="Times New Roman" w:eastAsia="Times New Roman" w:hAnsi="Times New Roman"/>
                <w:sz w:val="13"/>
                <w:szCs w:val="13"/>
                <w:b w:val="1"/>
                <w:bCs w:val="1"/>
                <w:color w:val="auto"/>
                <w:w w:val="96"/>
              </w:rPr>
              <w:t>Amount</w:t>
            </w:r>
          </w:p>
        </w:tc>
        <w:tc>
          <w:tcPr>
            <w:tcW w:w="140" w:type="dxa"/>
            <w:vAlign w:val="bottom"/>
          </w:tcPr>
          <w:p>
            <w:pPr>
              <w:spacing w:after="0"/>
              <w:rPr>
                <w:sz w:val="16"/>
                <w:szCs w:val="16"/>
                <w:color w:val="auto"/>
              </w:rPr>
            </w:pPr>
          </w:p>
        </w:tc>
        <w:tc>
          <w:tcPr>
            <w:tcW w:w="820" w:type="dxa"/>
            <w:vAlign w:val="bottom"/>
            <w:gridSpan w:val="2"/>
          </w:tcPr>
          <w:p>
            <w:pPr>
              <w:jc w:val="center"/>
              <w:ind w:right="260"/>
              <w:spacing w:after="0"/>
              <w:rPr>
                <w:sz w:val="20"/>
                <w:szCs w:val="20"/>
                <w:color w:val="auto"/>
              </w:rPr>
            </w:pPr>
            <w:r>
              <w:rPr>
                <w:rFonts w:ascii="Times New Roman" w:cs="Times New Roman" w:eastAsia="Times New Roman" w:hAnsi="Times New Roman"/>
                <w:sz w:val="13"/>
                <w:szCs w:val="13"/>
                <w:b w:val="1"/>
                <w:bCs w:val="1"/>
                <w:color w:val="auto"/>
                <w:w w:val="96"/>
              </w:rPr>
              <w:t>Amount</w:t>
            </w:r>
          </w:p>
        </w:tc>
        <w:tc>
          <w:tcPr>
            <w:tcW w:w="160" w:type="dxa"/>
            <w:vAlign w:val="bottom"/>
          </w:tcPr>
          <w:p>
            <w:pPr>
              <w:spacing w:after="0"/>
              <w:rPr>
                <w:sz w:val="16"/>
                <w:szCs w:val="16"/>
                <w:color w:val="auto"/>
              </w:rPr>
            </w:pPr>
          </w:p>
        </w:tc>
        <w:tc>
          <w:tcPr>
            <w:tcW w:w="720" w:type="dxa"/>
            <w:vAlign w:val="bottom"/>
          </w:tcPr>
          <w:p>
            <w:pPr>
              <w:jc w:val="right"/>
              <w:ind w:right="152"/>
              <w:spacing w:after="0"/>
              <w:rPr>
                <w:sz w:val="20"/>
                <w:szCs w:val="20"/>
                <w:color w:val="auto"/>
              </w:rPr>
            </w:pPr>
            <w:r>
              <w:rPr>
                <w:rFonts w:ascii="Times New Roman" w:cs="Times New Roman" w:eastAsia="Times New Roman" w:hAnsi="Times New Roman"/>
                <w:sz w:val="13"/>
                <w:szCs w:val="13"/>
                <w:b w:val="1"/>
                <w:bCs w:val="1"/>
                <w:color w:val="auto"/>
              </w:rPr>
              <w:t>Amount</w:t>
            </w:r>
          </w:p>
        </w:tc>
        <w:tc>
          <w:tcPr>
            <w:tcW w:w="100" w:type="dxa"/>
            <w:vAlign w:val="bottom"/>
          </w:tcPr>
          <w:p>
            <w:pPr>
              <w:spacing w:after="0"/>
              <w:rPr>
                <w:sz w:val="16"/>
                <w:szCs w:val="16"/>
                <w:color w:val="auto"/>
              </w:rPr>
            </w:pPr>
          </w:p>
        </w:tc>
        <w:tc>
          <w:tcPr>
            <w:tcW w:w="1400" w:type="dxa"/>
            <w:vAlign w:val="bottom"/>
            <w:gridSpan w:val="2"/>
          </w:tcPr>
          <w:p>
            <w:pPr>
              <w:jc w:val="center"/>
              <w:ind w:right="120"/>
              <w:spacing w:after="0"/>
              <w:rPr>
                <w:sz w:val="20"/>
                <w:szCs w:val="20"/>
                <w:color w:val="auto"/>
              </w:rPr>
            </w:pPr>
            <w:r>
              <w:rPr>
                <w:rFonts w:ascii="Times New Roman" w:cs="Times New Roman" w:eastAsia="Times New Roman" w:hAnsi="Times New Roman"/>
                <w:sz w:val="13"/>
                <w:szCs w:val="13"/>
                <w:b w:val="1"/>
                <w:bCs w:val="1"/>
                <w:color w:val="auto"/>
                <w:w w:val="97"/>
              </w:rPr>
              <w:t xml:space="preserve">during the Period </w:t>
            </w:r>
            <w:r>
              <w:rPr>
                <w:rFonts w:ascii="Times New Roman" w:cs="Times New Roman" w:eastAsia="Times New Roman" w:hAnsi="Times New Roman"/>
                <w:sz w:val="16"/>
                <w:szCs w:val="16"/>
                <w:b w:val="1"/>
                <w:bCs w:val="1"/>
                <w:color w:val="auto"/>
                <w:w w:val="97"/>
                <w:vertAlign w:val="superscript"/>
              </w:rPr>
              <w:t>3</w:t>
            </w:r>
          </w:p>
        </w:tc>
        <w:tc>
          <w:tcPr>
            <w:tcW w:w="1300" w:type="dxa"/>
            <w:vAlign w:val="bottom"/>
          </w:tcPr>
          <w:p>
            <w:pPr>
              <w:jc w:val="center"/>
              <w:spacing w:after="0"/>
              <w:rPr>
                <w:sz w:val="20"/>
                <w:szCs w:val="20"/>
                <w:color w:val="auto"/>
              </w:rPr>
            </w:pPr>
            <w:r>
              <w:rPr>
                <w:rFonts w:ascii="Times New Roman" w:cs="Times New Roman" w:eastAsia="Times New Roman" w:hAnsi="Times New Roman"/>
                <w:sz w:val="13"/>
                <w:szCs w:val="13"/>
                <w:b w:val="1"/>
                <w:bCs w:val="1"/>
                <w:color w:val="auto"/>
                <w:w w:val="94"/>
              </w:rPr>
              <w:t xml:space="preserve">Period End </w:t>
            </w:r>
            <w:r>
              <w:rPr>
                <w:rFonts w:ascii="Times New Roman" w:cs="Times New Roman" w:eastAsia="Times New Roman" w:hAnsi="Times New Roman"/>
                <w:sz w:val="16"/>
                <w:szCs w:val="16"/>
                <w:b w:val="1"/>
                <w:bCs w:val="1"/>
                <w:color w:val="auto"/>
                <w:w w:val="94"/>
                <w:vertAlign w:val="superscript"/>
              </w:rPr>
              <w:t>4</w:t>
            </w:r>
          </w:p>
        </w:tc>
        <w:tc>
          <w:tcPr>
            <w:tcW w:w="0" w:type="dxa"/>
            <w:vAlign w:val="bottom"/>
          </w:tcPr>
          <w:p>
            <w:pPr>
              <w:spacing w:after="0"/>
              <w:rPr>
                <w:sz w:val="1"/>
                <w:szCs w:val="1"/>
                <w:color w:val="auto"/>
              </w:rPr>
            </w:pPr>
          </w:p>
        </w:tc>
      </w:tr>
      <w:tr>
        <w:trPr>
          <w:trHeight w:val="196"/>
        </w:trPr>
        <w:tc>
          <w:tcPr>
            <w:tcW w:w="346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March 31, 2022</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46,570</w:t>
            </w:r>
          </w:p>
        </w:tc>
        <w:tc>
          <w:tcPr>
            <w:tcW w:w="120" w:type="dxa"/>
            <w:vAlign w:val="bottom"/>
            <w:tcBorders>
              <w:top w:val="single" w:sz="8" w:color="CCEEFF"/>
            </w:tcBorders>
            <w:shd w:val="clear" w:color="auto" w:fill="CCEEFF"/>
          </w:tcPr>
          <w:p>
            <w:pPr>
              <w:spacing w:after="0"/>
              <w:rPr>
                <w:sz w:val="17"/>
                <w:szCs w:val="17"/>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60" w:type="dxa"/>
            <w:vAlign w:val="bottom"/>
            <w:tcBorders>
              <w:top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47,940</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44,150</w:t>
            </w:r>
          </w:p>
        </w:tc>
        <w:tc>
          <w:tcPr>
            <w:tcW w:w="120" w:type="dxa"/>
            <w:vAlign w:val="bottom"/>
            <w:tcBorders>
              <w:top w:val="single" w:sz="8" w:color="CCEEFF"/>
            </w:tcBorders>
            <w:shd w:val="clear" w:color="auto" w:fill="CCEEFF"/>
          </w:tcPr>
          <w:p>
            <w:pPr>
              <w:spacing w:after="0"/>
              <w:rPr>
                <w:sz w:val="17"/>
                <w:szCs w:val="17"/>
                <w:color w:val="auto"/>
              </w:rPr>
            </w:pP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20" w:type="dxa"/>
            <w:vAlign w:val="bottom"/>
            <w:tcBorders>
              <w:top w:val="single" w:sz="8" w:color="auto"/>
            </w:tcBorders>
            <w:shd w:val="clear" w:color="auto" w:fill="CCEEFF"/>
          </w:tcPr>
          <w:p>
            <w:pPr>
              <w:jc w:val="right"/>
              <w:ind w:right="14"/>
              <w:spacing w:after="0"/>
              <w:rPr>
                <w:sz w:val="20"/>
                <w:szCs w:val="20"/>
                <w:color w:val="auto"/>
              </w:rPr>
            </w:pPr>
            <w:r>
              <w:rPr>
                <w:rFonts w:ascii="Times New Roman" w:cs="Times New Roman" w:eastAsia="Times New Roman" w:hAnsi="Times New Roman"/>
                <w:sz w:val="14"/>
                <w:szCs w:val="14"/>
                <w:color w:val="auto"/>
              </w:rPr>
              <w:t>23,605</w:t>
            </w:r>
          </w:p>
        </w:tc>
        <w:tc>
          <w:tcPr>
            <w:tcW w:w="100" w:type="dxa"/>
            <w:vAlign w:val="bottom"/>
            <w:tcBorders>
              <w:top w:val="single" w:sz="8" w:color="CCEEFF"/>
            </w:tcBorders>
            <w:shd w:val="clear" w:color="auto" w:fill="CCEEFF"/>
          </w:tcPr>
          <w:p>
            <w:pPr>
              <w:spacing w:after="0"/>
              <w:rPr>
                <w:sz w:val="17"/>
                <w:szCs w:val="17"/>
                <w:color w:val="auto"/>
              </w:rPr>
            </w:pPr>
          </w:p>
        </w:tc>
        <w:tc>
          <w:tcPr>
            <w:tcW w:w="1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tcBorders>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20,152</w:t>
            </w:r>
          </w:p>
        </w:tc>
        <w:tc>
          <w:tcPr>
            <w:tcW w:w="100" w:type="dxa"/>
            <w:vAlign w:val="bottom"/>
            <w:tcBorders>
              <w:top w:val="single" w:sz="8" w:color="CCEEFF"/>
            </w:tcBorders>
            <w:shd w:val="clear" w:color="auto" w:fill="CCEEFF"/>
          </w:tcPr>
          <w:p>
            <w:pPr>
              <w:spacing w:after="0"/>
              <w:rPr>
                <w:sz w:val="17"/>
                <w:szCs w:val="17"/>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8"/>
              </w:rPr>
              <w:t>7.8:1</w:t>
            </w:r>
          </w:p>
        </w:tc>
        <w:tc>
          <w:tcPr>
            <w:tcW w:w="100" w:type="dxa"/>
            <w:vAlign w:val="bottom"/>
            <w:tcBorders>
              <w:top w:val="single" w:sz="8" w:color="CCEEFF"/>
            </w:tcBorders>
            <w:shd w:val="clear" w:color="auto" w:fill="CCEEFF"/>
          </w:tcPr>
          <w:p>
            <w:pPr>
              <w:spacing w:after="0"/>
              <w:rPr>
                <w:sz w:val="17"/>
                <w:szCs w:val="17"/>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7.5:1</w:t>
            </w:r>
          </w:p>
        </w:tc>
        <w:tc>
          <w:tcPr>
            <w:tcW w:w="0" w:type="dxa"/>
            <w:vAlign w:val="bottom"/>
          </w:tcPr>
          <w:p>
            <w:pPr>
              <w:spacing w:after="0"/>
              <w:rPr>
                <w:sz w:val="1"/>
                <w:szCs w:val="1"/>
                <w:color w:val="auto"/>
              </w:rPr>
            </w:pPr>
          </w:p>
        </w:tc>
      </w:tr>
      <w:tr>
        <w:trPr>
          <w:trHeight w:val="195"/>
        </w:trPr>
        <w:tc>
          <w:tcPr>
            <w:tcW w:w="356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December 31, 2021</w:t>
            </w:r>
          </w:p>
        </w:tc>
        <w:tc>
          <w:tcPr>
            <w:tcW w:w="1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46,999</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Pr>
          <w:p>
            <w:pPr>
              <w:jc w:val="right"/>
              <w:ind w:right="10"/>
              <w:spacing w:after="0"/>
              <w:rPr>
                <w:sz w:val="20"/>
                <w:szCs w:val="20"/>
                <w:color w:val="auto"/>
              </w:rPr>
            </w:pPr>
            <w:r>
              <w:rPr>
                <w:rFonts w:ascii="Times New Roman" w:cs="Times New Roman" w:eastAsia="Times New Roman" w:hAnsi="Times New Roman"/>
                <w:sz w:val="14"/>
                <w:szCs w:val="14"/>
                <w:color w:val="auto"/>
              </w:rPr>
              <w:t>48,524</w:t>
            </w:r>
          </w:p>
        </w:tc>
        <w:tc>
          <w:tcPr>
            <w:tcW w:w="100" w:type="dxa"/>
            <w:vAlign w:val="bottom"/>
          </w:tcPr>
          <w:p>
            <w:pPr>
              <w:spacing w:after="0"/>
              <w:rPr>
                <w:sz w:val="16"/>
                <w:szCs w:val="16"/>
                <w:color w:val="auto"/>
              </w:rPr>
            </w:pPr>
          </w:p>
        </w:tc>
        <w:tc>
          <w:tcPr>
            <w:tcW w:w="16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47,037</w:t>
            </w:r>
          </w:p>
        </w:tc>
        <w:tc>
          <w:tcPr>
            <w:tcW w:w="120" w:type="dxa"/>
            <w:vAlign w:val="bottom"/>
          </w:tcPr>
          <w:p>
            <w:pPr>
              <w:spacing w:after="0"/>
              <w:rPr>
                <w:sz w:val="16"/>
                <w:szCs w:val="16"/>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20" w:type="dxa"/>
            <w:vAlign w:val="bottom"/>
          </w:tcPr>
          <w:p>
            <w:pPr>
              <w:jc w:val="right"/>
              <w:ind w:right="14"/>
              <w:spacing w:after="0"/>
              <w:rPr>
                <w:sz w:val="20"/>
                <w:szCs w:val="20"/>
                <w:color w:val="auto"/>
              </w:rPr>
            </w:pPr>
            <w:r>
              <w:rPr>
                <w:rFonts w:ascii="Times New Roman" w:cs="Times New Roman" w:eastAsia="Times New Roman" w:hAnsi="Times New Roman"/>
                <w:sz w:val="14"/>
                <w:szCs w:val="14"/>
                <w:color w:val="auto"/>
              </w:rPr>
              <w:t>29,014</w:t>
            </w:r>
          </w:p>
        </w:tc>
        <w:tc>
          <w:tcPr>
            <w:tcW w:w="100" w:type="dxa"/>
            <w:vAlign w:val="bottom"/>
          </w:tcPr>
          <w:p>
            <w:pPr>
              <w:spacing w:after="0"/>
              <w:rPr>
                <w:sz w:val="16"/>
                <w:szCs w:val="16"/>
                <w:color w:val="auto"/>
              </w:rPr>
            </w:pPr>
          </w:p>
        </w:tc>
        <w:tc>
          <w:tcPr>
            <w:tcW w:w="1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Pr>
          <w:p>
            <w:pPr>
              <w:jc w:val="right"/>
              <w:ind w:right="12"/>
              <w:spacing w:after="0"/>
              <w:rPr>
                <w:sz w:val="20"/>
                <w:szCs w:val="20"/>
                <w:color w:val="auto"/>
              </w:rPr>
            </w:pPr>
            <w:r>
              <w:rPr>
                <w:rFonts w:ascii="Times New Roman" w:cs="Times New Roman" w:eastAsia="Times New Roman" w:hAnsi="Times New Roman"/>
                <w:sz w:val="14"/>
                <w:szCs w:val="14"/>
                <w:color w:val="auto"/>
              </w:rPr>
              <w:t>27,622</w:t>
            </w:r>
          </w:p>
        </w:tc>
        <w:tc>
          <w:tcPr>
            <w:tcW w:w="1400" w:type="dxa"/>
            <w:vAlign w:val="bottom"/>
            <w:gridSpan w:val="2"/>
          </w:tcPr>
          <w:p>
            <w:pPr>
              <w:jc w:val="center"/>
              <w:ind w:left="8"/>
              <w:spacing w:after="0"/>
              <w:rPr>
                <w:sz w:val="20"/>
                <w:szCs w:val="20"/>
                <w:color w:val="auto"/>
              </w:rPr>
            </w:pPr>
            <w:r>
              <w:rPr>
                <w:rFonts w:ascii="Times New Roman" w:cs="Times New Roman" w:eastAsia="Times New Roman" w:hAnsi="Times New Roman"/>
                <w:sz w:val="14"/>
                <w:szCs w:val="14"/>
                <w:color w:val="auto"/>
                <w:w w:val="98"/>
              </w:rPr>
              <w:t>7.6:1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7.7:1</w:t>
            </w:r>
          </w:p>
        </w:tc>
        <w:tc>
          <w:tcPr>
            <w:tcW w:w="0" w:type="dxa"/>
            <w:vAlign w:val="bottom"/>
          </w:tcPr>
          <w:p>
            <w:pPr>
              <w:spacing w:after="0"/>
              <w:rPr>
                <w:sz w:val="1"/>
                <w:szCs w:val="1"/>
                <w:color w:val="auto"/>
              </w:rPr>
            </w:pPr>
          </w:p>
        </w:tc>
      </w:tr>
      <w:tr>
        <w:trPr>
          <w:trHeight w:val="210"/>
        </w:trPr>
        <w:tc>
          <w:tcPr>
            <w:tcW w:w="35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March 31, 2021</w:t>
            </w:r>
          </w:p>
        </w:tc>
        <w:tc>
          <w:tcPr>
            <w:tcW w:w="1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54,602</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4"/>
                <w:szCs w:val="14"/>
                <w:color w:val="auto"/>
              </w:rPr>
              <w:t>57,153</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55,221</w:t>
            </w:r>
          </w:p>
        </w:tc>
        <w:tc>
          <w:tcPr>
            <w:tcW w:w="1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720" w:type="dxa"/>
            <w:vAlign w:val="bottom"/>
            <w:shd w:val="clear" w:color="auto" w:fill="CCEEFF"/>
          </w:tcPr>
          <w:p>
            <w:pPr>
              <w:jc w:val="right"/>
              <w:ind w:right="14"/>
              <w:spacing w:after="0"/>
              <w:rPr>
                <w:sz w:val="20"/>
                <w:szCs w:val="20"/>
                <w:color w:val="auto"/>
              </w:rPr>
            </w:pPr>
            <w:r>
              <w:rPr>
                <w:rFonts w:ascii="Times New Roman" w:cs="Times New Roman" w:eastAsia="Times New Roman" w:hAnsi="Times New Roman"/>
                <w:sz w:val="14"/>
                <w:szCs w:val="14"/>
                <w:color w:val="auto"/>
              </w:rPr>
              <w:t>32,022</w:t>
            </w: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ind w:right="12"/>
              <w:spacing w:after="0"/>
              <w:rPr>
                <w:sz w:val="20"/>
                <w:szCs w:val="20"/>
                <w:color w:val="auto"/>
              </w:rPr>
            </w:pPr>
            <w:r>
              <w:rPr>
                <w:rFonts w:ascii="Times New Roman" w:cs="Times New Roman" w:eastAsia="Times New Roman" w:hAnsi="Times New Roman"/>
                <w:sz w:val="14"/>
                <w:szCs w:val="14"/>
                <w:color w:val="auto"/>
              </w:rPr>
              <w:t>25,355</w:t>
            </w:r>
          </w:p>
        </w:tc>
        <w:tc>
          <w:tcPr>
            <w:tcW w:w="1400" w:type="dxa"/>
            <w:vAlign w:val="bottom"/>
            <w:gridSpan w:val="2"/>
            <w:shd w:val="clear" w:color="auto" w:fill="CCEEFF"/>
          </w:tcPr>
          <w:p>
            <w:pPr>
              <w:jc w:val="center"/>
              <w:ind w:left="8"/>
              <w:spacing w:after="0"/>
              <w:rPr>
                <w:sz w:val="20"/>
                <w:szCs w:val="20"/>
                <w:color w:val="auto"/>
              </w:rPr>
            </w:pPr>
            <w:r>
              <w:rPr>
                <w:rFonts w:ascii="Times New Roman" w:cs="Times New Roman" w:eastAsia="Times New Roman" w:hAnsi="Times New Roman"/>
                <w:sz w:val="14"/>
                <w:szCs w:val="14"/>
                <w:color w:val="auto"/>
                <w:w w:val="98"/>
              </w:rPr>
              <w:t>8.0:1</w:t>
            </w:r>
          </w:p>
        </w:tc>
        <w:tc>
          <w:tcPr>
            <w:tcW w:w="100" w:type="dxa"/>
            <w:vAlign w:val="bottom"/>
            <w:shd w:val="clear" w:color="auto" w:fill="CCEEFF"/>
          </w:tcPr>
          <w:p>
            <w:pPr>
              <w:spacing w:after="0"/>
              <w:rPr>
                <w:sz w:val="18"/>
                <w:szCs w:val="18"/>
                <w:color w:val="auto"/>
              </w:rPr>
            </w:pPr>
          </w:p>
        </w:tc>
        <w:tc>
          <w:tcPr>
            <w:tcW w:w="1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7.7:1</w:t>
            </w: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 w:lineRule="exact"/>
        <w:rPr>
          <w:sz w:val="20"/>
          <w:szCs w:val="20"/>
          <w:color w:val="auto"/>
        </w:rPr>
      </w:pPr>
    </w:p>
    <w:p>
      <w:pPr>
        <w:ind w:left="660" w:hanging="328"/>
        <w:spacing w:after="0"/>
        <w:tabs>
          <w:tab w:leader="none" w:pos="660" w:val="left"/>
        </w:tabs>
        <w:numPr>
          <w:ilvl w:val="0"/>
          <w:numId w:val="2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Other debt includes debt of consolidated VIEs. Amounts exclude U.S. Treasury repo agreements.</w:t>
      </w:r>
    </w:p>
    <w:p>
      <w:pPr>
        <w:spacing w:after="0" w:line="11"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2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Daily average and ending net TBA position outstanding measured at cost. Includes forward settling non-Agency securities.</w:t>
      </w:r>
    </w:p>
    <w:p>
      <w:pPr>
        <w:spacing w:after="0" w:line="14" w:lineRule="exact"/>
        <w:rPr>
          <w:rFonts w:ascii="Times New Roman" w:cs="Times New Roman" w:eastAsia="Times New Roman" w:hAnsi="Times New Roman"/>
          <w:sz w:val="14"/>
          <w:szCs w:val="14"/>
          <w:color w:val="auto"/>
        </w:rPr>
      </w:pPr>
    </w:p>
    <w:p>
      <w:pPr>
        <w:jc w:val="both"/>
        <w:ind w:left="660" w:hanging="328"/>
        <w:spacing w:after="0" w:line="269" w:lineRule="auto"/>
        <w:tabs>
          <w:tab w:leader="none" w:pos="660" w:val="left"/>
        </w:tabs>
        <w:numPr>
          <w:ilvl w:val="0"/>
          <w:numId w:val="2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Average tangible net book value "at risk" leverage during the period represents the sum of our daily weighted average repurchase agreements and other debt used to fund acquisitions of investment securities and net TBA and forward settling securities position outstanding, divided by the sum of our average month-ended stockholders' equity, adjusted to exclude goodwill.</w:t>
      </w:r>
    </w:p>
    <w:p>
      <w:pPr>
        <w:spacing w:after="0" w:line="152" w:lineRule="exact"/>
        <w:rPr>
          <w:rFonts w:ascii="Times New Roman" w:cs="Times New Roman" w:eastAsia="Times New Roman" w:hAnsi="Times New Roman"/>
          <w:sz w:val="14"/>
          <w:szCs w:val="14"/>
          <w:color w:val="auto"/>
        </w:rPr>
      </w:pPr>
    </w:p>
    <w:p>
      <w:pPr>
        <w:jc w:val="both"/>
        <w:ind w:left="660" w:hanging="328"/>
        <w:spacing w:after="0" w:line="272" w:lineRule="auto"/>
        <w:tabs>
          <w:tab w:leader="none" w:pos="660" w:val="left"/>
        </w:tabs>
        <w:numPr>
          <w:ilvl w:val="0"/>
          <w:numId w:val="2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Tangible net book value "at risk" leverage as of period end represents the sum of our repurchase agreements and other debt used to fund acquisitions of investments securities, net TBA and forward settling securities position (at cost), and net receivable/payable for unsettled investment securities outstanding as of period end, divided by total stockholders' equity, adjusted to exclude goodwill as of period end.</w:t>
      </w: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Economic Interest Expense and Aggregate Cost of Funds</w:t>
      </w:r>
    </w:p>
    <w:p>
      <w:pPr>
        <w:spacing w:after="0" w:line="175" w:lineRule="exact"/>
        <w:rPr>
          <w:sz w:val="20"/>
          <w:szCs w:val="20"/>
          <w:color w:val="auto"/>
        </w:rPr>
      </w:pPr>
    </w:p>
    <w:p>
      <w:pPr>
        <w:jc w:val="both"/>
        <w:ind w:firstLine="405"/>
        <w:spacing w:after="0" w:line="263" w:lineRule="auto"/>
        <w:rPr>
          <w:sz w:val="20"/>
          <w:szCs w:val="20"/>
          <w:color w:val="auto"/>
        </w:rPr>
      </w:pPr>
      <w:r>
        <w:rPr>
          <w:rFonts w:ascii="Times New Roman" w:cs="Times New Roman" w:eastAsia="Times New Roman" w:hAnsi="Times New Roman"/>
          <w:sz w:val="18"/>
          <w:szCs w:val="18"/>
          <w:color w:val="auto"/>
        </w:rPr>
        <w:t>The following table summarizes our economic interest expense and aggregate cost of funds (non-GAAP measures) for the three months ended March 31, 2022 and 2021 (dollars in millions), which includes the combination of interest expense on Agency repurchase agreements and other debt (GAAP measure), implied financing cost (benefit) of our TBA securities and interest rate swap periodic cost:</w:t>
      </w:r>
    </w:p>
    <w:p>
      <w:pPr>
        <w:spacing w:after="0" w:line="2" w:lineRule="exact"/>
        <w:rPr>
          <w:sz w:val="20"/>
          <w:szCs w:val="20"/>
          <w:color w:val="auto"/>
        </w:rPr>
      </w:pPr>
    </w:p>
    <w:tbl>
      <w:tblPr>
        <w:tblLayout w:type="fixed"/>
        <w:tblInd w:w="1700" w:type="dxa"/>
        <w:tblCellMar>
          <w:top w:w="0" w:type="dxa"/>
          <w:left w:w="0" w:type="dxa"/>
          <w:bottom w:w="0" w:type="dxa"/>
          <w:right w:w="0" w:type="dxa"/>
        </w:tblCellMar>
      </w:tblPr>
      <w:tr>
        <w:trPr>
          <w:trHeight w:val="190"/>
        </w:trPr>
        <w:tc>
          <w:tcPr>
            <w:tcW w:w="4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680" w:type="dxa"/>
            <w:vAlign w:val="bottom"/>
          </w:tcPr>
          <w:p>
            <w:pPr>
              <w:spacing w:after="0"/>
              <w:rPr>
                <w:sz w:val="16"/>
                <w:szCs w:val="16"/>
                <w:color w:val="auto"/>
              </w:rPr>
            </w:pPr>
          </w:p>
        </w:tc>
        <w:tc>
          <w:tcPr>
            <w:tcW w:w="2120" w:type="dxa"/>
            <w:vAlign w:val="bottom"/>
            <w:gridSpan w:val="7"/>
          </w:tcPr>
          <w:p>
            <w:pPr>
              <w:jc w:val="right"/>
              <w:ind w:right="120"/>
              <w:spacing w:after="0"/>
              <w:rPr>
                <w:sz w:val="20"/>
                <w:szCs w:val="20"/>
                <w:color w:val="auto"/>
              </w:rPr>
            </w:pPr>
            <w:r>
              <w:rPr>
                <w:rFonts w:ascii="Times New Roman" w:cs="Times New Roman" w:eastAsia="Times New Roman" w:hAnsi="Times New Roman"/>
                <w:sz w:val="14"/>
                <w:szCs w:val="14"/>
                <w:b w:val="1"/>
                <w:bCs w:val="1"/>
                <w:color w:val="auto"/>
              </w:rPr>
              <w:t>Three Months Ended March 31,</w:t>
            </w:r>
          </w:p>
        </w:tc>
        <w:tc>
          <w:tcPr>
            <w:tcW w:w="7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4160" w:type="dxa"/>
            <w:vAlign w:val="bottom"/>
          </w:tcPr>
          <w:p>
            <w:pPr>
              <w:spacing w:after="0"/>
              <w:rPr>
                <w:sz w:val="2"/>
                <w:szCs w:val="2"/>
                <w:color w:val="auto"/>
              </w:rPr>
            </w:pPr>
          </w:p>
        </w:tc>
        <w:tc>
          <w:tcPr>
            <w:tcW w:w="100" w:type="dxa"/>
            <w:vAlign w:val="bottom"/>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gridSpan w:val="3"/>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gridSpan w:val="3"/>
          </w:tcPr>
          <w:p>
            <w:pPr>
              <w:spacing w:after="0"/>
              <w:rPr>
                <w:sz w:val="2"/>
                <w:szCs w:val="2"/>
                <w:color w:val="auto"/>
              </w:rPr>
            </w:pPr>
          </w:p>
        </w:tc>
        <w:tc>
          <w:tcPr>
            <w:tcW w:w="7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416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1660" w:type="dxa"/>
            <w:vAlign w:val="bottom"/>
            <w:tcBorders>
              <w:bottom w:val="single" w:sz="8" w:color="auto"/>
            </w:tcBorders>
            <w:gridSpan w:val="3"/>
          </w:tcPr>
          <w:p>
            <w:pPr>
              <w:jc w:val="right"/>
              <w:ind w:right="668"/>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940" w:type="dxa"/>
            <w:vAlign w:val="bottom"/>
            <w:tcBorders>
              <w:bottom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14"/>
                <w:szCs w:val="14"/>
                <w:b w:val="1"/>
                <w:bCs w:val="1"/>
                <w:color w:val="auto"/>
              </w:rPr>
              <w:t>2021</w:t>
            </w:r>
          </w:p>
        </w:tc>
        <w:tc>
          <w:tcPr>
            <w:tcW w:w="70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35"/>
        </w:trPr>
        <w:tc>
          <w:tcPr>
            <w:tcW w:w="416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 xml:space="preserve">Economic Interest Expense and Aggregate Cost of Funds </w:t>
            </w:r>
            <w:r>
              <w:rPr>
                <w:rFonts w:ascii="Times New Roman" w:cs="Times New Roman" w:eastAsia="Times New Roman" w:hAnsi="Times New Roman"/>
                <w:sz w:val="18"/>
                <w:szCs w:val="18"/>
                <w:b w:val="1"/>
                <w:bCs w:val="1"/>
                <w:color w:val="auto"/>
                <w:vertAlign w:val="superscript"/>
              </w:rPr>
              <w:t>1</w:t>
            </w:r>
          </w:p>
        </w:tc>
        <w:tc>
          <w:tcPr>
            <w:tcW w:w="100" w:type="dxa"/>
            <w:vAlign w:val="bottom"/>
            <w:vMerge w:val="restart"/>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vMerge w:val="restart"/>
          </w:tcPr>
          <w:p>
            <w:pPr>
              <w:jc w:val="right"/>
              <w:ind w:right="6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20" w:type="dxa"/>
            <w:vAlign w:val="bottom"/>
          </w:tcPr>
          <w:p>
            <w:pPr>
              <w:spacing w:after="0"/>
              <w:rPr>
                <w:sz w:val="11"/>
                <w:szCs w:val="11"/>
                <w:color w:val="auto"/>
              </w:rPr>
            </w:pPr>
          </w:p>
        </w:tc>
        <w:tc>
          <w:tcPr>
            <w:tcW w:w="860" w:type="dxa"/>
            <w:vAlign w:val="bottom"/>
          </w:tcPr>
          <w:p>
            <w:pPr>
              <w:jc w:val="right"/>
              <w:ind w:right="148"/>
              <w:spacing w:after="0" w:line="135" w:lineRule="exact"/>
              <w:rPr>
                <w:sz w:val="20"/>
                <w:szCs w:val="20"/>
                <w:color w:val="auto"/>
              </w:rPr>
            </w:pPr>
            <w:r>
              <w:rPr>
                <w:rFonts w:ascii="Times New Roman" w:cs="Times New Roman" w:eastAsia="Times New Roman" w:hAnsi="Times New Roman"/>
                <w:sz w:val="14"/>
                <w:szCs w:val="14"/>
                <w:b w:val="1"/>
                <w:bCs w:val="1"/>
                <w:color w:val="auto"/>
              </w:rPr>
              <w:t>Cost of</w:t>
            </w: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80" w:type="dxa"/>
            <w:vAlign w:val="bottom"/>
            <w:vMerge w:val="restart"/>
          </w:tcPr>
          <w:p>
            <w:pPr>
              <w:jc w:val="right"/>
              <w:ind w:right="88"/>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100" w:type="dxa"/>
            <w:vAlign w:val="bottom"/>
            <w:vMerge w:val="restart"/>
          </w:tcPr>
          <w:p>
            <w:pPr>
              <w:spacing w:after="0"/>
              <w:rPr>
                <w:sz w:val="11"/>
                <w:szCs w:val="11"/>
                <w:color w:val="auto"/>
              </w:rPr>
            </w:pPr>
          </w:p>
        </w:tc>
        <w:tc>
          <w:tcPr>
            <w:tcW w:w="160" w:type="dxa"/>
            <w:vAlign w:val="bottom"/>
            <w:vMerge w:val="restart"/>
          </w:tcPr>
          <w:p>
            <w:pPr>
              <w:spacing w:after="0"/>
              <w:rPr>
                <w:sz w:val="11"/>
                <w:szCs w:val="11"/>
                <w:color w:val="auto"/>
              </w:rPr>
            </w:pPr>
          </w:p>
        </w:tc>
        <w:tc>
          <w:tcPr>
            <w:tcW w:w="700" w:type="dxa"/>
            <w:vAlign w:val="bottom"/>
          </w:tcPr>
          <w:p>
            <w:pPr>
              <w:jc w:val="right"/>
              <w:ind w:right="148"/>
              <w:spacing w:after="0" w:line="135" w:lineRule="exact"/>
              <w:rPr>
                <w:sz w:val="20"/>
                <w:szCs w:val="20"/>
                <w:color w:val="auto"/>
              </w:rPr>
            </w:pPr>
            <w:r>
              <w:rPr>
                <w:rFonts w:ascii="Times New Roman" w:cs="Times New Roman" w:eastAsia="Times New Roman" w:hAnsi="Times New Roman"/>
                <w:sz w:val="14"/>
                <w:szCs w:val="14"/>
                <w:b w:val="1"/>
                <w:bCs w:val="1"/>
                <w:color w:val="auto"/>
              </w:rPr>
              <w:t>Cost of</w:t>
            </w:r>
          </w:p>
        </w:tc>
        <w:tc>
          <w:tcPr>
            <w:tcW w:w="0" w:type="dxa"/>
            <w:vAlign w:val="bottom"/>
          </w:tcPr>
          <w:p>
            <w:pPr>
              <w:spacing w:after="0"/>
              <w:rPr>
                <w:sz w:val="1"/>
                <w:szCs w:val="1"/>
                <w:color w:val="auto"/>
              </w:rPr>
            </w:pPr>
          </w:p>
        </w:tc>
      </w:tr>
      <w:tr>
        <w:trPr>
          <w:trHeight w:val="203"/>
        </w:trPr>
        <w:tc>
          <w:tcPr>
            <w:tcW w:w="4160" w:type="dxa"/>
            <w:vAlign w:val="bottom"/>
            <w:tcBorders>
              <w:bottom w:val="single" w:sz="8" w:color="auto"/>
            </w:tcBorders>
            <w:vMerge w:val="continue"/>
          </w:tcPr>
          <w:p>
            <w:pPr>
              <w:spacing w:after="0"/>
              <w:rPr>
                <w:sz w:val="17"/>
                <w:szCs w:val="17"/>
                <w:color w:val="auto"/>
              </w:rPr>
            </w:pPr>
          </w:p>
        </w:tc>
        <w:tc>
          <w:tcPr>
            <w:tcW w:w="100" w:type="dxa"/>
            <w:vAlign w:val="bottom"/>
            <w:tcBorders>
              <w:bottom w:val="single" w:sz="8" w:color="CCEEFF"/>
            </w:tcBorders>
            <w:vMerge w:val="continue"/>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vMerge w:val="continue"/>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ind w:right="188"/>
              <w:spacing w:after="0"/>
              <w:rPr>
                <w:sz w:val="20"/>
                <w:szCs w:val="20"/>
                <w:color w:val="auto"/>
              </w:rPr>
            </w:pPr>
            <w:r>
              <w:rPr>
                <w:rFonts w:ascii="Times New Roman" w:cs="Times New Roman" w:eastAsia="Times New Roman" w:hAnsi="Times New Roman"/>
                <w:sz w:val="14"/>
                <w:szCs w:val="14"/>
                <w:b w:val="1"/>
                <w:bCs w:val="1"/>
                <w:color w:val="auto"/>
              </w:rPr>
              <w:t>Funds</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vMerge w:val="continue"/>
          </w:tcPr>
          <w:p>
            <w:pPr>
              <w:spacing w:after="0"/>
              <w:rPr>
                <w:sz w:val="17"/>
                <w:szCs w:val="17"/>
                <w:color w:val="auto"/>
              </w:rPr>
            </w:pPr>
          </w:p>
        </w:tc>
        <w:tc>
          <w:tcPr>
            <w:tcW w:w="100" w:type="dxa"/>
            <w:vAlign w:val="bottom"/>
            <w:tcBorders>
              <w:bottom w:val="single" w:sz="8" w:color="CCEEFF"/>
            </w:tcBorders>
            <w:vMerge w:val="continue"/>
          </w:tcPr>
          <w:p>
            <w:pPr>
              <w:spacing w:after="0"/>
              <w:rPr>
                <w:sz w:val="17"/>
                <w:szCs w:val="17"/>
                <w:color w:val="auto"/>
              </w:rPr>
            </w:pPr>
          </w:p>
        </w:tc>
        <w:tc>
          <w:tcPr>
            <w:tcW w:w="160" w:type="dxa"/>
            <w:vAlign w:val="bottom"/>
            <w:tcBorders>
              <w:bottom w:val="single" w:sz="8" w:color="auto"/>
            </w:tcBorders>
            <w:vMerge w:val="continue"/>
          </w:tcPr>
          <w:p>
            <w:pPr>
              <w:spacing w:after="0"/>
              <w:rPr>
                <w:sz w:val="17"/>
                <w:szCs w:val="17"/>
                <w:color w:val="auto"/>
              </w:rPr>
            </w:pPr>
          </w:p>
        </w:tc>
        <w:tc>
          <w:tcPr>
            <w:tcW w:w="700" w:type="dxa"/>
            <w:vAlign w:val="bottom"/>
            <w:tcBorders>
              <w:bottom w:val="single" w:sz="8" w:color="auto"/>
            </w:tcBorders>
          </w:tcPr>
          <w:p>
            <w:pPr>
              <w:jc w:val="right"/>
              <w:ind w:right="168"/>
              <w:spacing w:after="0"/>
              <w:rPr>
                <w:sz w:val="20"/>
                <w:szCs w:val="20"/>
                <w:color w:val="auto"/>
              </w:rPr>
            </w:pPr>
            <w:r>
              <w:rPr>
                <w:rFonts w:ascii="Times New Roman" w:cs="Times New Roman" w:eastAsia="Times New Roman" w:hAnsi="Times New Roman"/>
                <w:sz w:val="14"/>
                <w:szCs w:val="14"/>
                <w:b w:val="1"/>
                <w:bCs w:val="1"/>
                <w:color w:val="auto"/>
              </w:rPr>
              <w:t>Funds</w:t>
            </w:r>
          </w:p>
        </w:tc>
        <w:tc>
          <w:tcPr>
            <w:tcW w:w="0" w:type="dxa"/>
            <w:vAlign w:val="bottom"/>
          </w:tcPr>
          <w:p>
            <w:pPr>
              <w:spacing w:after="0"/>
              <w:rPr>
                <w:sz w:val="1"/>
                <w:szCs w:val="1"/>
                <w:color w:val="auto"/>
              </w:rPr>
            </w:pPr>
          </w:p>
        </w:tc>
      </w:tr>
      <w:tr>
        <w:trPr>
          <w:trHeight w:val="129"/>
        </w:trPr>
        <w:tc>
          <w:tcPr>
            <w:tcW w:w="4160" w:type="dxa"/>
            <w:vAlign w:val="bottom"/>
            <w:shd w:val="clear" w:color="auto" w:fill="CCEEFF"/>
          </w:tcPr>
          <w:p>
            <w:pPr>
              <w:spacing w:after="0" w:line="129" w:lineRule="exact"/>
              <w:rPr>
                <w:sz w:val="20"/>
                <w:szCs w:val="20"/>
                <w:color w:val="auto"/>
              </w:rPr>
            </w:pPr>
            <w:r>
              <w:rPr>
                <w:rFonts w:ascii="Times New Roman" w:cs="Times New Roman" w:eastAsia="Times New Roman" w:hAnsi="Times New Roman"/>
                <w:sz w:val="14"/>
                <w:szCs w:val="14"/>
                <w:color w:val="auto"/>
              </w:rPr>
              <w:t>Repurchase agreement and other debt - interest expense (GAAP</w:t>
            </w:r>
          </w:p>
        </w:tc>
        <w:tc>
          <w:tcPr>
            <w:tcW w:w="100" w:type="dxa"/>
            <w:vAlign w:val="bottom"/>
            <w:shd w:val="clear" w:color="auto" w:fill="CCEEFF"/>
          </w:tcPr>
          <w:p>
            <w:pPr>
              <w:spacing w:after="0"/>
              <w:rPr>
                <w:sz w:val="11"/>
                <w:szCs w:val="11"/>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w:t>
            </w:r>
          </w:p>
        </w:tc>
        <w:tc>
          <w:tcPr>
            <w:tcW w:w="98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0.23 %</w:t>
            </w:r>
          </w:p>
        </w:tc>
        <w:tc>
          <w:tcPr>
            <w:tcW w:w="100" w:type="dxa"/>
            <w:vAlign w:val="bottom"/>
            <w:shd w:val="clear" w:color="auto" w:fill="CCEEFF"/>
          </w:tcPr>
          <w:p>
            <w:pPr>
              <w:spacing w:after="0"/>
              <w:rPr>
                <w:sz w:val="11"/>
                <w:szCs w:val="11"/>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680" w:type="dxa"/>
            <w:vAlign w:val="bottom"/>
            <w:vMerge w:val="restart"/>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29</w:t>
            </w:r>
          </w:p>
        </w:tc>
        <w:tc>
          <w:tcPr>
            <w:tcW w:w="100" w:type="dxa"/>
            <w:vAlign w:val="bottom"/>
            <w:shd w:val="clear" w:color="auto" w:fill="CCEEFF"/>
          </w:tcPr>
          <w:p>
            <w:pPr>
              <w:spacing w:after="0"/>
              <w:rPr>
                <w:sz w:val="11"/>
                <w:szCs w:val="11"/>
                <w:color w:val="auto"/>
              </w:rPr>
            </w:pPr>
          </w:p>
        </w:tc>
        <w:tc>
          <w:tcPr>
            <w:tcW w:w="160" w:type="dxa"/>
            <w:vAlign w:val="bottom"/>
            <w:shd w:val="clear" w:color="auto" w:fill="CCEEFF"/>
          </w:tcPr>
          <w:p>
            <w:pPr>
              <w:spacing w:after="0"/>
              <w:rPr>
                <w:sz w:val="11"/>
                <w:szCs w:val="11"/>
                <w:color w:val="auto"/>
              </w:rPr>
            </w:pPr>
          </w:p>
        </w:tc>
        <w:tc>
          <w:tcPr>
            <w:tcW w:w="7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0.21 %</w:t>
            </w:r>
          </w:p>
        </w:tc>
        <w:tc>
          <w:tcPr>
            <w:tcW w:w="0" w:type="dxa"/>
            <w:vAlign w:val="bottom"/>
          </w:tcPr>
          <w:p>
            <w:pPr>
              <w:spacing w:after="0"/>
              <w:rPr>
                <w:sz w:val="1"/>
                <w:szCs w:val="1"/>
                <w:color w:val="auto"/>
              </w:rPr>
            </w:pPr>
          </w:p>
        </w:tc>
      </w:tr>
      <w:tr>
        <w:trPr>
          <w:trHeight w:val="203"/>
        </w:trPr>
        <w:tc>
          <w:tcPr>
            <w:tcW w:w="42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measure)</w:t>
            </w:r>
          </w:p>
        </w:tc>
        <w:tc>
          <w:tcPr>
            <w:tcW w:w="100" w:type="dxa"/>
            <w:vAlign w:val="bottom"/>
            <w:vMerge w:val="continue"/>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98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vMerge w:val="continue"/>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260" w:type="dxa"/>
            <w:vAlign w:val="bottom"/>
            <w:tcBorders>
              <w:bottom w:val="single" w:sz="8" w:color="CCEEFF"/>
            </w:tcBorders>
            <w:gridSpan w:val="2"/>
          </w:tcPr>
          <w:p>
            <w:pPr>
              <w:spacing w:after="0" w:line="202" w:lineRule="exact"/>
              <w:rPr>
                <w:sz w:val="20"/>
                <w:szCs w:val="20"/>
                <w:color w:val="auto"/>
              </w:rPr>
            </w:pPr>
            <w:r>
              <w:rPr>
                <w:rFonts w:ascii="Times New Roman" w:cs="Times New Roman" w:eastAsia="Times New Roman" w:hAnsi="Times New Roman"/>
                <w:sz w:val="14"/>
                <w:szCs w:val="14"/>
                <w:color w:val="auto"/>
              </w:rPr>
              <w:t xml:space="preserve">TBA dollar roll income - implied interest expense (benefit) </w:t>
            </w:r>
            <w:r>
              <w:rPr>
                <w:rFonts w:ascii="Times New Roman" w:cs="Times New Roman" w:eastAsia="Times New Roman" w:hAnsi="Times New Roman"/>
                <w:sz w:val="18"/>
                <w:szCs w:val="18"/>
                <w:color w:val="auto"/>
                <w:vertAlign w:val="superscript"/>
              </w:rPr>
              <w:t>2,3</w:t>
            </w: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(29)</w:t>
            </w:r>
          </w:p>
        </w:tc>
        <w:tc>
          <w:tcPr>
            <w:tcW w:w="120" w:type="dxa"/>
            <w:vAlign w:val="bottom"/>
            <w:tcBorders>
              <w:bottom w:val="single" w:sz="8" w:color="CCEEFF"/>
            </w:tcBorders>
          </w:tcPr>
          <w:p>
            <w:pPr>
              <w:spacing w:after="0"/>
              <w:rPr>
                <w:sz w:val="17"/>
                <w:szCs w:val="17"/>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(0.49)%</w:t>
            </w:r>
          </w:p>
        </w:tc>
        <w:tc>
          <w:tcPr>
            <w:tcW w:w="10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(38)</w:t>
            </w:r>
          </w:p>
        </w:tc>
        <w:tc>
          <w:tcPr>
            <w:tcW w:w="1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(0.48)%</w:t>
            </w:r>
          </w:p>
        </w:tc>
        <w:tc>
          <w:tcPr>
            <w:tcW w:w="0" w:type="dxa"/>
            <w:vAlign w:val="bottom"/>
          </w:tcPr>
          <w:p>
            <w:pPr>
              <w:spacing w:after="0"/>
              <w:rPr>
                <w:sz w:val="1"/>
                <w:szCs w:val="1"/>
                <w:color w:val="auto"/>
              </w:rPr>
            </w:pPr>
          </w:p>
        </w:tc>
      </w:tr>
      <w:tr>
        <w:trPr>
          <w:trHeight w:val="115"/>
        </w:trPr>
        <w:tc>
          <w:tcPr>
            <w:tcW w:w="4260" w:type="dxa"/>
            <w:vAlign w:val="bottom"/>
            <w:gridSpan w:val="2"/>
            <w:shd w:val="clear" w:color="auto" w:fill="CCEEFF"/>
          </w:tcPr>
          <w:p>
            <w:pPr>
              <w:ind w:left="160"/>
              <w:spacing w:after="0" w:line="115" w:lineRule="exact"/>
              <w:rPr>
                <w:sz w:val="20"/>
                <w:szCs w:val="20"/>
                <w:color w:val="auto"/>
              </w:rPr>
            </w:pPr>
            <w:r>
              <w:rPr>
                <w:rFonts w:ascii="Times New Roman" w:cs="Times New Roman" w:eastAsia="Times New Roman" w:hAnsi="Times New Roman"/>
                <w:sz w:val="13"/>
                <w:szCs w:val="13"/>
                <w:color w:val="auto"/>
              </w:rPr>
              <w:t>Economic interest expense (benefit) - before interest rate swap</w:t>
            </w:r>
          </w:p>
        </w:tc>
        <w:tc>
          <w:tcPr>
            <w:tcW w:w="100" w:type="dxa"/>
            <w:vAlign w:val="bottom"/>
            <w:shd w:val="clear" w:color="auto" w:fill="CCEEFF"/>
          </w:tcPr>
          <w:p>
            <w:pPr>
              <w:spacing w:after="0"/>
              <w:rPr>
                <w:sz w:val="10"/>
                <w:szCs w:val="10"/>
                <w:color w:val="auto"/>
              </w:rPr>
            </w:pP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98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(0.01)%</w:t>
            </w: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6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w:t>
            </w: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7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(0.04)%</w:t>
            </w:r>
          </w:p>
        </w:tc>
        <w:tc>
          <w:tcPr>
            <w:tcW w:w="0" w:type="dxa"/>
            <w:vAlign w:val="bottom"/>
          </w:tcPr>
          <w:p>
            <w:pPr>
              <w:spacing w:after="0"/>
              <w:rPr>
                <w:sz w:val="1"/>
                <w:szCs w:val="1"/>
                <w:color w:val="auto"/>
              </w:rPr>
            </w:pPr>
          </w:p>
        </w:tc>
      </w:tr>
      <w:tr>
        <w:trPr>
          <w:trHeight w:val="203"/>
        </w:trPr>
        <w:tc>
          <w:tcPr>
            <w:tcW w:w="4260" w:type="dxa"/>
            <w:vAlign w:val="bottom"/>
            <w:gridSpan w:val="2"/>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 xml:space="preserve">periodic cost, net </w:t>
            </w:r>
            <w:r>
              <w:rPr>
                <w:rFonts w:ascii="Times New Roman" w:cs="Times New Roman" w:eastAsia="Times New Roman" w:hAnsi="Times New Roman"/>
                <w:sz w:val="9"/>
                <w:szCs w:val="9"/>
                <w:color w:val="auto"/>
              </w:rPr>
              <w:t>4</w:t>
            </w:r>
          </w:p>
        </w:tc>
        <w:tc>
          <w:tcPr>
            <w:tcW w:w="100" w:type="dxa"/>
            <w:vAlign w:val="bottom"/>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980" w:type="dxa"/>
            <w:vAlign w:val="bottom"/>
            <w:gridSpan w:val="2"/>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680" w:type="dxa"/>
            <w:vAlign w:val="bottom"/>
            <w:vMerge w:val="continue"/>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60" w:type="dxa"/>
            <w:vAlign w:val="bottom"/>
            <w:shd w:val="clear" w:color="auto" w:fill="CCEEFF"/>
          </w:tcPr>
          <w:p>
            <w:pPr>
              <w:spacing w:after="0"/>
              <w:rPr>
                <w:sz w:val="17"/>
                <w:szCs w:val="17"/>
                <w:color w:val="auto"/>
              </w:rPr>
            </w:pPr>
          </w:p>
        </w:tc>
        <w:tc>
          <w:tcPr>
            <w:tcW w:w="700" w:type="dxa"/>
            <w:vAlign w:val="bottom"/>
            <w:vMerge w:val="continue"/>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03"/>
        </w:trPr>
        <w:tc>
          <w:tcPr>
            <w:tcW w:w="4260" w:type="dxa"/>
            <w:vAlign w:val="bottom"/>
            <w:gridSpan w:val="2"/>
          </w:tcPr>
          <w:p>
            <w:pPr>
              <w:spacing w:after="0" w:line="202" w:lineRule="exact"/>
              <w:rPr>
                <w:sz w:val="20"/>
                <w:szCs w:val="20"/>
                <w:color w:val="auto"/>
              </w:rPr>
            </w:pPr>
            <w:r>
              <w:rPr>
                <w:rFonts w:ascii="Times New Roman" w:cs="Times New Roman" w:eastAsia="Times New Roman" w:hAnsi="Times New Roman"/>
                <w:sz w:val="14"/>
                <w:szCs w:val="14"/>
                <w:color w:val="auto"/>
              </w:rPr>
              <w:t xml:space="preserve">Interest rate swap periodic cost (income), net </w:t>
            </w:r>
            <w:r>
              <w:rPr>
                <w:rFonts w:ascii="Times New Roman" w:cs="Times New Roman" w:eastAsia="Times New Roman" w:hAnsi="Times New Roman"/>
                <w:sz w:val="18"/>
                <w:szCs w:val="18"/>
                <w:color w:val="auto"/>
                <w:vertAlign w:val="superscript"/>
              </w:rPr>
              <w:t>2,5</w:t>
            </w:r>
          </w:p>
        </w:tc>
        <w:tc>
          <w:tcPr>
            <w:tcW w:w="10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980" w:type="dxa"/>
            <w:vAlign w:val="bottom"/>
            <w:gridSpan w:val="2"/>
          </w:tcPr>
          <w:p>
            <w:pPr>
              <w:jc w:val="right"/>
              <w:spacing w:after="0"/>
              <w:rPr>
                <w:sz w:val="20"/>
                <w:szCs w:val="20"/>
                <w:color w:val="auto"/>
              </w:rPr>
            </w:pPr>
            <w:r>
              <w:rPr>
                <w:rFonts w:ascii="Times New Roman" w:cs="Times New Roman" w:eastAsia="Times New Roman" w:hAnsi="Times New Roman"/>
                <w:sz w:val="14"/>
                <w:szCs w:val="14"/>
                <w:color w:val="auto"/>
              </w:rPr>
              <w:t>0.10 %</w:t>
            </w:r>
          </w:p>
        </w:tc>
        <w:tc>
          <w:tcPr>
            <w:tcW w:w="1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680" w:type="dxa"/>
            <w:vAlign w:val="bottom"/>
          </w:tcPr>
          <w:p>
            <w:pPr>
              <w:jc w:val="right"/>
              <w:ind w:right="8"/>
              <w:spacing w:after="0"/>
              <w:rPr>
                <w:sz w:val="20"/>
                <w:szCs w:val="20"/>
                <w:color w:val="auto"/>
              </w:rPr>
            </w:pPr>
            <w:r>
              <w:rPr>
                <w:rFonts w:ascii="Times New Roman" w:cs="Times New Roman" w:eastAsia="Times New Roman" w:hAnsi="Times New Roman"/>
                <w:sz w:val="14"/>
                <w:szCs w:val="14"/>
                <w:color w:val="auto"/>
              </w:rPr>
              <w:t>12</w:t>
            </w:r>
          </w:p>
        </w:tc>
        <w:tc>
          <w:tcPr>
            <w:tcW w:w="1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0.06 %</w:t>
            </w:r>
          </w:p>
        </w:tc>
        <w:tc>
          <w:tcPr>
            <w:tcW w:w="0" w:type="dxa"/>
            <w:vAlign w:val="bottom"/>
          </w:tcPr>
          <w:p>
            <w:pPr>
              <w:spacing w:after="0"/>
              <w:rPr>
                <w:sz w:val="1"/>
                <w:szCs w:val="1"/>
                <w:color w:val="auto"/>
              </w:rPr>
            </w:pPr>
          </w:p>
        </w:tc>
      </w:tr>
      <w:tr>
        <w:trPr>
          <w:trHeight w:val="221"/>
        </w:trPr>
        <w:tc>
          <w:tcPr>
            <w:tcW w:w="4260" w:type="dxa"/>
            <w:vAlign w:val="bottom"/>
            <w:tcBorders>
              <w:top w:val="single" w:sz="8" w:color="CCEEFF"/>
              <w:bottom w:val="single" w:sz="8" w:color="CCEEFF"/>
            </w:tcBorders>
            <w:gridSpan w:val="2"/>
            <w:shd w:val="clear" w:color="auto" w:fill="CCEEFF"/>
          </w:tcPr>
          <w:p>
            <w:pPr>
              <w:ind w:left="160"/>
              <w:spacing w:after="0"/>
              <w:rPr>
                <w:sz w:val="20"/>
                <w:szCs w:val="20"/>
                <w:color w:val="auto"/>
              </w:rPr>
            </w:pPr>
            <w:r>
              <w:rPr>
                <w:rFonts w:ascii="Times New Roman" w:cs="Times New Roman" w:eastAsia="Times New Roman" w:hAnsi="Times New Roman"/>
                <w:sz w:val="14"/>
                <w:szCs w:val="14"/>
                <w:color w:val="auto"/>
              </w:rPr>
              <w:t>Total economic interest expense (benefit) (non-GAAP measure)</w:t>
            </w: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6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w:t>
            </w:r>
          </w:p>
        </w:tc>
        <w:tc>
          <w:tcPr>
            <w:tcW w:w="120" w:type="dxa"/>
            <w:vAlign w:val="bottom"/>
            <w:tcBorders>
              <w:top w:val="single" w:sz="8" w:color="CCEEFF"/>
              <w:bottom w:val="single" w:sz="8" w:color="CCEEFF"/>
            </w:tcBorders>
            <w:shd w:val="clear" w:color="auto" w:fill="CCEEFF"/>
          </w:tcPr>
          <w:p>
            <w:pPr>
              <w:spacing w:after="0"/>
              <w:rPr>
                <w:sz w:val="18"/>
                <w:szCs w:val="18"/>
                <w:color w:val="auto"/>
              </w:rPr>
            </w:pPr>
          </w:p>
        </w:tc>
        <w:tc>
          <w:tcPr>
            <w:tcW w:w="8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0.09 %</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680" w:type="dxa"/>
            <w:vAlign w:val="bottom"/>
            <w:tcBorders>
              <w:top w:val="single" w:sz="8" w:color="auto"/>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tcBorders>
              <w:top w:val="single" w:sz="8" w:color="CCEEFF"/>
              <w:bottom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0.02 %</w:t>
            </w:r>
          </w:p>
        </w:tc>
        <w:tc>
          <w:tcPr>
            <w:tcW w:w="0" w:type="dxa"/>
            <w:vAlign w:val="bottom"/>
          </w:tcPr>
          <w:p>
            <w:pPr>
              <w:spacing w:after="0"/>
              <w:rPr>
                <w:sz w:val="1"/>
                <w:szCs w:val="1"/>
                <w:color w:val="auto"/>
              </w:rPr>
            </w:pPr>
          </w:p>
        </w:tc>
      </w:tr>
      <w:tr>
        <w:trPr>
          <w:trHeight w:val="20"/>
        </w:trPr>
        <w:tc>
          <w:tcPr>
            <w:tcW w:w="416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68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 w:lineRule="exact"/>
        <w:rPr>
          <w:sz w:val="20"/>
          <w:szCs w:val="20"/>
          <w:color w:val="auto"/>
        </w:rPr>
      </w:pPr>
    </w:p>
    <w:p>
      <w:pPr>
        <w:ind w:left="660" w:hanging="328"/>
        <w:spacing w:after="0" w:line="259" w:lineRule="auto"/>
        <w:tabs>
          <w:tab w:leader="none" w:pos="660" w:val="left"/>
        </w:tabs>
        <w:numPr>
          <w:ilvl w:val="0"/>
          <w:numId w:val="2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Amounts exclude interest rate swap termination fees and variation margin settlements paid or received, forward starting swaps and the impact of other supplemental hedges, such as swaptions and U.S. Treasury positions.</w:t>
      </w:r>
    </w:p>
    <w:p>
      <w:pPr>
        <w:ind w:left="660" w:hanging="328"/>
        <w:spacing w:after="0"/>
        <w:tabs>
          <w:tab w:leader="none" w:pos="660" w:val="left"/>
        </w:tabs>
        <w:numPr>
          <w:ilvl w:val="0"/>
          <w:numId w:val="2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Reported in gain (loss) on derivative instruments and other securities, net in our consolidated statements of comprehensive income.</w:t>
      </w:r>
    </w:p>
    <w:p>
      <w:pPr>
        <w:spacing w:after="0" w:line="14" w:lineRule="exact"/>
        <w:rPr>
          <w:rFonts w:ascii="Times New Roman" w:cs="Times New Roman" w:eastAsia="Times New Roman" w:hAnsi="Times New Roman"/>
          <w:sz w:val="14"/>
          <w:szCs w:val="14"/>
          <w:color w:val="auto"/>
        </w:rPr>
      </w:pPr>
    </w:p>
    <w:p>
      <w:pPr>
        <w:jc w:val="both"/>
        <w:ind w:left="660" w:hanging="328"/>
        <w:spacing w:after="0" w:line="256" w:lineRule="auto"/>
        <w:tabs>
          <w:tab w:leader="none" w:pos="660" w:val="left"/>
        </w:tabs>
        <w:numPr>
          <w:ilvl w:val="0"/>
          <w:numId w:val="2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implied funding cost (benefit) of TBA dollar roll transactions is determined using the price differential, or "price drop," between the TBA price for current month settlement versus the TBA price for forward month settlement and market based assumptions regarding the "cheapest-to-deliver" collateral that can be delivered to satisfy the TBA contract, such as the anticipated collateral’s weighted average coupon, weighted average maturity and projected 1-month CPR. The average implied funding cost (benefit) for all TBA transactions is weighted based on our daily average TBA balance outstanding for the period.</w:t>
      </w:r>
    </w:p>
    <w:p>
      <w:pPr>
        <w:spacing w:after="0" w:line="1" w:lineRule="exact"/>
        <w:rPr>
          <w:rFonts w:ascii="Times New Roman" w:cs="Times New Roman" w:eastAsia="Times New Roman" w:hAnsi="Times New Roman"/>
          <w:sz w:val="14"/>
          <w:szCs w:val="14"/>
          <w:color w:val="auto"/>
        </w:rPr>
      </w:pPr>
    </w:p>
    <w:p>
      <w:pPr>
        <w:ind w:left="660" w:hanging="328"/>
        <w:spacing w:after="0" w:line="254" w:lineRule="auto"/>
        <w:tabs>
          <w:tab w:leader="none" w:pos="660" w:val="left"/>
        </w:tabs>
        <w:numPr>
          <w:ilvl w:val="0"/>
          <w:numId w:val="2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The combined cost of funds for total mortgage borrowings outstanding, before interest rate swap costs, is calculated on a weighted average basis based on average repo, other debt and TBA balances outstanding during the period and their respective cost of funds.</w:t>
      </w:r>
    </w:p>
    <w:p>
      <w:pPr>
        <w:ind w:left="660" w:hanging="328"/>
        <w:spacing w:after="0"/>
        <w:tabs>
          <w:tab w:leader="none" w:pos="660" w:val="left"/>
        </w:tabs>
        <w:numPr>
          <w:ilvl w:val="0"/>
          <w:numId w:val="28"/>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Interest rate swap periodic cost is measured as a percent of average mortgage borrowings outstanding for the period.</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34" w:name="page35"/>
    <w:bookmarkEnd w:id="34"/>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The principal elements impacting our economic interest expense are (i) the size of our average mortgage borrowings and interest rate swap portfolio outstanding during the period, (ii) the average interest rate on our mortgage borrowings and (iii) the average net interest rate paid/received on our interest rate swaps. The following table includes a summary of the estimated impact of these elements on our economic interest expense for the three months ended March 31, 2022 compared to the prior year period (in millions):</w:t>
      </w:r>
    </w:p>
    <w:p>
      <w:pPr>
        <w:spacing w:after="0" w:line="16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4"/>
          <w:szCs w:val="14"/>
          <w:b w:val="1"/>
          <w:bCs w:val="1"/>
          <w:color w:val="auto"/>
        </w:rPr>
        <w:t>Impact of Changes in the Principal Elements of Economic Interest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33655</wp:posOffset>
            </wp:positionV>
            <wp:extent cx="6703695"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6703695" cy="8255"/>
                    </a:xfrm>
                    <a:prstGeom prst="rect">
                      <a:avLst/>
                    </a:prstGeom>
                    <a:noFill/>
                  </pic:spPr>
                </pic:pic>
              </a:graphicData>
            </a:graphic>
          </wp:anchor>
        </w:drawing>
      </w:r>
    </w:p>
    <w:p>
      <w:pPr>
        <w:spacing w:after="0" w:line="3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4"/>
          <w:szCs w:val="14"/>
          <w:b w:val="1"/>
          <w:bCs w:val="1"/>
          <w:color w:val="auto"/>
        </w:rPr>
        <w:t>Three Months Ended March 31, 2022 vs. March 31, 2021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219075</wp:posOffset>
            </wp:positionH>
            <wp:positionV relativeFrom="paragraph">
              <wp:posOffset>33655</wp:posOffset>
            </wp:positionV>
            <wp:extent cx="6703695" cy="82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6703695" cy="8255"/>
                    </a:xfrm>
                    <a:prstGeom prst="rect">
                      <a:avLst/>
                    </a:prstGeom>
                    <a:noFill/>
                  </pic:spPr>
                </pic:pic>
              </a:graphicData>
            </a:graphic>
          </wp:anchor>
        </w:drawing>
      </w:r>
    </w:p>
    <w:p>
      <w:pPr>
        <w:spacing w:after="0" w:line="35" w:lineRule="exact"/>
        <w:rPr>
          <w:sz w:val="20"/>
          <w:szCs w:val="20"/>
          <w:color w:val="auto"/>
        </w:rPr>
      </w:pPr>
    </w:p>
    <w:p>
      <w:pPr>
        <w:ind w:left="8660"/>
        <w:spacing w:after="0"/>
        <w:rPr>
          <w:sz w:val="20"/>
          <w:szCs w:val="20"/>
          <w:color w:val="auto"/>
        </w:rPr>
      </w:pPr>
      <w:r>
        <w:rPr>
          <w:rFonts w:ascii="Times New Roman" w:cs="Times New Roman" w:eastAsia="Times New Roman" w:hAnsi="Times New Roman"/>
          <w:sz w:val="14"/>
          <w:szCs w:val="14"/>
          <w:b w:val="1"/>
          <w:bCs w:val="1"/>
          <w:color w:val="auto"/>
        </w:rPr>
        <w:t>Due to Change in Average</w:t>
      </w:r>
    </w:p>
    <w:p>
      <w:pPr>
        <w:spacing w:after="0" w:line="33" w:lineRule="exact"/>
        <w:rPr>
          <w:sz w:val="20"/>
          <w:szCs w:val="20"/>
          <w:color w:val="auto"/>
        </w:rPr>
      </w:pPr>
    </w:p>
    <w:tbl>
      <w:tblPr>
        <w:tblLayout w:type="fixed"/>
        <w:tblInd w:w="340" w:type="dxa"/>
        <w:tblCellMar>
          <w:top w:w="0" w:type="dxa"/>
          <w:left w:w="0" w:type="dxa"/>
          <w:bottom w:w="0" w:type="dxa"/>
          <w:right w:w="0" w:type="dxa"/>
        </w:tblCellMar>
      </w:tblPr>
      <w:tr>
        <w:trPr>
          <w:trHeight w:val="151"/>
        </w:trPr>
        <w:tc>
          <w:tcPr>
            <w:tcW w:w="610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CCEEFF"/>
            </w:tcBorders>
            <w:shd w:val="clear" w:color="auto" w:fill="CCEEFF"/>
          </w:tcPr>
          <w:p>
            <w:pPr>
              <w:spacing w:after="0"/>
              <w:rPr>
                <w:sz w:val="13"/>
                <w:szCs w:val="13"/>
                <w:color w:val="auto"/>
              </w:rPr>
            </w:pPr>
          </w:p>
        </w:tc>
        <w:tc>
          <w:tcPr>
            <w:tcW w:w="1160" w:type="dxa"/>
            <w:vAlign w:val="bottom"/>
            <w:tcBorders>
              <w:top w:val="single" w:sz="8" w:color="CCEEFF"/>
            </w:tcBorders>
            <w:shd w:val="clear" w:color="auto" w:fill="CCEEFF"/>
          </w:tcPr>
          <w:p>
            <w:pPr>
              <w:jc w:val="right"/>
              <w:spacing w:after="0" w:line="151" w:lineRule="exact"/>
              <w:rPr>
                <w:sz w:val="20"/>
                <w:szCs w:val="20"/>
                <w:color w:val="auto"/>
              </w:rPr>
            </w:pPr>
            <w:r>
              <w:rPr>
                <w:rFonts w:ascii="Times New Roman" w:cs="Times New Roman" w:eastAsia="Times New Roman" w:hAnsi="Times New Roman"/>
                <w:sz w:val="14"/>
                <w:szCs w:val="14"/>
                <w:b w:val="1"/>
                <w:bCs w:val="1"/>
                <w:color w:val="auto"/>
              </w:rPr>
              <w:t>Total Increase /</w:t>
            </w:r>
          </w:p>
        </w:tc>
        <w:tc>
          <w:tcPr>
            <w:tcW w:w="220" w:type="dxa"/>
            <w:vAlign w:val="bottom"/>
            <w:tcBorders>
              <w:top w:val="single" w:sz="8" w:color="CCEEFF"/>
            </w:tcBorders>
            <w:shd w:val="clear" w:color="auto" w:fill="CCEEFF"/>
          </w:tcPr>
          <w:p>
            <w:pPr>
              <w:spacing w:after="0"/>
              <w:rPr>
                <w:sz w:val="13"/>
                <w:szCs w:val="13"/>
                <w:color w:val="auto"/>
              </w:rPr>
            </w:pPr>
          </w:p>
        </w:tc>
        <w:tc>
          <w:tcPr>
            <w:tcW w:w="100" w:type="dxa"/>
            <w:vAlign w:val="bottom"/>
            <w:tcBorders>
              <w:top w:val="single" w:sz="8" w:color="CCEEFF"/>
            </w:tcBorders>
            <w:shd w:val="clear" w:color="auto" w:fill="CCEEFF"/>
          </w:tcPr>
          <w:p>
            <w:pPr>
              <w:spacing w:after="0"/>
              <w:rPr>
                <w:sz w:val="13"/>
                <w:szCs w:val="13"/>
                <w:color w:val="auto"/>
              </w:rPr>
            </w:pPr>
          </w:p>
        </w:tc>
        <w:tc>
          <w:tcPr>
            <w:tcW w:w="120" w:type="dxa"/>
            <w:vAlign w:val="bottom"/>
            <w:tcBorders>
              <w:top w:val="single" w:sz="8" w:color="auto"/>
            </w:tcBorders>
            <w:shd w:val="clear" w:color="auto" w:fill="CCEEFF"/>
          </w:tcPr>
          <w:p>
            <w:pPr>
              <w:spacing w:after="0"/>
              <w:rPr>
                <w:sz w:val="13"/>
                <w:szCs w:val="13"/>
                <w:color w:val="auto"/>
              </w:rPr>
            </w:pPr>
          </w:p>
        </w:tc>
        <w:tc>
          <w:tcPr>
            <w:tcW w:w="1360" w:type="dxa"/>
            <w:vAlign w:val="bottom"/>
            <w:tcBorders>
              <w:top w:val="single" w:sz="8" w:color="auto"/>
            </w:tcBorders>
            <w:gridSpan w:val="2"/>
            <w:shd w:val="clear" w:color="auto" w:fill="CCEEFF"/>
          </w:tcPr>
          <w:p>
            <w:pPr>
              <w:jc w:val="center"/>
              <w:ind w:right="220"/>
              <w:spacing w:after="0" w:line="151" w:lineRule="exact"/>
              <w:rPr>
                <w:sz w:val="20"/>
                <w:szCs w:val="20"/>
                <w:color w:val="auto"/>
              </w:rPr>
            </w:pPr>
            <w:r>
              <w:rPr>
                <w:rFonts w:ascii="Times New Roman" w:cs="Times New Roman" w:eastAsia="Times New Roman" w:hAnsi="Times New Roman"/>
                <w:sz w:val="14"/>
                <w:szCs w:val="14"/>
                <w:b w:val="1"/>
                <w:bCs w:val="1"/>
                <w:color w:val="auto"/>
              </w:rPr>
              <w:t>Borrowing / Swap</w:t>
            </w:r>
          </w:p>
        </w:tc>
        <w:tc>
          <w:tcPr>
            <w:tcW w:w="120" w:type="dxa"/>
            <w:vAlign w:val="bottom"/>
            <w:tcBorders>
              <w:top w:val="single" w:sz="8" w:color="auto"/>
            </w:tcBorders>
            <w:shd w:val="clear" w:color="auto" w:fill="CCEEFF"/>
          </w:tcPr>
          <w:p>
            <w:pPr>
              <w:spacing w:after="0"/>
              <w:rPr>
                <w:sz w:val="13"/>
                <w:szCs w:val="13"/>
                <w:color w:val="auto"/>
              </w:rPr>
            </w:pPr>
          </w:p>
        </w:tc>
        <w:tc>
          <w:tcPr>
            <w:tcW w:w="1260" w:type="dxa"/>
            <w:vAlign w:val="bottom"/>
            <w:tcBorders>
              <w:top w:val="single" w:sz="8" w:color="auto"/>
            </w:tcBorders>
            <w:shd w:val="clear" w:color="auto" w:fill="CCEEFF"/>
          </w:tcPr>
          <w:p>
            <w:pPr>
              <w:jc w:val="center"/>
              <w:ind w:right="48"/>
              <w:spacing w:after="0" w:line="151" w:lineRule="exact"/>
              <w:rPr>
                <w:sz w:val="20"/>
                <w:szCs w:val="20"/>
                <w:color w:val="auto"/>
              </w:rPr>
            </w:pPr>
            <w:r>
              <w:rPr>
                <w:rFonts w:ascii="Times New Roman" w:cs="Times New Roman" w:eastAsia="Times New Roman" w:hAnsi="Times New Roman"/>
                <w:sz w:val="14"/>
                <w:szCs w:val="14"/>
                <w:b w:val="1"/>
                <w:bCs w:val="1"/>
                <w:color w:val="auto"/>
              </w:rPr>
              <w:t>Borrowing / Swap</w:t>
            </w:r>
          </w:p>
        </w:tc>
      </w:tr>
      <w:tr>
        <w:trPr>
          <w:trHeight w:val="200"/>
        </w:trPr>
        <w:tc>
          <w:tcPr>
            <w:tcW w:w="6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16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b w:val="1"/>
                <w:bCs w:val="1"/>
                <w:color w:val="auto"/>
              </w:rPr>
              <w:t>(Decrease)</w:t>
            </w:r>
          </w:p>
        </w:tc>
        <w:tc>
          <w:tcPr>
            <w:tcW w:w="220" w:type="dxa"/>
            <w:vAlign w:val="bottom"/>
            <w:shd w:val="clear" w:color="auto" w:fill="CCEEFF"/>
          </w:tcPr>
          <w:p>
            <w:pPr>
              <w:spacing w:after="0"/>
              <w:rPr>
                <w:sz w:val="17"/>
                <w:szCs w:val="17"/>
                <w:color w:val="auto"/>
              </w:rPr>
            </w:pPr>
          </w:p>
        </w:tc>
        <w:tc>
          <w:tcPr>
            <w:tcW w:w="10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60" w:type="dxa"/>
            <w:vAlign w:val="bottom"/>
            <w:gridSpan w:val="2"/>
            <w:shd w:val="clear" w:color="auto" w:fill="CCEEFF"/>
          </w:tcPr>
          <w:p>
            <w:pPr>
              <w:jc w:val="center"/>
              <w:ind w:right="220"/>
              <w:spacing w:after="0"/>
              <w:rPr>
                <w:sz w:val="20"/>
                <w:szCs w:val="20"/>
                <w:color w:val="auto"/>
              </w:rPr>
            </w:pPr>
            <w:r>
              <w:rPr>
                <w:rFonts w:ascii="Times New Roman" w:cs="Times New Roman" w:eastAsia="Times New Roman" w:hAnsi="Times New Roman"/>
                <w:sz w:val="14"/>
                <w:szCs w:val="14"/>
                <w:b w:val="1"/>
                <w:bCs w:val="1"/>
                <w:color w:val="auto"/>
              </w:rPr>
              <w:t>Balance</w:t>
            </w:r>
          </w:p>
        </w:tc>
        <w:tc>
          <w:tcPr>
            <w:tcW w:w="120" w:type="dxa"/>
            <w:vAlign w:val="bottom"/>
            <w:shd w:val="clear" w:color="auto" w:fill="CCEEFF"/>
          </w:tcPr>
          <w:p>
            <w:pPr>
              <w:spacing w:after="0"/>
              <w:rPr>
                <w:sz w:val="17"/>
                <w:szCs w:val="17"/>
                <w:color w:val="auto"/>
              </w:rPr>
            </w:pPr>
          </w:p>
        </w:tc>
        <w:tc>
          <w:tcPr>
            <w:tcW w:w="1260" w:type="dxa"/>
            <w:vAlign w:val="bottom"/>
            <w:shd w:val="clear" w:color="auto" w:fill="CCEEFF"/>
          </w:tcPr>
          <w:p>
            <w:pPr>
              <w:jc w:val="center"/>
              <w:ind w:right="28"/>
              <w:spacing w:after="0"/>
              <w:rPr>
                <w:sz w:val="20"/>
                <w:szCs w:val="20"/>
                <w:color w:val="auto"/>
              </w:rPr>
            </w:pPr>
            <w:r>
              <w:rPr>
                <w:rFonts w:ascii="Times New Roman" w:cs="Times New Roman" w:eastAsia="Times New Roman" w:hAnsi="Times New Roman"/>
                <w:sz w:val="14"/>
                <w:szCs w:val="14"/>
                <w:b w:val="1"/>
                <w:bCs w:val="1"/>
                <w:color w:val="auto"/>
                <w:w w:val="99"/>
              </w:rPr>
              <w:t>Rate</w:t>
            </w:r>
          </w:p>
        </w:tc>
      </w:tr>
      <w:tr>
        <w:trPr>
          <w:trHeight w:val="189"/>
        </w:trPr>
        <w:tc>
          <w:tcPr>
            <w:tcW w:w="610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14"/>
                <w:szCs w:val="14"/>
                <w:color w:val="auto"/>
              </w:rPr>
              <w:t>Repurchase agreements and other debt interest expense</w:t>
            </w:r>
          </w:p>
        </w:tc>
        <w:tc>
          <w:tcPr>
            <w:tcW w:w="120" w:type="dxa"/>
            <w:vAlign w:val="bottom"/>
          </w:tcPr>
          <w:p>
            <w:pPr>
              <w:spacing w:after="0"/>
              <w:rPr>
                <w:sz w:val="16"/>
                <w:szCs w:val="16"/>
                <w:color w:val="auto"/>
              </w:rPr>
            </w:pPr>
          </w:p>
        </w:tc>
        <w:tc>
          <w:tcPr>
            <w:tcW w:w="1160" w:type="dxa"/>
            <w:vAlign w:val="bottom"/>
            <w:tcBorders>
              <w:top w:val="single" w:sz="8" w:color="auto"/>
            </w:tcBorders>
          </w:tcPr>
          <w:p>
            <w:pPr>
              <w:jc w:val="right"/>
              <w:ind w:right="1008"/>
              <w:spacing w:after="0"/>
              <w:rPr>
                <w:sz w:val="20"/>
                <w:szCs w:val="20"/>
                <w:color w:val="auto"/>
              </w:rPr>
            </w:pPr>
            <w:r>
              <w:rPr>
                <w:rFonts w:ascii="Times New Roman" w:cs="Times New Roman" w:eastAsia="Times New Roman" w:hAnsi="Times New Roman"/>
                <w:sz w:val="14"/>
                <w:szCs w:val="14"/>
                <w:color w:val="auto"/>
                <w:w w:val="85"/>
              </w:rPr>
              <w:t>$</w:t>
            </w:r>
          </w:p>
        </w:tc>
        <w:tc>
          <w:tcPr>
            <w:tcW w:w="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w w:val="97"/>
              </w:rPr>
              <w:t>(2)</w:t>
            </w:r>
          </w:p>
        </w:tc>
        <w:tc>
          <w:tcPr>
            <w:tcW w:w="100" w:type="dxa"/>
            <w:vAlign w:val="bottom"/>
          </w:tcPr>
          <w:p>
            <w:pPr>
              <w:spacing w:after="0"/>
              <w:rPr>
                <w:sz w:val="16"/>
                <w:szCs w:val="16"/>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(4)</w:t>
            </w:r>
          </w:p>
        </w:tc>
        <w:tc>
          <w:tcPr>
            <w:tcW w:w="100" w:type="dxa"/>
            <w:vAlign w:val="bottom"/>
          </w:tcPr>
          <w:p>
            <w:pPr>
              <w:spacing w:after="0"/>
              <w:rPr>
                <w:sz w:val="16"/>
                <w:szCs w:val="16"/>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tcBorders>
              <w:top w:val="single" w:sz="8" w:color="auto"/>
            </w:tcBorders>
          </w:tcPr>
          <w:p>
            <w:pPr>
              <w:jc w:val="center"/>
              <w:ind w:left="988"/>
              <w:spacing w:after="0"/>
              <w:rPr>
                <w:sz w:val="20"/>
                <w:szCs w:val="20"/>
                <w:color w:val="auto"/>
              </w:rPr>
            </w:pPr>
            <w:r>
              <w:rPr>
                <w:rFonts w:ascii="Times New Roman" w:cs="Times New Roman" w:eastAsia="Times New Roman" w:hAnsi="Times New Roman"/>
                <w:sz w:val="14"/>
                <w:szCs w:val="14"/>
                <w:color w:val="auto"/>
              </w:rPr>
              <w:t>2</w:t>
            </w:r>
          </w:p>
        </w:tc>
      </w:tr>
      <w:tr>
        <w:trPr>
          <w:trHeight w:val="210"/>
        </w:trPr>
        <w:tc>
          <w:tcPr>
            <w:tcW w:w="622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TBA dollar roll income - implied interest benefit/expense</w:t>
            </w:r>
          </w:p>
        </w:tc>
        <w:tc>
          <w:tcPr>
            <w:tcW w:w="1160" w:type="dxa"/>
            <w:vAlign w:val="bottom"/>
            <w:shd w:val="clear" w:color="auto" w:fill="CCEEFF"/>
          </w:tcPr>
          <w:p>
            <w:pPr>
              <w:spacing w:after="0"/>
              <w:rPr>
                <w:sz w:val="18"/>
                <w:szCs w:val="18"/>
                <w:color w:val="auto"/>
              </w:rPr>
            </w:pPr>
          </w:p>
        </w:tc>
        <w:tc>
          <w:tcPr>
            <w:tcW w:w="220" w:type="dxa"/>
            <w:vAlign w:val="bottom"/>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rPr>
              <w:t>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jc w:val="center"/>
              <w:ind w:left="968"/>
              <w:spacing w:after="0"/>
              <w:rPr>
                <w:sz w:val="20"/>
                <w:szCs w:val="20"/>
                <w:color w:val="auto"/>
              </w:rPr>
            </w:pPr>
            <w:r>
              <w:rPr>
                <w:rFonts w:ascii="Times New Roman" w:cs="Times New Roman" w:eastAsia="Times New Roman" w:hAnsi="Times New Roman"/>
                <w:sz w:val="14"/>
                <w:szCs w:val="14"/>
                <w:color w:val="auto"/>
              </w:rPr>
              <w:t>(1)</w:t>
            </w:r>
          </w:p>
        </w:tc>
      </w:tr>
      <w:tr>
        <w:trPr>
          <w:trHeight w:val="196"/>
        </w:trPr>
        <w:tc>
          <w:tcPr>
            <w:tcW w:w="622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4"/>
                <w:szCs w:val="14"/>
                <w:color w:val="auto"/>
              </w:rPr>
              <w:t>Interest rate swap periodic cost</w:t>
            </w:r>
          </w:p>
        </w:tc>
        <w:tc>
          <w:tcPr>
            <w:tcW w:w="11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jc w:val="right"/>
              <w:ind w:right="8"/>
              <w:spacing w:after="0"/>
              <w:rPr>
                <w:sz w:val="20"/>
                <w:szCs w:val="20"/>
                <w:color w:val="auto"/>
              </w:rPr>
            </w:pPr>
            <w:r>
              <w:rPr>
                <w:rFonts w:ascii="Times New Roman" w:cs="Times New Roman" w:eastAsia="Times New Roman" w:hAnsi="Times New Roman"/>
                <w:sz w:val="14"/>
                <w:szCs w:val="14"/>
                <w:color w:val="auto"/>
              </w:rPr>
              <w:t>6</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center"/>
              <w:ind w:left="988"/>
              <w:spacing w:after="0"/>
              <w:rPr>
                <w:sz w:val="20"/>
                <w:szCs w:val="20"/>
                <w:color w:val="auto"/>
              </w:rPr>
            </w:pPr>
            <w:r>
              <w:rPr>
                <w:rFonts w:ascii="Times New Roman" w:cs="Times New Roman" w:eastAsia="Times New Roman" w:hAnsi="Times New Roman"/>
                <w:sz w:val="14"/>
                <w:szCs w:val="14"/>
                <w:color w:val="auto"/>
              </w:rPr>
              <w:t>4</w:t>
            </w:r>
          </w:p>
        </w:tc>
      </w:tr>
      <w:tr>
        <w:trPr>
          <w:trHeight w:val="228"/>
        </w:trPr>
        <w:tc>
          <w:tcPr>
            <w:tcW w:w="622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change in economic interest benefit/expense</w:t>
            </w:r>
          </w:p>
        </w:tc>
        <w:tc>
          <w:tcPr>
            <w:tcW w:w="1160" w:type="dxa"/>
            <w:vAlign w:val="bottom"/>
            <w:tcBorders>
              <w:bottom w:val="single" w:sz="8" w:color="auto"/>
            </w:tcBorders>
            <w:shd w:val="clear" w:color="auto" w:fill="CCEEFF"/>
          </w:tcPr>
          <w:p>
            <w:pPr>
              <w:jc w:val="right"/>
              <w:ind w:right="1008"/>
              <w:spacing w:after="0"/>
              <w:rPr>
                <w:sz w:val="20"/>
                <w:szCs w:val="20"/>
                <w:color w:val="auto"/>
              </w:rPr>
            </w:pPr>
            <w:r>
              <w:rPr>
                <w:rFonts w:ascii="Times New Roman" w:cs="Times New Roman" w:eastAsia="Times New Roman" w:hAnsi="Times New Roman"/>
                <w:sz w:val="14"/>
                <w:szCs w:val="14"/>
                <w:color w:val="auto"/>
                <w:w w:val="85"/>
              </w:rPr>
              <w:t>$</w:t>
            </w:r>
          </w:p>
        </w:tc>
        <w:tc>
          <w:tcPr>
            <w:tcW w:w="220" w:type="dxa"/>
            <w:vAlign w:val="bottom"/>
            <w:tcBorders>
              <w:bottom w:val="single" w:sz="8" w:color="auto"/>
            </w:tcBorders>
            <w:shd w:val="clear" w:color="auto" w:fill="CCEEFF"/>
          </w:tcPr>
          <w:p>
            <w:pPr>
              <w:jc w:val="right"/>
              <w:ind w:right="8"/>
              <w:spacing w:after="0"/>
              <w:rPr>
                <w:sz w:val="20"/>
                <w:szCs w:val="20"/>
                <w:color w:val="auto"/>
              </w:rPr>
            </w:pPr>
            <w:r>
              <w:rPr>
                <w:rFonts w:ascii="Times New Roman" w:cs="Times New Roman" w:eastAsia="Times New Roman" w:hAnsi="Times New Roman"/>
                <w:sz w:val="14"/>
                <w:szCs w:val="14"/>
                <w:color w:val="auto"/>
                <w:w w:val="85"/>
              </w:rPr>
              <w:t>13</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60" w:type="dxa"/>
            <w:vAlign w:val="bottom"/>
            <w:tcBorders>
              <w:bottom w:val="single" w:sz="8" w:color="auto"/>
            </w:tcBorders>
            <w:shd w:val="clear" w:color="auto" w:fill="CCEEFF"/>
          </w:tcPr>
          <w:p>
            <w:pPr>
              <w:jc w:val="center"/>
              <w:ind w:left="988"/>
              <w:spacing w:after="0"/>
              <w:rPr>
                <w:sz w:val="20"/>
                <w:szCs w:val="20"/>
                <w:color w:val="auto"/>
              </w:rPr>
            </w:pPr>
            <w:r>
              <w:rPr>
                <w:rFonts w:ascii="Times New Roman" w:cs="Times New Roman" w:eastAsia="Times New Roman" w:hAnsi="Times New Roman"/>
                <w:sz w:val="14"/>
                <w:szCs w:val="14"/>
                <w:color w:val="auto"/>
              </w:rPr>
              <w:t>5</w:t>
            </w:r>
          </w:p>
        </w:tc>
      </w:tr>
      <w:tr>
        <w:trPr>
          <w:trHeight w:val="20"/>
        </w:trPr>
        <w:tc>
          <w:tcPr>
            <w:tcW w:w="6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r>
    </w:tbl>
    <w:p>
      <w:pPr>
        <w:spacing w:after="0" w:line="252"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Our average mortgage borrowings, inclusive of TBAs, decreased 19% for the three months ended March 31, 2022, compared to the prior year period, due to a decline in stockholders' equity and smaller asset base. The average interest rate on our mortgage borrowings for the three months ended March 31, 2022 was largely unchanged from the prior year period, increasing 3 basis points. The increase in our interest rate swap periodic cost for the three months ended March 31, 2022 was a function of our average swap balance outstanding and the average fixed rate paid / floating rate received. The following is a summary of our average interest rate swaps outstanding and the related average swap pay and receive rates for the three months ended March 31, 2022 and 2021 (dollars in millions). Amounts exclude forward starting swaps not yet in effect.</w:t>
      </w:r>
    </w:p>
    <w:tbl>
      <w:tblPr>
        <w:tblLayout w:type="fixed"/>
        <w:tblInd w:w="1080" w:type="dxa"/>
        <w:tblCellMar>
          <w:top w:w="0" w:type="dxa"/>
          <w:left w:w="0" w:type="dxa"/>
          <w:bottom w:w="0" w:type="dxa"/>
          <w:right w:w="0" w:type="dxa"/>
        </w:tblCellMar>
      </w:tblPr>
      <w:tr>
        <w:trPr>
          <w:trHeight w:val="154"/>
        </w:trPr>
        <w:tc>
          <w:tcPr>
            <w:tcW w:w="66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100" w:type="dxa"/>
            <w:vAlign w:val="bottom"/>
            <w:gridSpan w:val="4"/>
          </w:tcPr>
          <w:p>
            <w:pPr>
              <w:jc w:val="right"/>
              <w:ind w:right="448"/>
              <w:spacing w:after="0" w:line="154" w:lineRule="exact"/>
              <w:rPr>
                <w:sz w:val="20"/>
                <w:szCs w:val="20"/>
                <w:color w:val="auto"/>
              </w:rPr>
            </w:pPr>
            <w:r>
              <w:rPr>
                <w:rFonts w:ascii="Times New Roman" w:cs="Times New Roman" w:eastAsia="Times New Roman" w:hAnsi="Times New Roman"/>
                <w:sz w:val="14"/>
                <w:szCs w:val="14"/>
                <w:b w:val="1"/>
                <w:bCs w:val="1"/>
                <w:color w:val="auto"/>
              </w:rPr>
              <w:t>Three Months Ended</w:t>
            </w:r>
          </w:p>
        </w:tc>
        <w:tc>
          <w:tcPr>
            <w:tcW w:w="0" w:type="dxa"/>
            <w:vAlign w:val="bottom"/>
          </w:tcPr>
          <w:p>
            <w:pPr>
              <w:spacing w:after="0"/>
              <w:rPr>
                <w:sz w:val="1"/>
                <w:szCs w:val="1"/>
                <w:color w:val="auto"/>
              </w:rPr>
            </w:pPr>
          </w:p>
        </w:tc>
      </w:tr>
      <w:tr>
        <w:trPr>
          <w:trHeight w:val="195"/>
        </w:trPr>
        <w:tc>
          <w:tcPr>
            <w:tcW w:w="676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Average Ratio of Interest Rate Swaps (Excluding Forward Starting Swaps) to Mortgage Borrowings</w:t>
            </w:r>
          </w:p>
        </w:tc>
        <w:tc>
          <w:tcPr>
            <w:tcW w:w="24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gridSpan w:val="3"/>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78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22"/>
        </w:trPr>
        <w:tc>
          <w:tcPr>
            <w:tcW w:w="6760" w:type="dxa"/>
            <w:vAlign w:val="bottom"/>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880" w:type="dxa"/>
            <w:vAlign w:val="bottom"/>
            <w:vMerge w:val="restart"/>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780" w:type="dxa"/>
            <w:vAlign w:val="bottom"/>
            <w:vMerge w:val="restart"/>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195"/>
        </w:trPr>
        <w:tc>
          <w:tcPr>
            <w:tcW w:w="67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Outstanding</w:t>
            </w:r>
          </w:p>
        </w:tc>
        <w:tc>
          <w:tcPr>
            <w:tcW w:w="240" w:type="dxa"/>
            <w:vAlign w:val="bottom"/>
          </w:tcPr>
          <w:p>
            <w:pPr>
              <w:spacing w:after="0"/>
              <w:rPr>
                <w:sz w:val="16"/>
                <w:szCs w:val="16"/>
                <w:color w:val="auto"/>
              </w:rPr>
            </w:pPr>
          </w:p>
        </w:tc>
        <w:tc>
          <w:tcPr>
            <w:tcW w:w="880" w:type="dxa"/>
            <w:vAlign w:val="bottom"/>
            <w:vMerge w:val="continue"/>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8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201"/>
        </w:trPr>
        <w:tc>
          <w:tcPr>
            <w:tcW w:w="664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Average Agency repo and other debt outstanding</w:t>
            </w:r>
          </w:p>
        </w:tc>
        <w:tc>
          <w:tcPr>
            <w:tcW w:w="12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top w:val="single" w:sz="8" w:color="auto"/>
            </w:tcBorders>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46,570</w:t>
            </w:r>
          </w:p>
        </w:tc>
        <w:tc>
          <w:tcPr>
            <w:tcW w:w="100" w:type="dxa"/>
            <w:vAlign w:val="bottom"/>
            <w:tcBorders>
              <w:top w:val="single" w:sz="8" w:color="CCEEFF"/>
            </w:tcBorders>
            <w:shd w:val="clear" w:color="auto" w:fill="CCEEFF"/>
          </w:tcPr>
          <w:p>
            <w:pPr>
              <w:spacing w:after="0"/>
              <w:rPr>
                <w:sz w:val="17"/>
                <w:szCs w:val="17"/>
                <w:color w:val="auto"/>
              </w:rPr>
            </w:pPr>
          </w:p>
        </w:tc>
        <w:tc>
          <w:tcPr>
            <w:tcW w:w="340" w:type="dxa"/>
            <w:vAlign w:val="bottom"/>
            <w:tcBorders>
              <w:top w:val="single" w:sz="8" w:color="auto"/>
            </w:tcBorders>
            <w:shd w:val="clear" w:color="auto" w:fill="CCEEFF"/>
          </w:tcPr>
          <w:p>
            <w:pPr>
              <w:jc w:val="right"/>
              <w:ind w:right="18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Borders>
              <w:top w:val="single" w:sz="8" w:color="auto"/>
            </w:tcBorders>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54,602</w:t>
            </w:r>
          </w:p>
        </w:tc>
        <w:tc>
          <w:tcPr>
            <w:tcW w:w="0" w:type="dxa"/>
            <w:vAlign w:val="bottom"/>
          </w:tcPr>
          <w:p>
            <w:pPr>
              <w:spacing w:after="0"/>
              <w:rPr>
                <w:sz w:val="1"/>
                <w:szCs w:val="1"/>
                <w:color w:val="auto"/>
              </w:rPr>
            </w:pPr>
          </w:p>
        </w:tc>
      </w:tr>
      <w:tr>
        <w:trPr>
          <w:trHeight w:val="196"/>
        </w:trPr>
        <w:tc>
          <w:tcPr>
            <w:tcW w:w="6760" w:type="dxa"/>
            <w:vAlign w:val="bottom"/>
            <w:tcBorders>
              <w:bottom w:val="single" w:sz="8" w:color="CCEEFF"/>
            </w:tcBorders>
            <w:gridSpan w:val="2"/>
          </w:tcPr>
          <w:p>
            <w:pPr>
              <w:spacing w:after="0"/>
              <w:rPr>
                <w:sz w:val="20"/>
                <w:szCs w:val="20"/>
                <w:color w:val="auto"/>
              </w:rPr>
            </w:pPr>
            <w:r>
              <w:rPr>
                <w:rFonts w:ascii="Times New Roman" w:cs="Times New Roman" w:eastAsia="Times New Roman" w:hAnsi="Times New Roman"/>
                <w:sz w:val="14"/>
                <w:szCs w:val="14"/>
                <w:color w:val="auto"/>
              </w:rPr>
              <w:t>Average net TBA dollar roll position outstanding - at cost</w:t>
            </w:r>
          </w:p>
        </w:tc>
        <w:tc>
          <w:tcPr>
            <w:tcW w:w="240" w:type="dxa"/>
            <w:vAlign w:val="bottom"/>
            <w:tcBorders>
              <w:bottom w:val="single" w:sz="8" w:color="auto"/>
            </w:tcBorders>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Borders>
              <w:bottom w:val="single" w:sz="8" w:color="auto"/>
            </w:tcBorders>
          </w:tcPr>
          <w:p>
            <w:pPr>
              <w:jc w:val="right"/>
              <w:ind w:right="128"/>
              <w:spacing w:after="0"/>
              <w:rPr>
                <w:sz w:val="20"/>
                <w:szCs w:val="20"/>
                <w:color w:val="auto"/>
              </w:rPr>
            </w:pPr>
            <w:r>
              <w:rPr>
                <w:rFonts w:ascii="Times New Roman" w:cs="Times New Roman" w:eastAsia="Times New Roman" w:hAnsi="Times New Roman"/>
                <w:sz w:val="14"/>
                <w:szCs w:val="14"/>
                <w:color w:val="auto"/>
              </w:rPr>
              <w:t>23,605</w:t>
            </w:r>
          </w:p>
        </w:tc>
        <w:tc>
          <w:tcPr>
            <w:tcW w:w="100" w:type="dxa"/>
            <w:vAlign w:val="bottom"/>
            <w:tcBorders>
              <w:bottom w:val="single" w:sz="8" w:color="CCEEFF"/>
            </w:tcBorders>
          </w:tcPr>
          <w:p>
            <w:pPr>
              <w:spacing w:after="0"/>
              <w:rPr>
                <w:sz w:val="17"/>
                <w:szCs w:val="17"/>
                <w:color w:val="auto"/>
              </w:rPr>
            </w:pPr>
          </w:p>
        </w:tc>
        <w:tc>
          <w:tcPr>
            <w:tcW w:w="340" w:type="dxa"/>
            <w:vAlign w:val="bottom"/>
            <w:tcBorders>
              <w:bottom w:val="single" w:sz="8" w:color="auto"/>
            </w:tcBorders>
          </w:tcPr>
          <w:p>
            <w:pPr>
              <w:jc w:val="right"/>
              <w:ind w:right="18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Borders>
              <w:bottom w:val="single" w:sz="8" w:color="auto"/>
            </w:tcBorders>
          </w:tcPr>
          <w:p>
            <w:pPr>
              <w:jc w:val="right"/>
              <w:ind w:right="108"/>
              <w:spacing w:after="0"/>
              <w:rPr>
                <w:sz w:val="20"/>
                <w:szCs w:val="20"/>
                <w:color w:val="auto"/>
              </w:rPr>
            </w:pPr>
            <w:r>
              <w:rPr>
                <w:rFonts w:ascii="Times New Roman" w:cs="Times New Roman" w:eastAsia="Times New Roman" w:hAnsi="Times New Roman"/>
                <w:sz w:val="14"/>
                <w:szCs w:val="14"/>
                <w:color w:val="auto"/>
              </w:rPr>
              <w:t>32,022</w:t>
            </w:r>
          </w:p>
        </w:tc>
        <w:tc>
          <w:tcPr>
            <w:tcW w:w="0" w:type="dxa"/>
            <w:vAlign w:val="bottom"/>
          </w:tcPr>
          <w:p>
            <w:pPr>
              <w:spacing w:after="0"/>
              <w:rPr>
                <w:sz w:val="1"/>
                <w:szCs w:val="1"/>
                <w:color w:val="auto"/>
              </w:rPr>
            </w:pPr>
          </w:p>
        </w:tc>
      </w:tr>
      <w:tr>
        <w:trPr>
          <w:trHeight w:val="203"/>
        </w:trPr>
        <w:tc>
          <w:tcPr>
            <w:tcW w:w="676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Average mortgage borrowings outstanding</w:t>
            </w:r>
          </w:p>
        </w:tc>
        <w:tc>
          <w:tcPr>
            <w:tcW w:w="240" w:type="dxa"/>
            <w:vAlign w:val="bottom"/>
            <w:shd w:val="clear" w:color="auto" w:fill="CCEEFF"/>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shd w:val="clear" w:color="auto" w:fill="CCEEFF"/>
          </w:tcPr>
          <w:p>
            <w:pPr>
              <w:jc w:val="right"/>
              <w:ind w:right="128"/>
              <w:spacing w:after="0"/>
              <w:rPr>
                <w:sz w:val="20"/>
                <w:szCs w:val="20"/>
                <w:color w:val="auto"/>
              </w:rPr>
            </w:pPr>
            <w:r>
              <w:rPr>
                <w:rFonts w:ascii="Times New Roman" w:cs="Times New Roman" w:eastAsia="Times New Roman" w:hAnsi="Times New Roman"/>
                <w:sz w:val="14"/>
                <w:szCs w:val="14"/>
                <w:color w:val="auto"/>
              </w:rPr>
              <w:t>70,175</w:t>
            </w:r>
          </w:p>
        </w:tc>
        <w:tc>
          <w:tcPr>
            <w:tcW w:w="100" w:type="dxa"/>
            <w:vAlign w:val="bottom"/>
            <w:shd w:val="clear" w:color="auto" w:fill="CCEEFF"/>
          </w:tcPr>
          <w:p>
            <w:pPr>
              <w:spacing w:after="0"/>
              <w:rPr>
                <w:sz w:val="17"/>
                <w:szCs w:val="17"/>
                <w:color w:val="auto"/>
              </w:rPr>
            </w:pPr>
          </w:p>
        </w:tc>
        <w:tc>
          <w:tcPr>
            <w:tcW w:w="340" w:type="dxa"/>
            <w:vAlign w:val="bottom"/>
            <w:shd w:val="clear" w:color="auto" w:fill="CCEEFF"/>
          </w:tcPr>
          <w:p>
            <w:pPr>
              <w:jc w:val="right"/>
              <w:ind w:right="18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shd w:val="clear" w:color="auto" w:fill="CCEEFF"/>
          </w:tcPr>
          <w:p>
            <w:pPr>
              <w:jc w:val="right"/>
              <w:ind w:right="108"/>
              <w:spacing w:after="0"/>
              <w:rPr>
                <w:sz w:val="20"/>
                <w:szCs w:val="20"/>
                <w:color w:val="auto"/>
              </w:rPr>
            </w:pPr>
            <w:r>
              <w:rPr>
                <w:rFonts w:ascii="Times New Roman" w:cs="Times New Roman" w:eastAsia="Times New Roman" w:hAnsi="Times New Roman"/>
                <w:sz w:val="14"/>
                <w:szCs w:val="14"/>
                <w:color w:val="auto"/>
              </w:rPr>
              <w:t>86,624</w:t>
            </w:r>
          </w:p>
        </w:tc>
        <w:tc>
          <w:tcPr>
            <w:tcW w:w="0" w:type="dxa"/>
            <w:vAlign w:val="bottom"/>
          </w:tcPr>
          <w:p>
            <w:pPr>
              <w:spacing w:after="0"/>
              <w:rPr>
                <w:sz w:val="1"/>
                <w:szCs w:val="1"/>
                <w:color w:val="auto"/>
              </w:rPr>
            </w:pPr>
          </w:p>
        </w:tc>
      </w:tr>
      <w:tr>
        <w:trPr>
          <w:trHeight w:val="188"/>
        </w:trPr>
        <w:tc>
          <w:tcPr>
            <w:tcW w:w="6760" w:type="dxa"/>
            <w:vAlign w:val="bottom"/>
            <w:gridSpan w:val="2"/>
          </w:tcPr>
          <w:p>
            <w:pPr>
              <w:spacing w:after="0"/>
              <w:rPr>
                <w:sz w:val="20"/>
                <w:szCs w:val="20"/>
                <w:color w:val="auto"/>
              </w:rPr>
            </w:pPr>
            <w:r>
              <w:rPr>
                <w:rFonts w:ascii="Times New Roman" w:cs="Times New Roman" w:eastAsia="Times New Roman" w:hAnsi="Times New Roman"/>
                <w:sz w:val="14"/>
                <w:szCs w:val="14"/>
                <w:color w:val="auto"/>
              </w:rPr>
              <w:t>Average notional amount of interest rate swaps outstanding (excluding forward starting swaps)</w:t>
            </w:r>
          </w:p>
        </w:tc>
        <w:tc>
          <w:tcPr>
            <w:tcW w:w="240" w:type="dxa"/>
            <w:vAlign w:val="bottom"/>
          </w:tcPr>
          <w:p>
            <w:pPr>
              <w:jc w:val="right"/>
              <w:ind w:right="88"/>
              <w:spacing w:after="0"/>
              <w:rPr>
                <w:sz w:val="20"/>
                <w:szCs w:val="20"/>
                <w:color w:val="auto"/>
              </w:rPr>
            </w:pPr>
            <w:r>
              <w:rPr>
                <w:rFonts w:ascii="Times New Roman" w:cs="Times New Roman" w:eastAsia="Times New Roman" w:hAnsi="Times New Roman"/>
                <w:sz w:val="14"/>
                <w:szCs w:val="14"/>
                <w:color w:val="auto"/>
                <w:w w:val="85"/>
              </w:rPr>
              <w:t>$</w:t>
            </w:r>
          </w:p>
        </w:tc>
        <w:tc>
          <w:tcPr>
            <w:tcW w:w="880" w:type="dxa"/>
            <w:vAlign w:val="bottom"/>
          </w:tcPr>
          <w:p>
            <w:pPr>
              <w:jc w:val="right"/>
              <w:ind w:right="128"/>
              <w:spacing w:after="0"/>
              <w:rPr>
                <w:sz w:val="20"/>
                <w:szCs w:val="20"/>
                <w:color w:val="auto"/>
              </w:rPr>
            </w:pPr>
            <w:r>
              <w:rPr>
                <w:rFonts w:ascii="Times New Roman" w:cs="Times New Roman" w:eastAsia="Times New Roman" w:hAnsi="Times New Roman"/>
                <w:sz w:val="14"/>
                <w:szCs w:val="14"/>
                <w:color w:val="auto"/>
              </w:rPr>
              <w:t>52,543</w:t>
            </w:r>
          </w:p>
        </w:tc>
        <w:tc>
          <w:tcPr>
            <w:tcW w:w="100" w:type="dxa"/>
            <w:vAlign w:val="bottom"/>
          </w:tcPr>
          <w:p>
            <w:pPr>
              <w:spacing w:after="0"/>
              <w:rPr>
                <w:sz w:val="16"/>
                <w:szCs w:val="16"/>
                <w:color w:val="auto"/>
              </w:rPr>
            </w:pPr>
          </w:p>
        </w:tc>
        <w:tc>
          <w:tcPr>
            <w:tcW w:w="340" w:type="dxa"/>
            <w:vAlign w:val="bottom"/>
          </w:tcPr>
          <w:p>
            <w:pPr>
              <w:jc w:val="right"/>
              <w:ind w:right="188"/>
              <w:spacing w:after="0"/>
              <w:rPr>
                <w:sz w:val="20"/>
                <w:szCs w:val="20"/>
                <w:color w:val="auto"/>
              </w:rPr>
            </w:pPr>
            <w:r>
              <w:rPr>
                <w:rFonts w:ascii="Times New Roman" w:cs="Times New Roman" w:eastAsia="Times New Roman" w:hAnsi="Times New Roman"/>
                <w:sz w:val="14"/>
                <w:szCs w:val="14"/>
                <w:color w:val="auto"/>
                <w:w w:val="85"/>
              </w:rPr>
              <w:t>$</w:t>
            </w:r>
          </w:p>
        </w:tc>
        <w:tc>
          <w:tcPr>
            <w:tcW w:w="780" w:type="dxa"/>
            <w:vAlign w:val="bottom"/>
          </w:tcPr>
          <w:p>
            <w:pPr>
              <w:jc w:val="right"/>
              <w:ind w:right="108"/>
              <w:spacing w:after="0"/>
              <w:rPr>
                <w:sz w:val="20"/>
                <w:szCs w:val="20"/>
                <w:color w:val="auto"/>
              </w:rPr>
            </w:pPr>
            <w:r>
              <w:rPr>
                <w:rFonts w:ascii="Times New Roman" w:cs="Times New Roman" w:eastAsia="Times New Roman" w:hAnsi="Times New Roman"/>
                <w:sz w:val="14"/>
                <w:szCs w:val="14"/>
                <w:color w:val="auto"/>
              </w:rPr>
              <w:t>45,211</w:t>
            </w:r>
          </w:p>
        </w:tc>
        <w:tc>
          <w:tcPr>
            <w:tcW w:w="0" w:type="dxa"/>
            <w:vAlign w:val="bottom"/>
          </w:tcPr>
          <w:p>
            <w:pPr>
              <w:spacing w:after="0"/>
              <w:rPr>
                <w:sz w:val="1"/>
                <w:szCs w:val="1"/>
                <w:color w:val="auto"/>
              </w:rPr>
            </w:pPr>
          </w:p>
        </w:tc>
      </w:tr>
    </w:tbl>
    <w:p>
      <w:pPr>
        <w:spacing w:after="0" w:line="1" w:lineRule="exact"/>
        <w:rPr>
          <w:sz w:val="20"/>
          <w:szCs w:val="20"/>
          <w:color w:val="auto"/>
        </w:rPr>
      </w:pPr>
    </w:p>
    <w:tbl>
      <w:tblPr>
        <w:tblLayout w:type="fixed"/>
        <w:tblInd w:w="1080" w:type="dxa"/>
        <w:tblCellMar>
          <w:top w:w="0" w:type="dxa"/>
          <w:left w:w="0" w:type="dxa"/>
          <w:bottom w:w="0" w:type="dxa"/>
          <w:right w:w="0" w:type="dxa"/>
        </w:tblCellMar>
      </w:tblPr>
      <w:tr>
        <w:trPr>
          <w:trHeight w:val="235"/>
        </w:trPr>
        <w:tc>
          <w:tcPr>
            <w:tcW w:w="6760" w:type="dxa"/>
            <w:vAlign w:val="bottom"/>
            <w:tcBorders>
              <w:top w:val="single" w:sz="8" w:color="CCEEFF"/>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Ratio of average interest rate swaps to mortgage borrowings outstanding</w:t>
            </w: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75 %</w:t>
            </w:r>
          </w:p>
        </w:tc>
        <w:tc>
          <w:tcPr>
            <w:tcW w:w="100" w:type="dxa"/>
            <w:vAlign w:val="bottom"/>
            <w:tcBorders>
              <w:top w:val="single" w:sz="8" w:color="CCEEFF"/>
              <w:bottom w:val="single" w:sz="8" w:color="CCEEFF"/>
            </w:tcBorders>
            <w:shd w:val="clear" w:color="auto" w:fill="CCEEFF"/>
          </w:tcPr>
          <w:p>
            <w:pPr>
              <w:spacing w:after="0"/>
              <w:rPr>
                <w:sz w:val="20"/>
                <w:szCs w:val="20"/>
                <w:color w:val="auto"/>
              </w:rPr>
            </w:pPr>
          </w:p>
        </w:tc>
        <w:tc>
          <w:tcPr>
            <w:tcW w:w="1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52 %</w:t>
            </w:r>
          </w:p>
        </w:tc>
      </w:tr>
      <w:tr>
        <w:trPr>
          <w:trHeight w:val="20"/>
        </w:trPr>
        <w:tc>
          <w:tcPr>
            <w:tcW w:w="676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r>
      <w:tr>
        <w:trPr>
          <w:trHeight w:val="203"/>
        </w:trPr>
        <w:tc>
          <w:tcPr>
            <w:tcW w:w="67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120" w:type="dxa"/>
            <w:vAlign w:val="bottom"/>
          </w:tcPr>
          <w:p>
            <w:pPr>
              <w:spacing w:after="0"/>
              <w:rPr>
                <w:sz w:val="17"/>
                <w:szCs w:val="17"/>
                <w:color w:val="auto"/>
              </w:rPr>
            </w:pPr>
          </w:p>
        </w:tc>
      </w:tr>
      <w:tr>
        <w:trPr>
          <w:trHeight w:val="203"/>
        </w:trPr>
        <w:tc>
          <w:tcPr>
            <w:tcW w:w="6760" w:type="dxa"/>
            <w:vAlign w:val="bottom"/>
            <w:shd w:val="clear" w:color="auto" w:fill="CCEEFF"/>
          </w:tcPr>
          <w:p>
            <w:pPr>
              <w:spacing w:after="0"/>
              <w:rPr>
                <w:sz w:val="20"/>
                <w:szCs w:val="20"/>
                <w:color w:val="auto"/>
              </w:rPr>
            </w:pPr>
            <w:r>
              <w:rPr>
                <w:rFonts w:ascii="Times New Roman" w:cs="Times New Roman" w:eastAsia="Times New Roman" w:hAnsi="Times New Roman"/>
                <w:sz w:val="14"/>
                <w:szCs w:val="14"/>
                <w:color w:val="auto"/>
              </w:rPr>
              <w:t>Average interest rate swap pay-fixed rate (excluding forward starting swaps)</w:t>
            </w: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0.23 %</w:t>
            </w:r>
          </w:p>
        </w:tc>
        <w:tc>
          <w:tcPr>
            <w:tcW w:w="100" w:type="dxa"/>
            <w:vAlign w:val="bottom"/>
            <w:shd w:val="clear" w:color="auto" w:fill="CCEEFF"/>
          </w:tcPr>
          <w:p>
            <w:pPr>
              <w:spacing w:after="0"/>
              <w:rPr>
                <w:sz w:val="17"/>
                <w:szCs w:val="17"/>
                <w:color w:val="auto"/>
              </w:rPr>
            </w:pPr>
          </w:p>
        </w:tc>
        <w:tc>
          <w:tcPr>
            <w:tcW w:w="1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0.16 %</w:t>
            </w:r>
          </w:p>
        </w:tc>
      </w:tr>
      <w:tr>
        <w:trPr>
          <w:trHeight w:val="196"/>
        </w:trPr>
        <w:tc>
          <w:tcPr>
            <w:tcW w:w="67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4"/>
                <w:szCs w:val="14"/>
                <w:color w:val="auto"/>
              </w:rPr>
              <w:t>Average interest rate swap receive-floating rate</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(0.09)%</w:t>
            </w:r>
          </w:p>
        </w:tc>
        <w:tc>
          <w:tcPr>
            <w:tcW w:w="100" w:type="dxa"/>
            <w:vAlign w:val="bottom"/>
            <w:tcBorders>
              <w:bottom w:val="single" w:sz="8" w:color="CCEEFF"/>
            </w:tcBorders>
          </w:tcPr>
          <w:p>
            <w:pPr>
              <w:spacing w:after="0"/>
              <w:rPr>
                <w:sz w:val="17"/>
                <w:szCs w:val="17"/>
                <w:color w:val="auto"/>
              </w:rPr>
            </w:pP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(0.05)%</w:t>
            </w:r>
          </w:p>
        </w:tc>
      </w:tr>
      <w:tr>
        <w:trPr>
          <w:trHeight w:val="228"/>
        </w:trPr>
        <w:tc>
          <w:tcPr>
            <w:tcW w:w="676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Average interest rate swap net pay/(receive) rate</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0.14 %</w:t>
            </w:r>
          </w:p>
        </w:tc>
        <w:tc>
          <w:tcPr>
            <w:tcW w:w="100" w:type="dxa"/>
            <w:vAlign w:val="bottom"/>
            <w:tcBorders>
              <w:bottom w:val="single" w:sz="8" w:color="CCEEFF"/>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0.11 %</w:t>
            </w:r>
          </w:p>
        </w:tc>
      </w:tr>
      <w:tr>
        <w:trPr>
          <w:trHeight w:val="20"/>
        </w:trPr>
        <w:tc>
          <w:tcPr>
            <w:tcW w:w="676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r>
    </w:tbl>
    <w:p>
      <w:pPr>
        <w:spacing w:after="0" w:line="252"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For the three months ended March 31, 2022 and 2021, we had an average forward starting swap balance of $0.1 billion and $0.3 billion, respectively. Forward starting interest rate swaps do not impact our economic interest expense and aggregate cost of funds until they commence accruing net interest settlements on their forward start dates. Including forward starting swaps, our average ratio of interest rate swaps outstanding to our average mortgage borrowings for the three months ended March 31, 2022 and 2021 was 75% and 53%, respectively.</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Interest Spread</w:t>
      </w:r>
    </w:p>
    <w:p>
      <w:pPr>
        <w:spacing w:after="0" w:line="175" w:lineRule="exact"/>
        <w:rPr>
          <w:sz w:val="20"/>
          <w:szCs w:val="20"/>
          <w:color w:val="auto"/>
        </w:rPr>
      </w:pPr>
    </w:p>
    <w:p>
      <w:pPr>
        <w:jc w:val="both"/>
        <w:ind w:firstLine="405"/>
        <w:spacing w:after="0" w:line="282" w:lineRule="auto"/>
        <w:rPr>
          <w:sz w:val="20"/>
          <w:szCs w:val="20"/>
          <w:color w:val="auto"/>
        </w:rPr>
      </w:pPr>
      <w:r>
        <w:rPr>
          <w:rFonts w:ascii="Times New Roman" w:cs="Times New Roman" w:eastAsia="Times New Roman" w:hAnsi="Times New Roman"/>
          <w:sz w:val="18"/>
          <w:szCs w:val="18"/>
          <w:color w:val="auto"/>
        </w:rPr>
        <w:t>The following table presents a summary of our net interest spread (including the impact of TBA dollar roll income, interest rate swaps and excluding "catch-up" premium amortization) for the three months ended March 31, 2022 and 2021:</w:t>
      </w:r>
    </w:p>
    <w:p>
      <w:pPr>
        <w:spacing w:after="0" w:line="129" w:lineRule="exact"/>
        <w:rPr>
          <w:sz w:val="20"/>
          <w:szCs w:val="20"/>
          <w:color w:val="auto"/>
        </w:rPr>
      </w:pPr>
    </w:p>
    <w:tbl>
      <w:tblPr>
        <w:tblLayout w:type="fixed"/>
        <w:tblInd w:w="1080" w:type="dxa"/>
        <w:tblCellMar>
          <w:top w:w="0" w:type="dxa"/>
          <w:left w:w="0" w:type="dxa"/>
          <w:bottom w:w="0" w:type="dxa"/>
          <w:right w:w="0" w:type="dxa"/>
        </w:tblCellMar>
      </w:tblPr>
      <w:tr>
        <w:trPr>
          <w:trHeight w:val="161"/>
        </w:trPr>
        <w:tc>
          <w:tcPr>
            <w:tcW w:w="6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320" w:type="dxa"/>
            <w:vAlign w:val="bottom"/>
            <w:gridSpan w:val="4"/>
          </w:tcPr>
          <w:p>
            <w:pPr>
              <w:jc w:val="center"/>
              <w:spacing w:after="0"/>
              <w:rPr>
                <w:sz w:val="20"/>
                <w:szCs w:val="20"/>
                <w:color w:val="auto"/>
              </w:rPr>
            </w:pPr>
            <w:r>
              <w:rPr>
                <w:rFonts w:ascii="Times New Roman" w:cs="Times New Roman" w:eastAsia="Times New Roman" w:hAnsi="Times New Roman"/>
                <w:sz w:val="14"/>
                <w:szCs w:val="14"/>
                <w:b w:val="1"/>
                <w:bCs w:val="1"/>
                <w:color w:val="auto"/>
              </w:rPr>
              <w:t>Three Months Ended</w:t>
            </w:r>
          </w:p>
        </w:tc>
      </w:tr>
      <w:tr>
        <w:trPr>
          <w:trHeight w:val="194"/>
        </w:trPr>
        <w:tc>
          <w:tcPr>
            <w:tcW w:w="668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540" w:type="dxa"/>
            <w:vAlign w:val="bottom"/>
            <w:tcBorders>
              <w:bottom w:val="single" w:sz="8" w:color="auto"/>
            </w:tcBorders>
            <w:gridSpan w:val="3"/>
          </w:tcPr>
          <w:p>
            <w:pPr>
              <w:jc w:val="center"/>
              <w:ind w:left="708"/>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780" w:type="dxa"/>
            <w:vAlign w:val="bottom"/>
            <w:tcBorders>
              <w:bottom w:val="single" w:sz="8" w:color="auto"/>
            </w:tcBorders>
          </w:tcPr>
          <w:p>
            <w:pPr>
              <w:spacing w:after="0"/>
              <w:rPr>
                <w:sz w:val="16"/>
                <w:szCs w:val="16"/>
                <w:color w:val="auto"/>
              </w:rPr>
            </w:pPr>
          </w:p>
        </w:tc>
      </w:tr>
      <w:tr>
        <w:trPr>
          <w:trHeight w:val="196"/>
        </w:trPr>
        <w:tc>
          <w:tcPr>
            <w:tcW w:w="678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Investment and TBA Securities - Net Interest Spread</w:t>
            </w:r>
          </w:p>
        </w:tc>
        <w:tc>
          <w:tcPr>
            <w:tcW w:w="1120" w:type="dxa"/>
            <w:vAlign w:val="bottom"/>
          </w:tcPr>
          <w:p>
            <w:pPr>
              <w:jc w:val="right"/>
              <w:ind w:right="348"/>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80" w:type="dxa"/>
            <w:vAlign w:val="bottom"/>
          </w:tcPr>
          <w:p>
            <w:pPr>
              <w:jc w:val="right"/>
              <w:ind w:right="328"/>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02"/>
        </w:trPr>
        <w:tc>
          <w:tcPr>
            <w:tcW w:w="6680" w:type="dxa"/>
            <w:vAlign w:val="bottom"/>
            <w:tcBorders>
              <w:top w:val="single" w:sz="8" w:color="auto"/>
            </w:tcBorders>
            <w:shd w:val="clear" w:color="auto" w:fill="CCEEFF"/>
          </w:tcPr>
          <w:p>
            <w:pPr>
              <w:spacing w:after="0"/>
              <w:rPr>
                <w:sz w:val="20"/>
                <w:szCs w:val="20"/>
                <w:color w:val="auto"/>
              </w:rPr>
            </w:pPr>
            <w:r>
              <w:rPr>
                <w:rFonts w:ascii="Times New Roman" w:cs="Times New Roman" w:eastAsia="Times New Roman" w:hAnsi="Times New Roman"/>
                <w:sz w:val="14"/>
                <w:szCs w:val="14"/>
                <w:color w:val="auto"/>
              </w:rPr>
              <w:t>Average asset yield, excluding "catch-up" premium amortization</w:t>
            </w:r>
          </w:p>
        </w:tc>
        <w:tc>
          <w:tcPr>
            <w:tcW w:w="100" w:type="dxa"/>
            <w:vAlign w:val="bottom"/>
            <w:tcBorders>
              <w:top w:val="single" w:sz="8" w:color="CCEEFF"/>
            </w:tcBorders>
            <w:shd w:val="clear" w:color="auto" w:fill="CCEEFF"/>
          </w:tcPr>
          <w:p>
            <w:pPr>
              <w:spacing w:after="0"/>
              <w:rPr>
                <w:sz w:val="17"/>
                <w:szCs w:val="17"/>
                <w:color w:val="auto"/>
              </w:rPr>
            </w:pPr>
          </w:p>
        </w:tc>
        <w:tc>
          <w:tcPr>
            <w:tcW w:w="1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2.28 %</w:t>
            </w:r>
          </w:p>
        </w:tc>
        <w:tc>
          <w:tcPr>
            <w:tcW w:w="1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spacing w:after="0"/>
              <w:rPr>
                <w:sz w:val="17"/>
                <w:szCs w:val="17"/>
                <w:color w:val="auto"/>
              </w:rPr>
            </w:pP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2.02 %</w:t>
            </w:r>
          </w:p>
        </w:tc>
      </w:tr>
      <w:tr>
        <w:trPr>
          <w:trHeight w:val="196"/>
        </w:trPr>
        <w:tc>
          <w:tcPr>
            <w:tcW w:w="6780" w:type="dxa"/>
            <w:vAlign w:val="bottom"/>
            <w:tcBorders>
              <w:bottom w:val="single" w:sz="8" w:color="CCEEFF"/>
            </w:tcBorders>
            <w:gridSpan w:val="2"/>
          </w:tcPr>
          <w:p>
            <w:pPr>
              <w:spacing w:after="0"/>
              <w:rPr>
                <w:sz w:val="20"/>
                <w:szCs w:val="20"/>
                <w:color w:val="auto"/>
              </w:rPr>
            </w:pPr>
            <w:r>
              <w:rPr>
                <w:rFonts w:ascii="Times New Roman" w:cs="Times New Roman" w:eastAsia="Times New Roman" w:hAnsi="Times New Roman"/>
                <w:sz w:val="14"/>
                <w:szCs w:val="14"/>
                <w:color w:val="auto"/>
              </w:rPr>
              <w:t>Average aggregate cost of funds</w:t>
            </w:r>
          </w:p>
        </w:tc>
        <w:tc>
          <w:tcPr>
            <w:tcW w:w="1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(0.09)%</w:t>
            </w:r>
          </w:p>
        </w:tc>
        <w:tc>
          <w:tcPr>
            <w:tcW w:w="100" w:type="dxa"/>
            <w:vAlign w:val="bottom"/>
            <w:tcBorders>
              <w:bottom w:val="single" w:sz="8" w:color="CCEEFF"/>
            </w:tcBorders>
          </w:tcPr>
          <w:p>
            <w:pPr>
              <w:spacing w:after="0"/>
              <w:rPr>
                <w:sz w:val="17"/>
                <w:szCs w:val="17"/>
                <w:color w:val="auto"/>
              </w:rPr>
            </w:pPr>
          </w:p>
        </w:tc>
        <w:tc>
          <w:tcPr>
            <w:tcW w:w="3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(0.02)%</w:t>
            </w:r>
          </w:p>
        </w:tc>
      </w:tr>
      <w:tr>
        <w:trPr>
          <w:trHeight w:val="228"/>
        </w:trPr>
        <w:tc>
          <w:tcPr>
            <w:tcW w:w="678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4"/>
                <w:szCs w:val="14"/>
                <w:color w:val="auto"/>
              </w:rPr>
              <w:t>Average net interest spread, excluding "catch-up" premium amortization</w:t>
            </w:r>
          </w:p>
        </w:tc>
        <w:tc>
          <w:tcPr>
            <w:tcW w:w="1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2.19 %</w:t>
            </w:r>
          </w:p>
        </w:tc>
        <w:tc>
          <w:tcPr>
            <w:tcW w:w="100" w:type="dxa"/>
            <w:vAlign w:val="bottom"/>
            <w:tcBorders>
              <w:bottom w:val="single" w:sz="8" w:color="CCEEFF"/>
            </w:tcBorders>
            <w:shd w:val="clear" w:color="auto" w:fill="CCEEFF"/>
          </w:tcPr>
          <w:p>
            <w:pPr>
              <w:spacing w:after="0"/>
              <w:rPr>
                <w:sz w:val="19"/>
                <w:szCs w:val="19"/>
                <w:color w:val="auto"/>
              </w:rPr>
            </w:pPr>
          </w:p>
        </w:tc>
        <w:tc>
          <w:tcPr>
            <w:tcW w:w="320" w:type="dxa"/>
            <w:vAlign w:val="bottom"/>
            <w:tcBorders>
              <w:bottom w:val="single" w:sz="8" w:color="auto"/>
            </w:tcBorders>
            <w:shd w:val="clear" w:color="auto" w:fill="CCEEFF"/>
          </w:tcPr>
          <w:p>
            <w:pPr>
              <w:spacing w:after="0"/>
              <w:rPr>
                <w:sz w:val="19"/>
                <w:szCs w:val="19"/>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2.00 %</w:t>
            </w:r>
          </w:p>
        </w:tc>
      </w:tr>
      <w:tr>
        <w:trPr>
          <w:trHeight w:val="20"/>
        </w:trPr>
        <w:tc>
          <w:tcPr>
            <w:tcW w:w="6680" w:type="dxa"/>
            <w:vAlign w:val="bottom"/>
            <w:tcBorders>
              <w:top w:val="single" w:sz="8" w:color="CCEEFF"/>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5" w:name="page36"/>
    <w:bookmarkEnd w:id="35"/>
    <w:p>
      <w:pPr>
        <w:spacing w:after="0"/>
        <w:rPr>
          <w:sz w:val="20"/>
          <w:szCs w:val="20"/>
          <w:color w:val="auto"/>
        </w:rPr>
      </w:pPr>
      <w:r>
        <w:rPr>
          <w:rFonts w:ascii="Times New Roman" w:cs="Times New Roman" w:eastAsia="Times New Roman" w:hAnsi="Times New Roman"/>
          <w:sz w:val="18"/>
          <w:szCs w:val="18"/>
          <w:b w:val="1"/>
          <w:bCs w:val="1"/>
          <w:i w:val="1"/>
          <w:iCs w:val="1"/>
          <w:color w:val="auto"/>
        </w:rPr>
        <w:t>Net Spread and Dollar Roll Income</w:t>
      </w:r>
    </w:p>
    <w:p>
      <w:pPr>
        <w:spacing w:after="0" w:line="175" w:lineRule="exact"/>
        <w:rPr>
          <w:sz w:val="20"/>
          <w:szCs w:val="20"/>
          <w:color w:val="auto"/>
        </w:rPr>
      </w:pPr>
    </w:p>
    <w:p>
      <w:pPr>
        <w:jc w:val="both"/>
        <w:ind w:firstLine="405"/>
        <w:spacing w:after="0" w:line="266" w:lineRule="auto"/>
        <w:rPr>
          <w:sz w:val="20"/>
          <w:szCs w:val="20"/>
          <w:color w:val="auto"/>
        </w:rPr>
      </w:pPr>
      <w:r>
        <w:rPr>
          <w:rFonts w:ascii="Times New Roman" w:cs="Times New Roman" w:eastAsia="Times New Roman" w:hAnsi="Times New Roman"/>
          <w:sz w:val="18"/>
          <w:szCs w:val="18"/>
          <w:color w:val="auto"/>
        </w:rPr>
        <w:t>The following table presents a summary of our net spread and dollar roll income, excluding estimated "catch-up" premium amortization, per diluted common share (a non-GAAP financial measure) and a reconciliation to our net interest income (the most comparable GAAP financial measure) for the three months ended March 31, 2022 and 2021 (dollars in millions):</w:t>
      </w:r>
    </w:p>
    <w:p>
      <w:pPr>
        <w:spacing w:after="0" w:line="80" w:lineRule="exact"/>
        <w:rPr>
          <w:sz w:val="20"/>
          <w:szCs w:val="20"/>
          <w:color w:val="auto"/>
        </w:rPr>
      </w:pPr>
    </w:p>
    <w:p>
      <w:pPr>
        <w:jc w:val="center"/>
        <w:ind w:left="700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jc w:val="center"/>
        <w:ind w:left="7000"/>
        <w:spacing w:after="0"/>
        <w:rPr>
          <w:sz w:val="20"/>
          <w:szCs w:val="20"/>
          <w:color w:val="auto"/>
        </w:rPr>
      </w:pPr>
      <w:r>
        <w:rPr>
          <w:rFonts w:ascii="Times New Roman" w:cs="Times New Roman" w:eastAsia="Times New Roman" w:hAnsi="Times New Roman"/>
          <w:sz w:val="14"/>
          <w:szCs w:val="14"/>
          <w:b w:val="1"/>
          <w:bCs w:val="1"/>
          <w:color w:val="auto"/>
        </w:rPr>
        <w:t>March 31,</w:t>
      </w:r>
    </w:p>
    <w:p>
      <w:pPr>
        <w:spacing w:after="0" w:line="15" w:lineRule="exact"/>
        <w:rPr>
          <w:sz w:val="20"/>
          <w:szCs w:val="20"/>
          <w:color w:val="auto"/>
        </w:rPr>
      </w:pPr>
    </w:p>
    <w:tbl>
      <w:tblPr>
        <w:tblLayout w:type="fixed"/>
        <w:tblInd w:w="1060" w:type="dxa"/>
        <w:tblCellMar>
          <w:top w:w="0" w:type="dxa"/>
          <w:left w:w="0" w:type="dxa"/>
          <w:bottom w:w="0" w:type="dxa"/>
          <w:right w:w="0" w:type="dxa"/>
        </w:tblCellMar>
      </w:tblPr>
      <w:tr>
        <w:trPr>
          <w:trHeight w:val="210"/>
        </w:trPr>
        <w:tc>
          <w:tcPr>
            <w:tcW w:w="7000" w:type="dxa"/>
            <w:vAlign w:val="bottom"/>
            <w:tcBorders>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2022</w:t>
            </w:r>
          </w:p>
        </w:tc>
        <w:tc>
          <w:tcPr>
            <w:tcW w:w="140" w:type="dxa"/>
            <w:vAlign w:val="bottom"/>
            <w:tcBorders>
              <w:top w:val="single" w:sz="8" w:color="auto"/>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60" w:type="dxa"/>
            <w:vAlign w:val="bottom"/>
            <w:tcBorders>
              <w:top w:val="single" w:sz="8" w:color="auto"/>
              <w:bottom w:val="single" w:sz="8" w:color="auto"/>
            </w:tcBorders>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2021</w:t>
            </w:r>
          </w:p>
        </w:tc>
        <w:tc>
          <w:tcPr>
            <w:tcW w:w="0" w:type="dxa"/>
            <w:vAlign w:val="bottom"/>
          </w:tcPr>
          <w:p>
            <w:pPr>
              <w:spacing w:after="0"/>
              <w:rPr>
                <w:sz w:val="1"/>
                <w:szCs w:val="1"/>
                <w:color w:val="auto"/>
              </w:rPr>
            </w:pPr>
          </w:p>
        </w:tc>
      </w:tr>
      <w:tr>
        <w:trPr>
          <w:trHeight w:val="202"/>
        </w:trPr>
        <w:tc>
          <w:tcPr>
            <w:tcW w:w="700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interest income (GAAP measure)</w:t>
            </w: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448</w:t>
            </w:r>
          </w:p>
        </w:tc>
        <w:tc>
          <w:tcPr>
            <w:tcW w:w="14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528</w:t>
            </w:r>
          </w:p>
        </w:tc>
        <w:tc>
          <w:tcPr>
            <w:tcW w:w="0" w:type="dxa"/>
            <w:vAlign w:val="bottom"/>
          </w:tcPr>
          <w:p>
            <w:pPr>
              <w:spacing w:after="0"/>
              <w:rPr>
                <w:sz w:val="1"/>
                <w:szCs w:val="1"/>
                <w:color w:val="auto"/>
              </w:rPr>
            </w:pPr>
          </w:p>
        </w:tc>
      </w:tr>
      <w:tr>
        <w:trPr>
          <w:trHeight w:val="203"/>
        </w:trPr>
        <w:tc>
          <w:tcPr>
            <w:tcW w:w="7000" w:type="dxa"/>
            <w:vAlign w:val="bottom"/>
          </w:tcPr>
          <w:p>
            <w:pPr>
              <w:ind w:left="140"/>
              <w:spacing w:after="0" w:line="202" w:lineRule="exact"/>
              <w:rPr>
                <w:sz w:val="20"/>
                <w:szCs w:val="20"/>
                <w:color w:val="auto"/>
              </w:rPr>
            </w:pPr>
            <w:r>
              <w:rPr>
                <w:rFonts w:ascii="Times New Roman" w:cs="Times New Roman" w:eastAsia="Times New Roman" w:hAnsi="Times New Roman"/>
                <w:sz w:val="14"/>
                <w:szCs w:val="14"/>
                <w:color w:val="auto"/>
              </w:rPr>
              <w:t xml:space="preserve">TBA dollar roll income, net </w:t>
            </w:r>
            <w:r>
              <w:rPr>
                <w:rFonts w:ascii="Times New Roman" w:cs="Times New Roman" w:eastAsia="Times New Roman" w:hAnsi="Times New Roman"/>
                <w:sz w:val="18"/>
                <w:szCs w:val="18"/>
                <w:color w:val="auto"/>
                <w:vertAlign w:val="superscript"/>
              </w:rPr>
              <w:t>1</w:t>
            </w:r>
          </w:p>
        </w:tc>
        <w:tc>
          <w:tcPr>
            <w:tcW w:w="220" w:type="dxa"/>
            <w:vAlign w:val="bottom"/>
          </w:tcPr>
          <w:p>
            <w:pPr>
              <w:spacing w:after="0"/>
              <w:rPr>
                <w:sz w:val="17"/>
                <w:szCs w:val="17"/>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152</w:t>
            </w:r>
          </w:p>
        </w:tc>
        <w:tc>
          <w:tcPr>
            <w:tcW w:w="1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154</w:t>
            </w:r>
          </w:p>
        </w:tc>
        <w:tc>
          <w:tcPr>
            <w:tcW w:w="0" w:type="dxa"/>
            <w:vAlign w:val="bottom"/>
          </w:tcPr>
          <w:p>
            <w:pPr>
              <w:spacing w:after="0"/>
              <w:rPr>
                <w:sz w:val="1"/>
                <w:szCs w:val="1"/>
                <w:color w:val="auto"/>
              </w:rPr>
            </w:pPr>
          </w:p>
        </w:tc>
      </w:tr>
      <w:tr>
        <w:trPr>
          <w:trHeight w:val="203"/>
        </w:trPr>
        <w:tc>
          <w:tcPr>
            <w:tcW w:w="7000" w:type="dxa"/>
            <w:vAlign w:val="bottom"/>
            <w:shd w:val="clear" w:color="auto" w:fill="CCEEFF"/>
          </w:tcPr>
          <w:p>
            <w:pPr>
              <w:ind w:left="140"/>
              <w:spacing w:after="0" w:line="202" w:lineRule="exact"/>
              <w:rPr>
                <w:sz w:val="20"/>
                <w:szCs w:val="20"/>
                <w:color w:val="auto"/>
              </w:rPr>
            </w:pPr>
            <w:r>
              <w:rPr>
                <w:rFonts w:ascii="Times New Roman" w:cs="Times New Roman" w:eastAsia="Times New Roman" w:hAnsi="Times New Roman"/>
                <w:sz w:val="14"/>
                <w:szCs w:val="14"/>
                <w:color w:val="auto"/>
              </w:rPr>
              <w:t xml:space="preserve">Interest rate swap periodic cost (income), net </w:t>
            </w:r>
            <w:r>
              <w:rPr>
                <w:rFonts w:ascii="Times New Roman" w:cs="Times New Roman" w:eastAsia="Times New Roman" w:hAnsi="Times New Roman"/>
                <w:sz w:val="18"/>
                <w:szCs w:val="18"/>
                <w:color w:val="auto"/>
                <w:vertAlign w:val="superscript"/>
              </w:rPr>
              <w:t>1</w:t>
            </w:r>
          </w:p>
        </w:tc>
        <w:tc>
          <w:tcPr>
            <w:tcW w:w="2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14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w:t>
            </w:r>
          </w:p>
        </w:tc>
        <w:tc>
          <w:tcPr>
            <w:tcW w:w="0" w:type="dxa"/>
            <w:vAlign w:val="bottom"/>
          </w:tcPr>
          <w:p>
            <w:pPr>
              <w:spacing w:after="0"/>
              <w:rPr>
                <w:sz w:val="1"/>
                <w:szCs w:val="1"/>
                <w:color w:val="auto"/>
              </w:rPr>
            </w:pPr>
          </w:p>
        </w:tc>
      </w:tr>
      <w:tr>
        <w:trPr>
          <w:trHeight w:val="189"/>
        </w:trPr>
        <w:tc>
          <w:tcPr>
            <w:tcW w:w="70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Adjusted net interest and dollar roll income</w:t>
            </w: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582</w:t>
            </w: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670</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Operating expense</w:t>
            </w: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w:t>
            </w:r>
          </w:p>
        </w:tc>
        <w:tc>
          <w:tcPr>
            <w:tcW w:w="14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w:t>
            </w:r>
          </w:p>
        </w:tc>
        <w:tc>
          <w:tcPr>
            <w:tcW w:w="0" w:type="dxa"/>
            <w:vAlign w:val="bottom"/>
          </w:tcPr>
          <w:p>
            <w:pPr>
              <w:spacing w:after="0"/>
              <w:rPr>
                <w:sz w:val="1"/>
                <w:szCs w:val="1"/>
                <w:color w:val="auto"/>
              </w:rPr>
            </w:pPr>
          </w:p>
        </w:tc>
      </w:tr>
      <w:tr>
        <w:trPr>
          <w:trHeight w:val="189"/>
        </w:trPr>
        <w:tc>
          <w:tcPr>
            <w:tcW w:w="70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spread and dollar roll income</w:t>
            </w: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561</w:t>
            </w: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646</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Dividend on preferred stock</w:t>
            </w: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14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0" w:type="dxa"/>
            <w:vAlign w:val="bottom"/>
          </w:tcPr>
          <w:p>
            <w:pPr>
              <w:spacing w:after="0"/>
              <w:rPr>
                <w:sz w:val="1"/>
                <w:szCs w:val="1"/>
                <w:color w:val="auto"/>
              </w:rPr>
            </w:pPr>
          </w:p>
        </w:tc>
      </w:tr>
      <w:tr>
        <w:trPr>
          <w:trHeight w:val="189"/>
        </w:trPr>
        <w:tc>
          <w:tcPr>
            <w:tcW w:w="70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spread and dollar roll income available to common stockholders (non-GAAP measure)</w:t>
            </w: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536</w:t>
            </w:r>
          </w:p>
        </w:tc>
        <w:tc>
          <w:tcPr>
            <w:tcW w:w="1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621</w:t>
            </w:r>
          </w:p>
        </w:tc>
        <w:tc>
          <w:tcPr>
            <w:tcW w:w="0" w:type="dxa"/>
            <w:vAlign w:val="bottom"/>
          </w:tcPr>
          <w:p>
            <w:pPr>
              <w:spacing w:after="0"/>
              <w:rPr>
                <w:sz w:val="1"/>
                <w:szCs w:val="1"/>
                <w:color w:val="auto"/>
              </w:rPr>
            </w:pPr>
          </w:p>
        </w:tc>
      </w:tr>
      <w:tr>
        <w:trPr>
          <w:trHeight w:val="210"/>
        </w:trPr>
        <w:tc>
          <w:tcPr>
            <w:tcW w:w="700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Estimated "catch-up" premium amortization cost (benefit) due to change in CPR forecast</w:t>
            </w: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(159)</w:t>
            </w:r>
          </w:p>
        </w:tc>
        <w:tc>
          <w:tcPr>
            <w:tcW w:w="14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(213)</w:t>
            </w:r>
          </w:p>
        </w:tc>
        <w:tc>
          <w:tcPr>
            <w:tcW w:w="0" w:type="dxa"/>
            <w:vAlign w:val="bottom"/>
          </w:tcPr>
          <w:p>
            <w:pPr>
              <w:spacing w:after="0"/>
              <w:rPr>
                <w:sz w:val="1"/>
                <w:szCs w:val="1"/>
                <w:color w:val="auto"/>
              </w:rPr>
            </w:pPr>
          </w:p>
        </w:tc>
      </w:tr>
      <w:tr>
        <w:trPr>
          <w:trHeight w:val="115"/>
        </w:trPr>
        <w:tc>
          <w:tcPr>
            <w:tcW w:w="7000" w:type="dxa"/>
            <w:vAlign w:val="bottom"/>
          </w:tcPr>
          <w:p>
            <w:pPr>
              <w:ind w:left="20"/>
              <w:spacing w:after="0" w:line="115" w:lineRule="exact"/>
              <w:rPr>
                <w:sz w:val="20"/>
                <w:szCs w:val="20"/>
                <w:color w:val="auto"/>
              </w:rPr>
            </w:pPr>
            <w:r>
              <w:rPr>
                <w:rFonts w:ascii="Times New Roman" w:cs="Times New Roman" w:eastAsia="Times New Roman" w:hAnsi="Times New Roman"/>
                <w:sz w:val="13"/>
                <w:szCs w:val="13"/>
                <w:color w:val="auto"/>
              </w:rPr>
              <w:t>Net spread and dollar roll income, excluding "catch-up" premium amortization, available to common stockholders</w:t>
            </w:r>
          </w:p>
        </w:tc>
        <w:tc>
          <w:tcPr>
            <w:tcW w:w="22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377</w:t>
            </w:r>
          </w:p>
        </w:tc>
        <w:tc>
          <w:tcPr>
            <w:tcW w:w="140" w:type="dxa"/>
            <w:vAlign w:val="bottom"/>
          </w:tcPr>
          <w:p>
            <w:pPr>
              <w:spacing w:after="0"/>
              <w:rPr>
                <w:sz w:val="10"/>
                <w:szCs w:val="10"/>
                <w:color w:val="auto"/>
              </w:rPr>
            </w:pPr>
          </w:p>
        </w:tc>
        <w:tc>
          <w:tcPr>
            <w:tcW w:w="220" w:type="dxa"/>
            <w:vAlign w:val="bottom"/>
            <w:vMerge w:val="restart"/>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408</w:t>
            </w:r>
          </w:p>
        </w:tc>
        <w:tc>
          <w:tcPr>
            <w:tcW w:w="0" w:type="dxa"/>
            <w:vAlign w:val="bottom"/>
          </w:tcPr>
          <w:p>
            <w:pPr>
              <w:spacing w:after="0"/>
              <w:rPr>
                <w:sz w:val="1"/>
                <w:szCs w:val="1"/>
                <w:color w:val="auto"/>
              </w:rPr>
            </w:pPr>
          </w:p>
        </w:tc>
      </w:tr>
      <w:tr>
        <w:trPr>
          <w:trHeight w:val="181"/>
        </w:trPr>
        <w:tc>
          <w:tcPr>
            <w:tcW w:w="70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(non-GAAP measure)</w:t>
            </w:r>
          </w:p>
        </w:tc>
        <w:tc>
          <w:tcPr>
            <w:tcW w:w="220" w:type="dxa"/>
            <w:vAlign w:val="bottom"/>
            <w:tcBorders>
              <w:bottom w:val="single" w:sz="8" w:color="auto"/>
            </w:tcBorders>
            <w:vMerge w:val="continue"/>
          </w:tcPr>
          <w:p>
            <w:pPr>
              <w:spacing w:after="0"/>
              <w:rPr>
                <w:sz w:val="15"/>
                <w:szCs w:val="15"/>
                <w:color w:val="auto"/>
              </w:rPr>
            </w:pPr>
          </w:p>
        </w:tc>
        <w:tc>
          <w:tcPr>
            <w:tcW w:w="780" w:type="dxa"/>
            <w:vAlign w:val="bottom"/>
            <w:tcBorders>
              <w:bottom w:val="single" w:sz="8" w:color="auto"/>
            </w:tcBorders>
            <w:vMerge w:val="continue"/>
          </w:tcPr>
          <w:p>
            <w:pPr>
              <w:spacing w:after="0"/>
              <w:rPr>
                <w:sz w:val="15"/>
                <w:szCs w:val="15"/>
                <w:color w:val="auto"/>
              </w:rPr>
            </w:pPr>
          </w:p>
        </w:tc>
        <w:tc>
          <w:tcPr>
            <w:tcW w:w="140" w:type="dxa"/>
            <w:vAlign w:val="bottom"/>
          </w:tcPr>
          <w:p>
            <w:pPr>
              <w:spacing w:after="0"/>
              <w:rPr>
                <w:sz w:val="15"/>
                <w:szCs w:val="15"/>
                <w:color w:val="auto"/>
              </w:rPr>
            </w:pPr>
          </w:p>
        </w:tc>
        <w:tc>
          <w:tcPr>
            <w:tcW w:w="220" w:type="dxa"/>
            <w:vAlign w:val="bottom"/>
            <w:tcBorders>
              <w:bottom w:val="single" w:sz="8" w:color="auto"/>
            </w:tcBorders>
            <w:vMerge w:val="continue"/>
          </w:tcPr>
          <w:p>
            <w:pPr>
              <w:spacing w:after="0"/>
              <w:rPr>
                <w:sz w:val="15"/>
                <w:szCs w:val="15"/>
                <w:color w:val="auto"/>
              </w:rPr>
            </w:pPr>
          </w:p>
        </w:tc>
        <w:tc>
          <w:tcPr>
            <w:tcW w:w="760" w:type="dxa"/>
            <w:vAlign w:val="bottom"/>
            <w:tcBorders>
              <w:bottom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0"/>
        </w:trPr>
        <w:tc>
          <w:tcPr>
            <w:tcW w:w="70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0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1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70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Weighted average number of common shares outstanding - basic</w:t>
            </w:r>
          </w:p>
        </w:tc>
        <w:tc>
          <w:tcPr>
            <w:tcW w:w="22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524.3</w:t>
            </w:r>
          </w:p>
        </w:tc>
        <w:tc>
          <w:tcPr>
            <w:tcW w:w="140" w:type="dxa"/>
            <w:vAlign w:val="bottom"/>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533.7</w:t>
            </w:r>
          </w:p>
        </w:tc>
        <w:tc>
          <w:tcPr>
            <w:tcW w:w="0" w:type="dxa"/>
            <w:vAlign w:val="bottom"/>
          </w:tcPr>
          <w:p>
            <w:pPr>
              <w:spacing w:after="0"/>
              <w:rPr>
                <w:sz w:val="1"/>
                <w:szCs w:val="1"/>
                <w:color w:val="auto"/>
              </w:rPr>
            </w:pPr>
          </w:p>
        </w:tc>
      </w:tr>
      <w:tr>
        <w:trPr>
          <w:trHeight w:val="20"/>
        </w:trPr>
        <w:tc>
          <w:tcPr>
            <w:tcW w:w="70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0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Weighted average number of common shares outstanding - diluted</w:t>
            </w:r>
          </w:p>
        </w:tc>
        <w:tc>
          <w:tcPr>
            <w:tcW w:w="22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525.7</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535.6</w:t>
            </w:r>
          </w:p>
        </w:tc>
        <w:tc>
          <w:tcPr>
            <w:tcW w:w="0" w:type="dxa"/>
            <w:vAlign w:val="bottom"/>
          </w:tcPr>
          <w:p>
            <w:pPr>
              <w:spacing w:after="0"/>
              <w:rPr>
                <w:sz w:val="1"/>
                <w:szCs w:val="1"/>
                <w:color w:val="auto"/>
              </w:rPr>
            </w:pPr>
          </w:p>
        </w:tc>
      </w:tr>
      <w:tr>
        <w:trPr>
          <w:trHeight w:val="20"/>
        </w:trPr>
        <w:tc>
          <w:tcPr>
            <w:tcW w:w="70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70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spread and dollar roll income per common share - basic</w:t>
            </w: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1.02</w:t>
            </w:r>
          </w:p>
        </w:tc>
        <w:tc>
          <w:tcPr>
            <w:tcW w:w="140" w:type="dxa"/>
            <w:vAlign w:val="bottom"/>
          </w:tcPr>
          <w:p>
            <w:pPr>
              <w:spacing w:after="0"/>
              <w:rPr>
                <w:sz w:val="15"/>
                <w:szCs w:val="15"/>
                <w:color w:val="auto"/>
              </w:rPr>
            </w:pP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1.16</w:t>
            </w:r>
          </w:p>
        </w:tc>
        <w:tc>
          <w:tcPr>
            <w:tcW w:w="0" w:type="dxa"/>
            <w:vAlign w:val="bottom"/>
          </w:tcPr>
          <w:p>
            <w:pPr>
              <w:spacing w:after="0"/>
              <w:rPr>
                <w:sz w:val="1"/>
                <w:szCs w:val="1"/>
                <w:color w:val="auto"/>
              </w:rPr>
            </w:pPr>
          </w:p>
        </w:tc>
      </w:tr>
      <w:tr>
        <w:trPr>
          <w:trHeight w:val="20"/>
        </w:trPr>
        <w:tc>
          <w:tcPr>
            <w:tcW w:w="70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2"/>
        </w:trPr>
        <w:tc>
          <w:tcPr>
            <w:tcW w:w="70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spread and dollar roll income per common share - diluted</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1.02</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1.16</w:t>
            </w:r>
          </w:p>
        </w:tc>
        <w:tc>
          <w:tcPr>
            <w:tcW w:w="0" w:type="dxa"/>
            <w:vAlign w:val="bottom"/>
          </w:tcPr>
          <w:p>
            <w:pPr>
              <w:spacing w:after="0"/>
              <w:rPr>
                <w:sz w:val="1"/>
                <w:szCs w:val="1"/>
                <w:color w:val="auto"/>
              </w:rPr>
            </w:pPr>
          </w:p>
        </w:tc>
      </w:tr>
      <w:tr>
        <w:trPr>
          <w:trHeight w:val="20"/>
        </w:trPr>
        <w:tc>
          <w:tcPr>
            <w:tcW w:w="70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7"/>
        </w:trPr>
        <w:tc>
          <w:tcPr>
            <w:tcW w:w="700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Net spread and dollar roll income, excluding "catch-up" premium amortization, per common share - basic</w:t>
            </w: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0.72</w:t>
            </w:r>
          </w:p>
        </w:tc>
        <w:tc>
          <w:tcPr>
            <w:tcW w:w="140" w:type="dxa"/>
            <w:vAlign w:val="bottom"/>
          </w:tcPr>
          <w:p>
            <w:pPr>
              <w:spacing w:after="0"/>
              <w:rPr>
                <w:sz w:val="15"/>
                <w:szCs w:val="15"/>
                <w:color w:val="auto"/>
              </w:rPr>
            </w:pP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0.76</w:t>
            </w:r>
          </w:p>
        </w:tc>
        <w:tc>
          <w:tcPr>
            <w:tcW w:w="0" w:type="dxa"/>
            <w:vAlign w:val="bottom"/>
          </w:tcPr>
          <w:p>
            <w:pPr>
              <w:spacing w:after="0"/>
              <w:rPr>
                <w:sz w:val="1"/>
                <w:szCs w:val="1"/>
                <w:color w:val="auto"/>
              </w:rPr>
            </w:pPr>
          </w:p>
        </w:tc>
      </w:tr>
      <w:tr>
        <w:trPr>
          <w:trHeight w:val="20"/>
        </w:trPr>
        <w:tc>
          <w:tcPr>
            <w:tcW w:w="70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00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spread and dollar roll income, excluding "catch-up" premium amortization, per common share - diluted</w:t>
            </w: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0.72</w:t>
            </w:r>
          </w:p>
        </w:tc>
        <w:tc>
          <w:tcPr>
            <w:tcW w:w="14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0.76</w:t>
            </w:r>
          </w:p>
        </w:tc>
        <w:tc>
          <w:tcPr>
            <w:tcW w:w="0" w:type="dxa"/>
            <w:vAlign w:val="bottom"/>
          </w:tcPr>
          <w:p>
            <w:pPr>
              <w:spacing w:after="0"/>
              <w:rPr>
                <w:sz w:val="1"/>
                <w:szCs w:val="1"/>
                <w:color w:val="auto"/>
              </w:rPr>
            </w:pPr>
          </w:p>
        </w:tc>
      </w:tr>
      <w:tr>
        <w:trPr>
          <w:trHeight w:val="20"/>
        </w:trPr>
        <w:tc>
          <w:tcPr>
            <w:tcW w:w="70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 w:lineRule="exact"/>
        <w:rPr>
          <w:sz w:val="20"/>
          <w:szCs w:val="20"/>
          <w:color w:val="auto"/>
        </w:rPr>
      </w:pPr>
    </w:p>
    <w:p>
      <w:pPr>
        <w:ind w:left="660" w:hanging="328"/>
        <w:spacing w:after="0"/>
        <w:tabs>
          <w:tab w:leader="none" w:pos="660" w:val="left"/>
        </w:tabs>
        <w:numPr>
          <w:ilvl w:val="0"/>
          <w:numId w:val="29"/>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Reported in gain (loss) on derivative instruments and other securities, net in our consolidated statements of comprehensive income</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Gain (Loss) on Investment Securities, Net</w:t>
      </w:r>
    </w:p>
    <w:p>
      <w:pPr>
        <w:spacing w:after="0" w:line="175"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18"/>
          <w:szCs w:val="18"/>
          <w:color w:val="auto"/>
        </w:rPr>
        <w:t>The following table is a summary of our net gain (loss) on investment securities for the three months ended March 31, 2022 and 2021 (in millions):</w:t>
      </w:r>
    </w:p>
    <w:p>
      <w:pPr>
        <w:spacing w:after="0" w:line="85" w:lineRule="exact"/>
        <w:rPr>
          <w:sz w:val="20"/>
          <w:szCs w:val="20"/>
          <w:color w:val="auto"/>
        </w:rPr>
      </w:pPr>
    </w:p>
    <w:tbl>
      <w:tblPr>
        <w:tblLayout w:type="fixed"/>
        <w:tblInd w:w="1000" w:type="dxa"/>
        <w:tblCellMar>
          <w:top w:w="0" w:type="dxa"/>
          <w:left w:w="0" w:type="dxa"/>
          <w:bottom w:w="0" w:type="dxa"/>
          <w:right w:w="0" w:type="dxa"/>
        </w:tblCellMar>
      </w:tblPr>
      <w:tr>
        <w:trPr>
          <w:trHeight w:val="161"/>
        </w:trPr>
        <w:tc>
          <w:tcPr>
            <w:tcW w:w="69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980" w:type="dxa"/>
            <w:vAlign w:val="bottom"/>
            <w:gridSpan w:val="4"/>
          </w:tcPr>
          <w:p>
            <w:pPr>
              <w:jc w:val="right"/>
              <w:ind w:right="388"/>
              <w:spacing w:after="0"/>
              <w:rPr>
                <w:sz w:val="20"/>
                <w:szCs w:val="20"/>
                <w:color w:val="auto"/>
              </w:rPr>
            </w:pPr>
            <w:r>
              <w:rPr>
                <w:rFonts w:ascii="Times New Roman" w:cs="Times New Roman" w:eastAsia="Times New Roman" w:hAnsi="Times New Roman"/>
                <w:sz w:val="14"/>
                <w:szCs w:val="14"/>
                <w:b w:val="1"/>
                <w:bCs w:val="1"/>
                <w:color w:val="auto"/>
              </w:rPr>
              <w:t>Three Months Ended</w:t>
            </w:r>
          </w:p>
        </w:tc>
      </w:tr>
      <w:tr>
        <w:trPr>
          <w:trHeight w:val="194"/>
        </w:trPr>
        <w:tc>
          <w:tcPr>
            <w:tcW w:w="69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40" w:type="dxa"/>
            <w:vAlign w:val="bottom"/>
            <w:tcBorders>
              <w:bottom w:val="single" w:sz="8" w:color="auto"/>
            </w:tcBorders>
          </w:tcPr>
          <w:p>
            <w:pPr>
              <w:spacing w:after="0"/>
              <w:rPr>
                <w:sz w:val="16"/>
                <w:szCs w:val="16"/>
                <w:color w:val="auto"/>
              </w:rPr>
            </w:pPr>
          </w:p>
        </w:tc>
        <w:tc>
          <w:tcPr>
            <w:tcW w:w="1240" w:type="dxa"/>
            <w:vAlign w:val="bottom"/>
            <w:tcBorders>
              <w:bottom w:val="single" w:sz="8" w:color="auto"/>
            </w:tcBorders>
            <w:gridSpan w:val="3"/>
          </w:tcPr>
          <w:p>
            <w:pPr>
              <w:jc w:val="right"/>
              <w:spacing w:after="0"/>
              <w:rPr>
                <w:sz w:val="20"/>
                <w:szCs w:val="20"/>
                <w:color w:val="auto"/>
              </w:rPr>
            </w:pPr>
            <w:r>
              <w:rPr>
                <w:rFonts w:ascii="Times New Roman" w:cs="Times New Roman" w:eastAsia="Times New Roman" w:hAnsi="Times New Roman"/>
                <w:sz w:val="14"/>
                <w:szCs w:val="14"/>
                <w:b w:val="1"/>
                <w:bCs w:val="1"/>
                <w:color w:val="auto"/>
              </w:rPr>
              <w:t>March 31,</w:t>
            </w:r>
          </w:p>
        </w:tc>
        <w:tc>
          <w:tcPr>
            <w:tcW w:w="740" w:type="dxa"/>
            <w:vAlign w:val="bottom"/>
            <w:tcBorders>
              <w:bottom w:val="single" w:sz="8" w:color="auto"/>
            </w:tcBorders>
          </w:tcPr>
          <w:p>
            <w:pPr>
              <w:spacing w:after="0"/>
              <w:rPr>
                <w:sz w:val="16"/>
                <w:szCs w:val="16"/>
                <w:color w:val="auto"/>
              </w:rPr>
            </w:pPr>
          </w:p>
        </w:tc>
      </w:tr>
      <w:tr>
        <w:trPr>
          <w:trHeight w:val="203"/>
        </w:trPr>
        <w:tc>
          <w:tcPr>
            <w:tcW w:w="7040" w:type="dxa"/>
            <w:vAlign w:val="bottom"/>
            <w:gridSpan w:val="2"/>
          </w:tcPr>
          <w:p>
            <w:pPr>
              <w:ind w:left="20"/>
              <w:spacing w:after="0" w:line="202" w:lineRule="exact"/>
              <w:rPr>
                <w:sz w:val="20"/>
                <w:szCs w:val="20"/>
                <w:color w:val="auto"/>
              </w:rPr>
            </w:pPr>
            <w:r>
              <w:rPr>
                <w:rFonts w:ascii="Times New Roman" w:cs="Times New Roman" w:eastAsia="Times New Roman" w:hAnsi="Times New Roman"/>
                <w:sz w:val="14"/>
                <w:szCs w:val="14"/>
                <w:b w:val="1"/>
                <w:bCs w:val="1"/>
                <w:color w:val="auto"/>
              </w:rPr>
              <w:t xml:space="preserve">Gain (Loss) on Investment Securities, Net </w:t>
            </w:r>
            <w:r>
              <w:rPr>
                <w:rFonts w:ascii="Times New Roman" w:cs="Times New Roman" w:eastAsia="Times New Roman" w:hAnsi="Times New Roman"/>
                <w:sz w:val="18"/>
                <w:szCs w:val="18"/>
                <w:b w:val="1"/>
                <w:bCs w:val="1"/>
                <w:color w:val="auto"/>
                <w:vertAlign w:val="superscript"/>
              </w:rPr>
              <w:t>1</w:t>
            </w:r>
          </w:p>
        </w:tc>
        <w:tc>
          <w:tcPr>
            <w:tcW w:w="240" w:type="dxa"/>
            <w:vAlign w:val="bottom"/>
          </w:tcPr>
          <w:p>
            <w:pPr>
              <w:spacing w:after="0"/>
              <w:rPr>
                <w:sz w:val="17"/>
                <w:szCs w:val="17"/>
                <w:color w:val="auto"/>
              </w:rPr>
            </w:pPr>
          </w:p>
        </w:tc>
        <w:tc>
          <w:tcPr>
            <w:tcW w:w="820" w:type="dxa"/>
            <w:vAlign w:val="bottom"/>
          </w:tcPr>
          <w:p>
            <w:pPr>
              <w:jc w:val="right"/>
              <w:ind w:right="308"/>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40" w:type="dxa"/>
            <w:vAlign w:val="bottom"/>
          </w:tcPr>
          <w:p>
            <w:pPr>
              <w:jc w:val="right"/>
              <w:ind w:right="308"/>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196"/>
        </w:trPr>
        <w:tc>
          <w:tcPr>
            <w:tcW w:w="694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Loss on sale of investment securities, net</w:t>
            </w:r>
          </w:p>
        </w:tc>
        <w:tc>
          <w:tcPr>
            <w:tcW w:w="10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(342)</w:t>
            </w:r>
          </w:p>
        </w:tc>
        <w:tc>
          <w:tcPr>
            <w:tcW w:w="100" w:type="dxa"/>
            <w:vAlign w:val="bottom"/>
            <w:tcBorders>
              <w:top w:val="single" w:sz="8" w:color="CCEEFF"/>
            </w:tcBorders>
            <w:shd w:val="clear" w:color="auto" w:fill="CCEEFF"/>
          </w:tcPr>
          <w:p>
            <w:pPr>
              <w:spacing w:after="0"/>
              <w:rPr>
                <w:sz w:val="17"/>
                <w:szCs w:val="17"/>
                <w:color w:val="auto"/>
              </w:rPr>
            </w:pPr>
          </w:p>
        </w:tc>
        <w:tc>
          <w:tcPr>
            <w:tcW w:w="320" w:type="dxa"/>
            <w:vAlign w:val="bottom"/>
            <w:tcBorders>
              <w:top w:val="single" w:sz="8" w:color="auto"/>
            </w:tcBorders>
            <w:shd w:val="clear" w:color="auto" w:fill="CCEEFF"/>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w:t>
            </w:r>
          </w:p>
        </w:tc>
      </w:tr>
      <w:tr>
        <w:trPr>
          <w:trHeight w:val="203"/>
        </w:trPr>
        <w:tc>
          <w:tcPr>
            <w:tcW w:w="7040" w:type="dxa"/>
            <w:vAlign w:val="bottom"/>
            <w:gridSpan w:val="2"/>
          </w:tcPr>
          <w:p>
            <w:pPr>
              <w:ind w:left="20"/>
              <w:spacing w:after="0" w:line="202" w:lineRule="exact"/>
              <w:rPr>
                <w:sz w:val="20"/>
                <w:szCs w:val="20"/>
                <w:color w:val="auto"/>
              </w:rPr>
            </w:pPr>
            <w:r>
              <w:rPr>
                <w:rFonts w:ascii="Times New Roman" w:cs="Times New Roman" w:eastAsia="Times New Roman" w:hAnsi="Times New Roman"/>
                <w:sz w:val="14"/>
                <w:szCs w:val="14"/>
                <w:color w:val="auto"/>
              </w:rPr>
              <w:t xml:space="preserve">Unrealized loss on investment securities measured at fair value through net income, net </w:t>
            </w:r>
            <w:r>
              <w:rPr>
                <w:rFonts w:ascii="Times New Roman" w:cs="Times New Roman" w:eastAsia="Times New Roman" w:hAnsi="Times New Roman"/>
                <w:sz w:val="18"/>
                <w:szCs w:val="18"/>
                <w:color w:val="auto"/>
                <w:vertAlign w:val="superscript"/>
              </w:rPr>
              <w:t>2</w:t>
            </w:r>
          </w:p>
        </w:tc>
        <w:tc>
          <w:tcPr>
            <w:tcW w:w="24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(2,532)</w:t>
            </w:r>
          </w:p>
        </w:tc>
        <w:tc>
          <w:tcPr>
            <w:tcW w:w="10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(955)</w:t>
            </w:r>
          </w:p>
        </w:tc>
      </w:tr>
      <w:tr>
        <w:trPr>
          <w:trHeight w:val="196"/>
        </w:trPr>
        <w:tc>
          <w:tcPr>
            <w:tcW w:w="704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Unrealized loss on investment securities measured at fair value through other comprehensive income, net</w:t>
            </w:r>
          </w:p>
        </w:tc>
        <w:tc>
          <w:tcPr>
            <w:tcW w:w="240" w:type="dxa"/>
            <w:vAlign w:val="bottom"/>
            <w:tcBorders>
              <w:bottom w:val="single" w:sz="8" w:color="auto"/>
            </w:tcBorders>
            <w:shd w:val="clear" w:color="auto" w:fill="CCEEFF"/>
          </w:tcPr>
          <w:p>
            <w:pPr>
              <w:spacing w:after="0"/>
              <w:rPr>
                <w:sz w:val="17"/>
                <w:szCs w:val="17"/>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(491)</w:t>
            </w:r>
          </w:p>
        </w:tc>
        <w:tc>
          <w:tcPr>
            <w:tcW w:w="100" w:type="dxa"/>
            <w:vAlign w:val="bottom"/>
            <w:shd w:val="clear" w:color="auto" w:fill="CCEEFF"/>
          </w:tcPr>
          <w:p>
            <w:pPr>
              <w:spacing w:after="0"/>
              <w:rPr>
                <w:sz w:val="17"/>
                <w:szCs w:val="17"/>
                <w:color w:val="auto"/>
              </w:rPr>
            </w:pPr>
          </w:p>
        </w:tc>
        <w:tc>
          <w:tcPr>
            <w:tcW w:w="320" w:type="dxa"/>
            <w:vAlign w:val="bottom"/>
            <w:tcBorders>
              <w:bottom w:val="single" w:sz="8" w:color="auto"/>
            </w:tcBorders>
            <w:shd w:val="clear" w:color="auto" w:fill="CCEEFF"/>
          </w:tcPr>
          <w:p>
            <w:pPr>
              <w:spacing w:after="0"/>
              <w:rPr>
                <w:sz w:val="17"/>
                <w:szCs w:val="17"/>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(237)</w:t>
            </w:r>
          </w:p>
        </w:tc>
      </w:tr>
      <w:tr>
        <w:trPr>
          <w:trHeight w:val="203"/>
        </w:trPr>
        <w:tc>
          <w:tcPr>
            <w:tcW w:w="704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Total loss on investment securities, net</w:t>
            </w:r>
          </w:p>
        </w:tc>
        <w:tc>
          <w:tcPr>
            <w:tcW w:w="240" w:type="dxa"/>
            <w:vAlign w:val="bottom"/>
            <w:tcBorders>
              <w:bottom w:val="single" w:sz="8" w:color="auto"/>
            </w:tcBorders>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(3,365)</w:t>
            </w:r>
          </w:p>
        </w:tc>
        <w:tc>
          <w:tcPr>
            <w:tcW w:w="100" w:type="dxa"/>
            <w:vAlign w:val="bottom"/>
          </w:tcPr>
          <w:p>
            <w:pPr>
              <w:spacing w:after="0"/>
              <w:rPr>
                <w:sz w:val="17"/>
                <w:szCs w:val="17"/>
                <w:color w:val="auto"/>
              </w:rPr>
            </w:pPr>
          </w:p>
        </w:tc>
        <w:tc>
          <w:tcPr>
            <w:tcW w:w="320" w:type="dxa"/>
            <w:vAlign w:val="bottom"/>
            <w:tcBorders>
              <w:bottom w:val="single" w:sz="8" w:color="auto"/>
            </w:tcBorders>
          </w:tcPr>
          <w:p>
            <w:pPr>
              <w:jc w:val="right"/>
              <w:ind w:right="148"/>
              <w:spacing w:after="0"/>
              <w:rPr>
                <w:sz w:val="20"/>
                <w:szCs w:val="20"/>
                <w:color w:val="auto"/>
              </w:rPr>
            </w:pPr>
            <w:r>
              <w:rPr>
                <w:rFonts w:ascii="Times New Roman" w:cs="Times New Roman" w:eastAsia="Times New Roman" w:hAnsi="Times New Roman"/>
                <w:sz w:val="14"/>
                <w:szCs w:val="14"/>
                <w:color w:val="auto"/>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(1,205)</w:t>
            </w:r>
          </w:p>
        </w:tc>
      </w:tr>
      <w:tr>
        <w:trPr>
          <w:trHeight w:val="20"/>
        </w:trPr>
        <w:tc>
          <w:tcPr>
            <w:tcW w:w="69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line="250" w:lineRule="auto"/>
        <w:tabs>
          <w:tab w:leader="none" w:pos="660" w:val="left"/>
        </w:tabs>
        <w:numPr>
          <w:ilvl w:val="0"/>
          <w:numId w:val="3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Amounts exclude gain (loss) on TBA securities, which are reported in gain (loss) on derivative instruments and other securities, net in our Consolidated Statements of Comprehensive Income.</w:t>
      </w:r>
    </w:p>
    <w:p>
      <w:pPr>
        <w:ind w:left="660" w:hanging="328"/>
        <w:spacing w:after="0"/>
        <w:tabs>
          <w:tab w:leader="none" w:pos="660" w:val="left"/>
        </w:tabs>
        <w:numPr>
          <w:ilvl w:val="0"/>
          <w:numId w:val="30"/>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Investment securities acquired after fiscal year 2016 are measured at fair value through net income (see Note 2 of our Consolidated Financial Statements in this Form 10-Q).</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03" w:right="339" w:bottom="1440" w:gutter="0" w:footer="0" w:header="0"/>
        </w:sectPr>
      </w:pPr>
    </w:p>
    <w:bookmarkStart w:id="36" w:name="page37"/>
    <w:bookmarkEnd w:id="36"/>
    <w:p>
      <w:pPr>
        <w:spacing w:after="0"/>
        <w:rPr>
          <w:sz w:val="20"/>
          <w:szCs w:val="20"/>
          <w:color w:val="auto"/>
        </w:rPr>
      </w:pPr>
      <w:r>
        <w:rPr>
          <w:rFonts w:ascii="Times New Roman" w:cs="Times New Roman" w:eastAsia="Times New Roman" w:hAnsi="Times New Roman"/>
          <w:sz w:val="18"/>
          <w:szCs w:val="18"/>
          <w:b w:val="1"/>
          <w:bCs w:val="1"/>
          <w:i w:val="1"/>
          <w:iCs w:val="1"/>
          <w:color w:val="auto"/>
        </w:rPr>
        <w:t>Gain (Loss) on Derivative Instruments and Other Securities, Net</w:t>
      </w:r>
    </w:p>
    <w:p>
      <w:pPr>
        <w:spacing w:after="0" w:line="175"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The following table is a summary of our gain (loss) on derivative instruments and other securities, net for the three months ended March 31, 2022 and 2021 (in millions):</w:t>
      </w:r>
    </w:p>
    <w:p>
      <w:pPr>
        <w:spacing w:after="0" w:line="47" w:lineRule="exact"/>
        <w:rPr>
          <w:sz w:val="20"/>
          <w:szCs w:val="20"/>
          <w:color w:val="auto"/>
        </w:rPr>
      </w:pPr>
    </w:p>
    <w:p>
      <w:pPr>
        <w:jc w:val="center"/>
        <w:ind w:left="7180"/>
        <w:spacing w:after="0"/>
        <w:rPr>
          <w:sz w:val="20"/>
          <w:szCs w:val="20"/>
          <w:color w:val="auto"/>
        </w:rPr>
      </w:pPr>
      <w:r>
        <w:rPr>
          <w:rFonts w:ascii="Times New Roman" w:cs="Times New Roman" w:eastAsia="Times New Roman" w:hAnsi="Times New Roman"/>
          <w:sz w:val="14"/>
          <w:szCs w:val="14"/>
          <w:b w:val="1"/>
          <w:bCs w:val="1"/>
          <w:color w:val="auto"/>
        </w:rPr>
        <w:t>Three Months Ended</w:t>
      </w:r>
    </w:p>
    <w:p>
      <w:pPr>
        <w:spacing w:after="0" w:line="6" w:lineRule="exact"/>
        <w:rPr>
          <w:sz w:val="20"/>
          <w:szCs w:val="20"/>
          <w:color w:val="auto"/>
        </w:rPr>
      </w:pPr>
    </w:p>
    <w:p>
      <w:pPr>
        <w:jc w:val="center"/>
        <w:ind w:left="7180"/>
        <w:spacing w:after="0"/>
        <w:rPr>
          <w:sz w:val="20"/>
          <w:szCs w:val="20"/>
          <w:color w:val="auto"/>
        </w:rPr>
      </w:pPr>
      <w:r>
        <w:rPr>
          <w:rFonts w:ascii="Times New Roman" w:cs="Times New Roman" w:eastAsia="Times New Roman" w:hAnsi="Times New Roman"/>
          <w:sz w:val="14"/>
          <w:szCs w:val="14"/>
          <w:b w:val="1"/>
          <w:bCs w:val="1"/>
          <w:color w:val="auto"/>
        </w:rPr>
        <w:t>March 31,</w:t>
      </w:r>
    </w:p>
    <w:p>
      <w:pPr>
        <w:spacing w:after="0" w:line="11" w:lineRule="exact"/>
        <w:rPr>
          <w:sz w:val="20"/>
          <w:szCs w:val="20"/>
          <w:color w:val="auto"/>
        </w:rPr>
      </w:pPr>
    </w:p>
    <w:tbl>
      <w:tblPr>
        <w:tblLayout w:type="fixed"/>
        <w:tblInd w:w="1000" w:type="dxa"/>
        <w:tblCellMar>
          <w:top w:w="0" w:type="dxa"/>
          <w:left w:w="0" w:type="dxa"/>
          <w:bottom w:w="0" w:type="dxa"/>
          <w:right w:w="0" w:type="dxa"/>
        </w:tblCellMar>
      </w:tblPr>
      <w:tr>
        <w:trPr>
          <w:trHeight w:val="200"/>
        </w:trPr>
        <w:tc>
          <w:tcPr>
            <w:tcW w:w="7180" w:type="dxa"/>
            <w:vAlign w:val="bottom"/>
            <w:tcBorders>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780" w:type="dxa"/>
            <w:vAlign w:val="bottom"/>
            <w:tcBorders>
              <w:top w:val="single" w:sz="8" w:color="auto"/>
              <w:bottom w:val="single" w:sz="8" w:color="auto"/>
            </w:tcBorders>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2022</w:t>
            </w:r>
          </w:p>
        </w:tc>
        <w:tc>
          <w:tcPr>
            <w:tcW w:w="80" w:type="dxa"/>
            <w:vAlign w:val="bottom"/>
            <w:tcBorders>
              <w:top w:val="single" w:sz="8" w:color="auto"/>
              <w:bottom w:val="single" w:sz="8" w:color="CCEEFF"/>
            </w:tcBorders>
          </w:tcPr>
          <w:p>
            <w:pPr>
              <w:spacing w:after="0"/>
              <w:rPr>
                <w:sz w:val="17"/>
                <w:szCs w:val="17"/>
                <w:color w:val="auto"/>
              </w:rPr>
            </w:pPr>
          </w:p>
        </w:tc>
        <w:tc>
          <w:tcPr>
            <w:tcW w:w="220" w:type="dxa"/>
            <w:vAlign w:val="bottom"/>
            <w:tcBorders>
              <w:top w:val="single" w:sz="8" w:color="auto"/>
              <w:bottom w:val="single" w:sz="8" w:color="auto"/>
            </w:tcBorders>
          </w:tcPr>
          <w:p>
            <w:pPr>
              <w:spacing w:after="0"/>
              <w:rPr>
                <w:sz w:val="17"/>
                <w:szCs w:val="17"/>
                <w:color w:val="auto"/>
              </w:rPr>
            </w:pPr>
          </w:p>
        </w:tc>
        <w:tc>
          <w:tcPr>
            <w:tcW w:w="780" w:type="dxa"/>
            <w:vAlign w:val="bottom"/>
            <w:tcBorders>
              <w:top w:val="single" w:sz="8" w:color="auto"/>
              <w:bottom w:val="single" w:sz="8" w:color="auto"/>
            </w:tcBorders>
          </w:tcPr>
          <w:p>
            <w:pPr>
              <w:jc w:val="right"/>
              <w:ind w:right="288"/>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02"/>
        </w:trPr>
        <w:tc>
          <w:tcPr>
            <w:tcW w:w="7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TBA securities, dollar roll income</w:t>
            </w: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152</w:t>
            </w:r>
          </w:p>
        </w:tc>
        <w:tc>
          <w:tcPr>
            <w:tcW w:w="8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154</w:t>
            </w:r>
          </w:p>
        </w:tc>
      </w:tr>
      <w:tr>
        <w:trPr>
          <w:trHeight w:val="195"/>
        </w:trPr>
        <w:tc>
          <w:tcPr>
            <w:tcW w:w="71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TBA securities, mark-to-market loss</w:t>
            </w: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(1,386)</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(1,080)</w:t>
            </w:r>
          </w:p>
        </w:tc>
      </w:tr>
      <w:tr>
        <w:trPr>
          <w:trHeight w:val="210"/>
        </w:trPr>
        <w:tc>
          <w:tcPr>
            <w:tcW w:w="7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Interest rate swaps, periodic cost</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(18)</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w:t>
            </w:r>
          </w:p>
        </w:tc>
      </w:tr>
      <w:tr>
        <w:trPr>
          <w:trHeight w:val="195"/>
        </w:trPr>
        <w:tc>
          <w:tcPr>
            <w:tcW w:w="71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Interest rate swaps, mark-to-market gain</w:t>
            </w: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1,975</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1,136</w:t>
            </w:r>
          </w:p>
        </w:tc>
      </w:tr>
      <w:tr>
        <w:trPr>
          <w:trHeight w:val="210"/>
        </w:trPr>
        <w:tc>
          <w:tcPr>
            <w:tcW w:w="7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Payer swaptions</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363</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387</w:t>
            </w:r>
          </w:p>
        </w:tc>
      </w:tr>
      <w:tr>
        <w:trPr>
          <w:trHeight w:val="195"/>
        </w:trPr>
        <w:tc>
          <w:tcPr>
            <w:tcW w:w="71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U.S. Treasury securities - short position</w:t>
            </w: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605</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807</w:t>
            </w:r>
          </w:p>
        </w:tc>
      </w:tr>
      <w:tr>
        <w:trPr>
          <w:trHeight w:val="210"/>
        </w:trPr>
        <w:tc>
          <w:tcPr>
            <w:tcW w:w="7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U.S. Treasury securities - long position</w:t>
            </w: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(54)</w:t>
            </w: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w:t>
            </w:r>
          </w:p>
        </w:tc>
      </w:tr>
      <w:tr>
        <w:trPr>
          <w:trHeight w:val="195"/>
        </w:trPr>
        <w:tc>
          <w:tcPr>
            <w:tcW w:w="71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U.S. Treasury futures contracts - short position</w:t>
            </w: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196</w:t>
            </w:r>
          </w:p>
        </w:tc>
        <w:tc>
          <w:tcPr>
            <w:tcW w:w="8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61</w:t>
            </w:r>
          </w:p>
        </w:tc>
      </w:tr>
      <w:tr>
        <w:trPr>
          <w:trHeight w:val="203"/>
        </w:trPr>
        <w:tc>
          <w:tcPr>
            <w:tcW w:w="718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Other</w:t>
            </w:r>
          </w:p>
        </w:tc>
        <w:tc>
          <w:tcPr>
            <w:tcW w:w="2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(37)</w:t>
            </w:r>
          </w:p>
        </w:tc>
        <w:tc>
          <w:tcPr>
            <w:tcW w:w="8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spacing w:after="0"/>
              <w:rPr>
                <w:sz w:val="17"/>
                <w:szCs w:val="17"/>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w:t>
            </w:r>
          </w:p>
        </w:tc>
      </w:tr>
      <w:tr>
        <w:trPr>
          <w:trHeight w:val="203"/>
        </w:trPr>
        <w:tc>
          <w:tcPr>
            <w:tcW w:w="718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Total gain (loss) on derivative instruments and other securities, net</w:t>
            </w: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1,796</w:t>
            </w:r>
          </w:p>
        </w:tc>
        <w:tc>
          <w:tcPr>
            <w:tcW w:w="80" w:type="dxa"/>
            <w:vAlign w:val="bottom"/>
          </w:tcPr>
          <w:p>
            <w:pPr>
              <w:spacing w:after="0"/>
              <w:rPr>
                <w:sz w:val="17"/>
                <w:szCs w:val="17"/>
                <w:color w:val="auto"/>
              </w:rPr>
            </w:pP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1,439</w:t>
            </w:r>
          </w:p>
        </w:tc>
      </w:tr>
      <w:tr>
        <w:trPr>
          <w:trHeight w:val="20"/>
        </w:trPr>
        <w:tc>
          <w:tcPr>
            <w:tcW w:w="71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r>
    </w:tbl>
    <w:p>
      <w:pPr>
        <w:spacing w:after="0" w:line="144"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For further details regarding our use of derivative instruments and related activity refer to Notes 2 and 5 of our Consolidated Financial Statements in this Form 10-Q.</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Estimated Taxable Income (Loss)</w:t>
      </w:r>
    </w:p>
    <w:p>
      <w:pPr>
        <w:spacing w:after="0" w:line="175"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color w:val="auto"/>
        </w:rPr>
        <w:t>For the three months ended March 31, 2022 and 2021, we had estimated taxable loss attributable to common stockholders of $(43) million and $(164) million, respectively, or $(0.08) and $(0.31) per diluted common share, respectively. Income determined under GAAP differs from income determined under U.S. federal income tax rules because of both temporary and permanent differences in income and expense recognition. The primary differences are (i) unrealized gains and losses on investment securities and derivative instruments marked-to-market in current income for GAAP purposes, but excluded from taxable income until realized, settled or amortized over the instrument's original term, (ii) timing differences, both temporary and potentially permanent, in the recognition of certain realized gains and losses and (iii) temporary differences related to the amortization of premiums and discounts on investments. Furthermore, our estimated taxable income is subject to potential adjustments up to the time of filing our appropriate tax returns, which occurs after the end of our fiscal year. The following is a</w:t>
      </w: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37" w:name="page38"/>
    <w:bookmarkEnd w:id="37"/>
    <w:p>
      <w:pPr>
        <w:spacing w:after="0" w:line="282" w:lineRule="auto"/>
        <w:rPr>
          <w:sz w:val="20"/>
          <w:szCs w:val="20"/>
          <w:color w:val="auto"/>
        </w:rPr>
      </w:pPr>
      <w:r>
        <w:rPr>
          <w:rFonts w:ascii="Times New Roman" w:cs="Times New Roman" w:eastAsia="Times New Roman" w:hAnsi="Times New Roman"/>
          <w:sz w:val="18"/>
          <w:szCs w:val="18"/>
          <w:color w:val="auto"/>
        </w:rPr>
        <w:t>reconciliation of our GAAP net income to our estimated taxable income (loss) for the three months ended March 31, 2022 and 2021 (dollars in millions, except per share amounts):</w:t>
      </w:r>
    </w:p>
    <w:p>
      <w:pPr>
        <w:spacing w:after="0" w:line="66" w:lineRule="exact"/>
        <w:rPr>
          <w:sz w:val="20"/>
          <w:szCs w:val="20"/>
          <w:color w:val="auto"/>
        </w:rPr>
      </w:pPr>
    </w:p>
    <w:p>
      <w:pPr>
        <w:jc w:val="center"/>
        <w:ind w:left="6440"/>
        <w:spacing w:after="0"/>
        <w:rPr>
          <w:sz w:val="20"/>
          <w:szCs w:val="20"/>
          <w:color w:val="auto"/>
        </w:rPr>
      </w:pPr>
      <w:r>
        <w:rPr>
          <w:rFonts w:ascii="Times New Roman" w:cs="Times New Roman" w:eastAsia="Times New Roman" w:hAnsi="Times New Roman"/>
          <w:sz w:val="14"/>
          <w:szCs w:val="14"/>
          <w:b w:val="1"/>
          <w:bCs w:val="1"/>
          <w:color w:val="auto"/>
        </w:rPr>
        <w:t>Three Months Ended March</w:t>
      </w:r>
    </w:p>
    <w:p>
      <w:pPr>
        <w:jc w:val="center"/>
        <w:ind w:left="6440"/>
        <w:spacing w:after="0"/>
        <w:rPr>
          <w:sz w:val="20"/>
          <w:szCs w:val="20"/>
          <w:color w:val="auto"/>
        </w:rPr>
      </w:pPr>
      <w:r>
        <w:rPr>
          <w:rFonts w:ascii="Times New Roman" w:cs="Times New Roman" w:eastAsia="Times New Roman" w:hAnsi="Times New Roman"/>
          <w:sz w:val="14"/>
          <w:szCs w:val="14"/>
          <w:b w:val="1"/>
          <w:bCs w:val="1"/>
          <w:color w:val="auto"/>
        </w:rPr>
        <w:t>31,</w:t>
      </w:r>
    </w:p>
    <w:p>
      <w:pPr>
        <w:spacing w:after="0" w:line="15" w:lineRule="exact"/>
        <w:rPr>
          <w:sz w:val="20"/>
          <w:szCs w:val="20"/>
          <w:color w:val="auto"/>
        </w:rPr>
      </w:pPr>
    </w:p>
    <w:tbl>
      <w:tblPr>
        <w:tblLayout w:type="fixed"/>
        <w:tblInd w:w="1400" w:type="dxa"/>
        <w:tblCellMar>
          <w:top w:w="0" w:type="dxa"/>
          <w:left w:w="0" w:type="dxa"/>
          <w:bottom w:w="0" w:type="dxa"/>
          <w:right w:w="0" w:type="dxa"/>
        </w:tblCellMar>
      </w:tblPr>
      <w:tr>
        <w:trPr>
          <w:trHeight w:val="210"/>
        </w:trPr>
        <w:tc>
          <w:tcPr>
            <w:tcW w:w="6460" w:type="dxa"/>
            <w:vAlign w:val="bottom"/>
            <w:tcBorders>
              <w:bottom w:val="single" w:sz="8" w:color="CCEEFF"/>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jc w:val="right"/>
              <w:ind w:right="268"/>
              <w:spacing w:after="0"/>
              <w:rPr>
                <w:sz w:val="20"/>
                <w:szCs w:val="20"/>
                <w:color w:val="auto"/>
              </w:rPr>
            </w:pPr>
            <w:r>
              <w:rPr>
                <w:rFonts w:ascii="Times New Roman" w:cs="Times New Roman" w:eastAsia="Times New Roman" w:hAnsi="Times New Roman"/>
                <w:sz w:val="14"/>
                <w:szCs w:val="14"/>
                <w:b w:val="1"/>
                <w:bCs w:val="1"/>
                <w:color w:val="auto"/>
              </w:rPr>
              <w:t>2022</w:t>
            </w:r>
          </w:p>
        </w:tc>
        <w:tc>
          <w:tcPr>
            <w:tcW w:w="100" w:type="dxa"/>
            <w:vAlign w:val="bottom"/>
            <w:tcBorders>
              <w:top w:val="single" w:sz="8" w:color="auto"/>
              <w:bottom w:val="single" w:sz="8" w:color="CCEEFF"/>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720" w:type="dxa"/>
            <w:vAlign w:val="bottom"/>
            <w:tcBorders>
              <w:top w:val="single" w:sz="8" w:color="auto"/>
              <w:bottom w:val="single" w:sz="8" w:color="auto"/>
            </w:tcBorders>
          </w:tcPr>
          <w:p>
            <w:pPr>
              <w:jc w:val="right"/>
              <w:ind w:right="248"/>
              <w:spacing w:after="0"/>
              <w:rPr>
                <w:sz w:val="20"/>
                <w:szCs w:val="20"/>
                <w:color w:val="auto"/>
              </w:rPr>
            </w:pPr>
            <w:r>
              <w:rPr>
                <w:rFonts w:ascii="Times New Roman" w:cs="Times New Roman" w:eastAsia="Times New Roman" w:hAnsi="Times New Roman"/>
                <w:sz w:val="14"/>
                <w:szCs w:val="14"/>
                <w:b w:val="1"/>
                <w:bCs w:val="1"/>
                <w:color w:val="auto"/>
              </w:rPr>
              <w:t>2021</w:t>
            </w:r>
          </w:p>
        </w:tc>
      </w:tr>
      <w:tr>
        <w:trPr>
          <w:trHeight w:val="202"/>
        </w:trPr>
        <w:tc>
          <w:tcPr>
            <w:tcW w:w="64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Net income/(loss)</w:t>
            </w:r>
          </w:p>
        </w:tc>
        <w:tc>
          <w:tcPr>
            <w:tcW w:w="2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(651)</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975</w:t>
            </w:r>
          </w:p>
        </w:tc>
      </w:tr>
      <w:tr>
        <w:trPr>
          <w:trHeight w:val="195"/>
        </w:trPr>
        <w:tc>
          <w:tcPr>
            <w:tcW w:w="64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Book to tax differences:</w:t>
            </w:r>
          </w:p>
        </w:tc>
        <w:tc>
          <w:tcPr>
            <w:tcW w:w="200" w:type="dxa"/>
            <w:vAlign w:val="bottom"/>
          </w:tcPr>
          <w:p>
            <w:pPr>
              <w:spacing w:after="0"/>
              <w:rPr>
                <w:sz w:val="16"/>
                <w:szCs w:val="16"/>
                <w:color w:val="auto"/>
              </w:rPr>
            </w:pPr>
          </w:p>
        </w:tc>
        <w:tc>
          <w:tcPr>
            <w:tcW w:w="74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spacing w:after="0"/>
              <w:rPr>
                <w:sz w:val="16"/>
                <w:szCs w:val="16"/>
                <w:color w:val="auto"/>
              </w:rPr>
            </w:pPr>
          </w:p>
        </w:tc>
      </w:tr>
      <w:tr>
        <w:trPr>
          <w:trHeight w:val="210"/>
        </w:trPr>
        <w:tc>
          <w:tcPr>
            <w:tcW w:w="6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Premium amortization, net</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(176)</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(269)</w:t>
            </w:r>
          </w:p>
        </w:tc>
      </w:tr>
      <w:tr>
        <w:trPr>
          <w:trHeight w:val="195"/>
        </w:trPr>
        <w:tc>
          <w:tcPr>
            <w:tcW w:w="646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Realized gain/loss, net</w:t>
            </w: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(2,365)</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(1,494)</w:t>
            </w:r>
          </w:p>
        </w:tc>
      </w:tr>
      <w:tr>
        <w:trPr>
          <w:trHeight w:val="210"/>
        </w:trPr>
        <w:tc>
          <w:tcPr>
            <w:tcW w:w="6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Net capital loss/(utilization of net capital loss carryforward)</w:t>
            </w:r>
          </w:p>
        </w:tc>
        <w:tc>
          <w:tcPr>
            <w:tcW w:w="200" w:type="dxa"/>
            <w:vAlign w:val="bottom"/>
            <w:shd w:val="clear" w:color="auto" w:fill="CCEEFF"/>
          </w:tcPr>
          <w:p>
            <w:pPr>
              <w:spacing w:after="0"/>
              <w:rPr>
                <w:sz w:val="18"/>
                <w:szCs w:val="18"/>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868</w:t>
            </w:r>
          </w:p>
        </w:tc>
        <w:tc>
          <w:tcPr>
            <w:tcW w:w="10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w:t>
            </w:r>
          </w:p>
        </w:tc>
      </w:tr>
      <w:tr>
        <w:trPr>
          <w:trHeight w:val="195"/>
        </w:trPr>
        <w:tc>
          <w:tcPr>
            <w:tcW w:w="646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Unrealized (gain)/loss, net</w:t>
            </w:r>
          </w:p>
        </w:tc>
        <w:tc>
          <w:tcPr>
            <w:tcW w:w="200" w:type="dxa"/>
            <w:vAlign w:val="bottom"/>
          </w:tcPr>
          <w:p>
            <w:pPr>
              <w:spacing w:after="0"/>
              <w:rPr>
                <w:sz w:val="16"/>
                <w:szCs w:val="16"/>
                <w:color w:val="auto"/>
              </w:rPr>
            </w:pPr>
          </w:p>
        </w:tc>
        <w:tc>
          <w:tcPr>
            <w:tcW w:w="74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2,294</w:t>
            </w:r>
          </w:p>
        </w:tc>
        <w:tc>
          <w:tcPr>
            <w:tcW w:w="10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545</w:t>
            </w:r>
          </w:p>
        </w:tc>
      </w:tr>
      <w:tr>
        <w:trPr>
          <w:trHeight w:val="210"/>
        </w:trPr>
        <w:tc>
          <w:tcPr>
            <w:tcW w:w="6460" w:type="dxa"/>
            <w:vAlign w:val="bottom"/>
            <w:shd w:val="clear" w:color="auto" w:fill="CCEEFF"/>
          </w:tcPr>
          <w:p>
            <w:pPr>
              <w:ind w:left="140"/>
              <w:spacing w:after="0"/>
              <w:rPr>
                <w:sz w:val="20"/>
                <w:szCs w:val="20"/>
                <w:color w:val="auto"/>
              </w:rPr>
            </w:pPr>
            <w:r>
              <w:rPr>
                <w:rFonts w:ascii="Times New Roman" w:cs="Times New Roman" w:eastAsia="Times New Roman" w:hAnsi="Times New Roman"/>
                <w:sz w:val="14"/>
                <w:szCs w:val="14"/>
                <w:color w:val="auto"/>
              </w:rPr>
              <w:t>Other</w:t>
            </w:r>
          </w:p>
        </w:tc>
        <w:tc>
          <w:tcPr>
            <w:tcW w:w="2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(13)</w:t>
            </w:r>
          </w:p>
        </w:tc>
        <w:tc>
          <w:tcPr>
            <w:tcW w:w="10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w:t>
            </w:r>
          </w:p>
        </w:tc>
      </w:tr>
      <w:tr>
        <w:trPr>
          <w:trHeight w:val="190"/>
        </w:trPr>
        <w:tc>
          <w:tcPr>
            <w:tcW w:w="6460" w:type="dxa"/>
            <w:vAlign w:val="bottom"/>
            <w:tcBorders>
              <w:bottom w:val="single" w:sz="8" w:color="CCEEFF"/>
            </w:tcBorders>
          </w:tcPr>
          <w:p>
            <w:pPr>
              <w:ind w:left="540"/>
              <w:spacing w:after="0"/>
              <w:rPr>
                <w:sz w:val="20"/>
                <w:szCs w:val="20"/>
                <w:color w:val="auto"/>
              </w:rPr>
            </w:pPr>
            <w:r>
              <w:rPr>
                <w:rFonts w:ascii="Times New Roman" w:cs="Times New Roman" w:eastAsia="Times New Roman" w:hAnsi="Times New Roman"/>
                <w:sz w:val="14"/>
                <w:szCs w:val="14"/>
                <w:color w:val="auto"/>
              </w:rPr>
              <w:t>Total book to tax differences</w:t>
            </w:r>
          </w:p>
        </w:tc>
        <w:tc>
          <w:tcPr>
            <w:tcW w:w="20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608</w:t>
            </w:r>
          </w:p>
        </w:tc>
        <w:tc>
          <w:tcPr>
            <w:tcW w:w="100" w:type="dxa"/>
            <w:vAlign w:val="bottom"/>
            <w:tcBorders>
              <w:bottom w:val="single" w:sz="8" w:color="CCEEFF"/>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(1,139)</w:t>
            </w:r>
          </w:p>
        </w:tc>
      </w:tr>
      <w:tr>
        <w:trPr>
          <w:trHeight w:val="203"/>
        </w:trPr>
        <w:tc>
          <w:tcPr>
            <w:tcW w:w="64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REIT taxable loss</w:t>
            </w:r>
          </w:p>
        </w:tc>
        <w:tc>
          <w:tcPr>
            <w:tcW w:w="200" w:type="dxa"/>
            <w:vAlign w:val="bottom"/>
            <w:shd w:val="clear" w:color="auto" w:fill="CCEEFF"/>
          </w:tcPr>
          <w:p>
            <w:pPr>
              <w:spacing w:after="0"/>
              <w:rPr>
                <w:sz w:val="17"/>
                <w:szCs w:val="17"/>
                <w:color w:val="auto"/>
              </w:rPr>
            </w:pP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w:t>
            </w:r>
          </w:p>
        </w:tc>
        <w:tc>
          <w:tcPr>
            <w:tcW w:w="10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(164)</w:t>
            </w:r>
          </w:p>
        </w:tc>
      </w:tr>
      <w:tr>
        <w:trPr>
          <w:trHeight w:val="196"/>
        </w:trPr>
        <w:tc>
          <w:tcPr>
            <w:tcW w:w="6460" w:type="dxa"/>
            <w:vAlign w:val="bottom"/>
          </w:tcPr>
          <w:p>
            <w:pPr>
              <w:ind w:left="140"/>
              <w:spacing w:after="0"/>
              <w:rPr>
                <w:sz w:val="20"/>
                <w:szCs w:val="20"/>
                <w:color w:val="auto"/>
              </w:rPr>
            </w:pPr>
            <w:r>
              <w:rPr>
                <w:rFonts w:ascii="Times New Roman" w:cs="Times New Roman" w:eastAsia="Times New Roman" w:hAnsi="Times New Roman"/>
                <w:sz w:val="14"/>
                <w:szCs w:val="14"/>
                <w:color w:val="auto"/>
              </w:rPr>
              <w:t>REIT taxable income attributed to preferred stock</w:t>
            </w:r>
          </w:p>
        </w:tc>
        <w:tc>
          <w:tcPr>
            <w:tcW w:w="200" w:type="dxa"/>
            <w:vAlign w:val="bottom"/>
          </w:tcPr>
          <w:p>
            <w:pPr>
              <w:spacing w:after="0"/>
              <w:rPr>
                <w:sz w:val="17"/>
                <w:szCs w:val="17"/>
                <w:color w:val="auto"/>
              </w:rPr>
            </w:pPr>
          </w:p>
        </w:tc>
        <w:tc>
          <w:tcPr>
            <w:tcW w:w="840" w:type="dxa"/>
            <w:vAlign w:val="bottom"/>
            <w:gridSpan w:val="2"/>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228"/>
        </w:trPr>
        <w:tc>
          <w:tcPr>
            <w:tcW w:w="6460" w:type="dxa"/>
            <w:vAlign w:val="bottom"/>
            <w:tcBorders>
              <w:top w:val="single" w:sz="8" w:color="CCEEFF"/>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REIT taxable loss attributed to common stock</w:t>
            </w:r>
          </w:p>
        </w:tc>
        <w:tc>
          <w:tcPr>
            <w:tcW w:w="20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(43)</w:t>
            </w:r>
          </w:p>
        </w:tc>
        <w:tc>
          <w:tcPr>
            <w:tcW w:w="100" w:type="dxa"/>
            <w:vAlign w:val="bottom"/>
            <w:tcBorders>
              <w:top w:val="single" w:sz="8" w:color="CCEEFF"/>
              <w:bottom w:val="single" w:sz="8" w:color="CCEEFF"/>
            </w:tcBorders>
            <w:shd w:val="clear" w:color="auto" w:fill="CCEEFF"/>
          </w:tcPr>
          <w:p>
            <w:pPr>
              <w:spacing w:after="0"/>
              <w:rPr>
                <w:sz w:val="19"/>
                <w:szCs w:val="19"/>
                <w:color w:val="auto"/>
              </w:rPr>
            </w:pPr>
          </w:p>
        </w:tc>
        <w:tc>
          <w:tcPr>
            <w:tcW w:w="220" w:type="dxa"/>
            <w:vAlign w:val="bottom"/>
            <w:tcBorders>
              <w:top w:val="single" w:sz="8" w:color="auto"/>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(164)</w:t>
            </w:r>
          </w:p>
        </w:tc>
      </w:tr>
      <w:tr>
        <w:trPr>
          <w:trHeight w:val="20"/>
        </w:trPr>
        <w:tc>
          <w:tcPr>
            <w:tcW w:w="64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77"/>
        </w:trPr>
        <w:tc>
          <w:tcPr>
            <w:tcW w:w="64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Weighted average common shares outstanding - basic</w:t>
            </w:r>
          </w:p>
        </w:tc>
        <w:tc>
          <w:tcPr>
            <w:tcW w:w="20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524.3</w:t>
            </w:r>
          </w:p>
        </w:tc>
        <w:tc>
          <w:tcPr>
            <w:tcW w:w="100" w:type="dxa"/>
            <w:vAlign w:val="bottom"/>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533.7</w:t>
            </w:r>
          </w:p>
        </w:tc>
      </w:tr>
      <w:tr>
        <w:trPr>
          <w:trHeight w:val="20"/>
        </w:trPr>
        <w:tc>
          <w:tcPr>
            <w:tcW w:w="64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21"/>
        </w:trPr>
        <w:tc>
          <w:tcPr>
            <w:tcW w:w="64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Weighted average common shares outstanding - diluted</w:t>
            </w:r>
          </w:p>
        </w:tc>
        <w:tc>
          <w:tcPr>
            <w:tcW w:w="200" w:type="dxa"/>
            <w:vAlign w:val="bottom"/>
            <w:tcBorders>
              <w:bottom w:val="single" w:sz="8" w:color="auto"/>
            </w:tcBorders>
            <w:shd w:val="clear" w:color="auto" w:fill="CCEEFF"/>
          </w:tcPr>
          <w:p>
            <w:pPr>
              <w:spacing w:after="0"/>
              <w:rPr>
                <w:sz w:val="18"/>
                <w:szCs w:val="18"/>
                <w:color w:val="auto"/>
              </w:rPr>
            </w:pP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524.3</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533.7</w:t>
            </w:r>
          </w:p>
        </w:tc>
      </w:tr>
      <w:tr>
        <w:trPr>
          <w:trHeight w:val="20"/>
        </w:trPr>
        <w:tc>
          <w:tcPr>
            <w:tcW w:w="64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77"/>
        </w:trPr>
        <w:tc>
          <w:tcPr>
            <w:tcW w:w="64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REIT taxable loss per common share - basic</w:t>
            </w:r>
          </w:p>
        </w:tc>
        <w:tc>
          <w:tcPr>
            <w:tcW w:w="2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(0.08)</w:t>
            </w:r>
          </w:p>
        </w:tc>
        <w:tc>
          <w:tcPr>
            <w:tcW w:w="100" w:type="dxa"/>
            <w:vAlign w:val="bottom"/>
          </w:tcPr>
          <w:p>
            <w:pPr>
              <w:spacing w:after="0"/>
              <w:rPr>
                <w:sz w:val="15"/>
                <w:szCs w:val="15"/>
                <w:color w:val="auto"/>
              </w:rPr>
            </w:pP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(0.31)</w:t>
            </w:r>
          </w:p>
        </w:tc>
      </w:tr>
      <w:tr>
        <w:trPr>
          <w:trHeight w:val="20"/>
        </w:trPr>
        <w:tc>
          <w:tcPr>
            <w:tcW w:w="6460" w:type="dxa"/>
            <w:vAlign w:val="bottom"/>
            <w:tcBorders>
              <w:bottom w:val="single" w:sz="8" w:color="CCEEFF"/>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CCEEFF"/>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r>
        <w:trPr>
          <w:trHeight w:val="222"/>
        </w:trPr>
        <w:tc>
          <w:tcPr>
            <w:tcW w:w="6460" w:type="dxa"/>
            <w:vAlign w:val="bottom"/>
            <w:tcBorders>
              <w:bottom w:val="single" w:sz="8" w:color="CCEEFF"/>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REIT taxable loss per common share - diluted</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(0.08)</w:t>
            </w:r>
          </w:p>
        </w:tc>
        <w:tc>
          <w:tcPr>
            <w:tcW w:w="100" w:type="dxa"/>
            <w:vAlign w:val="bottom"/>
            <w:tcBorders>
              <w:bottom w:val="single" w:sz="8" w:color="CCEEFF"/>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(0.31)</w:t>
            </w:r>
          </w:p>
        </w:tc>
      </w:tr>
      <w:tr>
        <w:trPr>
          <w:trHeight w:val="20"/>
        </w:trPr>
        <w:tc>
          <w:tcPr>
            <w:tcW w:w="6460" w:type="dxa"/>
            <w:vAlign w:val="bottom"/>
            <w:tcBorders>
              <w:top w:val="single" w:sz="8" w:color="CCEEFF"/>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4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r>
      <w:tr>
        <w:trPr>
          <w:trHeight w:val="163"/>
        </w:trPr>
        <w:tc>
          <w:tcPr>
            <w:tcW w:w="64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20" w:type="dxa"/>
            <w:vAlign w:val="bottom"/>
          </w:tcPr>
          <w:p>
            <w:pPr>
              <w:spacing w:after="0"/>
              <w:rPr>
                <w:sz w:val="14"/>
                <w:szCs w:val="14"/>
                <w:color w:val="auto"/>
              </w:rPr>
            </w:pPr>
          </w:p>
        </w:tc>
      </w:tr>
      <w:tr>
        <w:trPr>
          <w:trHeight w:val="203"/>
        </w:trPr>
        <w:tc>
          <w:tcPr>
            <w:tcW w:w="64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Beginning net capital loss carryforward</w:t>
            </w:r>
          </w:p>
        </w:tc>
        <w:tc>
          <w:tcPr>
            <w:tcW w:w="20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84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r>
      <w:tr>
        <w:trPr>
          <w:trHeight w:val="196"/>
        </w:trPr>
        <w:tc>
          <w:tcPr>
            <w:tcW w:w="6460" w:type="dxa"/>
            <w:vAlign w:val="bottom"/>
            <w:tcBorders>
              <w:bottom w:val="single" w:sz="8" w:color="CCEEFF"/>
            </w:tcBorders>
          </w:tcPr>
          <w:p>
            <w:pPr>
              <w:ind w:left="20"/>
              <w:spacing w:after="0"/>
              <w:rPr>
                <w:sz w:val="20"/>
                <w:szCs w:val="20"/>
                <w:color w:val="auto"/>
              </w:rPr>
            </w:pPr>
            <w:r>
              <w:rPr>
                <w:rFonts w:ascii="Times New Roman" w:cs="Times New Roman" w:eastAsia="Times New Roman" w:hAnsi="Times New Roman"/>
                <w:sz w:val="14"/>
                <w:szCs w:val="14"/>
                <w:color w:val="auto"/>
              </w:rPr>
              <w:t>Increase (decrease) in net capital loss carryforward</w:t>
            </w:r>
          </w:p>
        </w:tc>
        <w:tc>
          <w:tcPr>
            <w:tcW w:w="20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868</w:t>
            </w:r>
          </w:p>
        </w:tc>
        <w:tc>
          <w:tcPr>
            <w:tcW w:w="100" w:type="dxa"/>
            <w:vAlign w:val="bottom"/>
            <w:tcBorders>
              <w:bottom w:val="single" w:sz="8" w:color="CCEEFF"/>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89</w:t>
            </w:r>
          </w:p>
        </w:tc>
      </w:tr>
      <w:tr>
        <w:trPr>
          <w:trHeight w:val="196"/>
        </w:trPr>
        <w:tc>
          <w:tcPr>
            <w:tcW w:w="646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Ending net capital loss carryforward</w:t>
            </w:r>
          </w:p>
        </w:tc>
        <w:tc>
          <w:tcPr>
            <w:tcW w:w="20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868</w:t>
            </w:r>
          </w:p>
        </w:tc>
        <w:tc>
          <w:tcPr>
            <w:tcW w:w="100" w:type="dxa"/>
            <w:vAlign w:val="bottom"/>
            <w:shd w:val="clear" w:color="auto" w:fill="CCEEFF"/>
          </w:tcPr>
          <w:p>
            <w:pPr>
              <w:spacing w:after="0"/>
              <w:rPr>
                <w:sz w:val="17"/>
                <w:szCs w:val="17"/>
                <w:color w:val="auto"/>
              </w:rPr>
            </w:pPr>
          </w:p>
        </w:tc>
        <w:tc>
          <w:tcPr>
            <w:tcW w:w="220" w:type="dxa"/>
            <w:vAlign w:val="bottom"/>
            <w:tcBorders>
              <w:bottom w:val="single" w:sz="8" w:color="auto"/>
            </w:tcBorders>
            <w:shd w:val="clear" w:color="auto" w:fill="CCEEFF"/>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w:t>
            </w:r>
          </w:p>
        </w:tc>
      </w:tr>
      <w:tr>
        <w:trPr>
          <w:trHeight w:val="203"/>
        </w:trPr>
        <w:tc>
          <w:tcPr>
            <w:tcW w:w="6460" w:type="dxa"/>
            <w:vAlign w:val="bottom"/>
          </w:tcPr>
          <w:p>
            <w:pPr>
              <w:ind w:left="20"/>
              <w:spacing w:after="0"/>
              <w:rPr>
                <w:sz w:val="20"/>
                <w:szCs w:val="20"/>
                <w:color w:val="auto"/>
              </w:rPr>
            </w:pPr>
            <w:r>
              <w:rPr>
                <w:rFonts w:ascii="Times New Roman" w:cs="Times New Roman" w:eastAsia="Times New Roman" w:hAnsi="Times New Roman"/>
                <w:sz w:val="14"/>
                <w:szCs w:val="14"/>
                <w:color w:val="auto"/>
              </w:rPr>
              <w:t>Ending net capital loss carryforward per common share</w:t>
            </w:r>
          </w:p>
        </w:tc>
        <w:tc>
          <w:tcPr>
            <w:tcW w:w="20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w w:val="85"/>
              </w:rPr>
              <w:t>$</w:t>
            </w: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1.66</w:t>
            </w:r>
          </w:p>
        </w:tc>
        <w:tc>
          <w:tcPr>
            <w:tcW w:w="100" w:type="dxa"/>
            <w:vAlign w:val="bottom"/>
          </w:tcPr>
          <w:p>
            <w:pPr>
              <w:spacing w:after="0"/>
              <w:rPr>
                <w:sz w:val="17"/>
                <w:szCs w:val="17"/>
                <w:color w:val="auto"/>
              </w:rPr>
            </w:pPr>
          </w:p>
        </w:tc>
        <w:tc>
          <w:tcPr>
            <w:tcW w:w="220" w:type="dxa"/>
            <w:vAlign w:val="bottom"/>
            <w:tcBorders>
              <w:bottom w:val="single" w:sz="8" w:color="auto"/>
            </w:tcBorders>
          </w:tcPr>
          <w:p>
            <w:pPr>
              <w:jc w:val="right"/>
              <w:ind w:right="48"/>
              <w:spacing w:after="0"/>
              <w:rPr>
                <w:sz w:val="20"/>
                <w:szCs w:val="20"/>
                <w:color w:val="auto"/>
              </w:rPr>
            </w:pPr>
            <w:r>
              <w:rPr>
                <w:rFonts w:ascii="Times New Roman" w:cs="Times New Roman" w:eastAsia="Times New Roman" w:hAnsi="Times New Roman"/>
                <w:sz w:val="14"/>
                <w:szCs w:val="14"/>
                <w:color w:val="auto"/>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0.17</w:t>
            </w:r>
          </w:p>
        </w:tc>
      </w:tr>
      <w:tr>
        <w:trPr>
          <w:trHeight w:val="20"/>
        </w:trPr>
        <w:tc>
          <w:tcPr>
            <w:tcW w:w="646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1053" w:right="359" w:bottom="1440" w:gutter="0" w:footer="0" w:header="0"/>
        </w:sectPr>
      </w:pPr>
    </w:p>
    <w:bookmarkStart w:id="38" w:name="page39"/>
    <w:bookmarkEnd w:id="38"/>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175" w:lineRule="exact"/>
        <w:rPr>
          <w:sz w:val="20"/>
          <w:szCs w:val="20"/>
          <w:color w:val="auto"/>
        </w:rPr>
      </w:pPr>
    </w:p>
    <w:p>
      <w:pPr>
        <w:jc w:val="both"/>
        <w:ind w:firstLine="445"/>
        <w:spacing w:after="0" w:line="253" w:lineRule="auto"/>
        <w:rPr>
          <w:sz w:val="20"/>
          <w:szCs w:val="20"/>
          <w:color w:val="auto"/>
        </w:rPr>
      </w:pPr>
      <w:r>
        <w:rPr>
          <w:rFonts w:ascii="Times New Roman" w:cs="Times New Roman" w:eastAsia="Times New Roman" w:hAnsi="Times New Roman"/>
          <w:sz w:val="18"/>
          <w:szCs w:val="18"/>
          <w:color w:val="auto"/>
        </w:rPr>
        <w:t xml:space="preserve">Our business is dependent on our ability to maintain adequate levels of liquidity and capital resources to fund day-to-day operations, fulfill collateral requirements under our funding and derivative agreements, and to satisfy our dividend distribution requirement of at least 90% of our taxable income to maintain our qualification as a REIT. Our primary sources of liquidity are unencumbered cash and securities, borrowings available under repurchase agreements, TBA dollar roll financing and monthly receipts of principal and interest payments. We may also conduct asset sales, change our asset or funding mix, issue equity or undertake other capital enhancing actions to maintain adequate levels of liquidity and capital resources. There are various risks and uncertainties that can impact our liquidity, such as those described in Item 1A. </w:t>
      </w:r>
      <w:r>
        <w:rPr>
          <w:rFonts w:ascii="Times New Roman" w:cs="Times New Roman" w:eastAsia="Times New Roman" w:hAnsi="Times New Roman"/>
          <w:sz w:val="18"/>
          <w:szCs w:val="18"/>
          <w:i w:val="1"/>
          <w:iCs w:val="1"/>
          <w:color w:val="auto"/>
        </w:rPr>
        <w:t>Risk Factors</w:t>
      </w:r>
      <w:r>
        <w:rPr>
          <w:rFonts w:ascii="Times New Roman" w:cs="Times New Roman" w:eastAsia="Times New Roman" w:hAnsi="Times New Roman"/>
          <w:sz w:val="18"/>
          <w:szCs w:val="18"/>
          <w:color w:val="auto"/>
        </w:rPr>
        <w:t xml:space="preserve"> of our most recent Annual Report on Form 10-K and Item</w:t>
      </w:r>
    </w:p>
    <w:p>
      <w:pPr>
        <w:spacing w:after="0" w:line="5" w:lineRule="exact"/>
        <w:rPr>
          <w:sz w:val="20"/>
          <w:szCs w:val="20"/>
          <w:color w:val="auto"/>
        </w:rPr>
      </w:pPr>
    </w:p>
    <w:p>
      <w:pPr>
        <w:jc w:val="both"/>
        <w:ind w:firstLine="8"/>
        <w:spacing w:after="0" w:line="255" w:lineRule="auto"/>
        <w:tabs>
          <w:tab w:leader="none" w:pos="18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i w:val="1"/>
          <w:iCs w:val="1"/>
          <w:color w:val="auto"/>
        </w:rPr>
        <w:t xml:space="preserve">Quantitative and Qualitative Disclosures of Market Risks </w:t>
      </w:r>
      <w:r>
        <w:rPr>
          <w:rFonts w:ascii="Times New Roman" w:cs="Times New Roman" w:eastAsia="Times New Roman" w:hAnsi="Times New Roman"/>
          <w:sz w:val="18"/>
          <w:szCs w:val="18"/>
          <w:color w:val="auto"/>
        </w:rPr>
        <w:t>in this Form 10-Q. In assessing our liquidity, we consider a number of factors, including our</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current leverage, collateral levels, access to capital markets, overall market conditions, and the sensitivity of our tangible net book value over a range of scenarios. We believe that we have sufficient liquidity and capital resources available to meet our obligations and execute our business strategy.</w:t>
      </w:r>
    </w:p>
    <w:p>
      <w:pPr>
        <w:spacing w:after="0" w:line="1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Leverage and Financing Sources</w:t>
      </w:r>
    </w:p>
    <w:p>
      <w:pPr>
        <w:spacing w:after="0" w:line="175"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Our leverage will vary depending on market conditions and our assessment of relative risks and returns, but we generally expect our leverage to be between six and twelve times the amount of our tangible stockholders' equity, measured as the sum of our total mortgage borrowings and net payable / (receivable) for unsettled investment securities, divided by the sum of our total stockholders' equity adjusted to exclude goodwill. Our tangible net book value "at risk" leverage ratio was 7.5x and 7.7x as of March 31, 2022 and December 31, 2021, respectively. The following table includes a summary of our mortgage borrowings outstanding as of March 31, 2022 and December 31, 2021 (dollars in millions). For additional details of our mortgage borrowings refer to Notes 2, 4 and 5 to our Consolidated Financial Statements in this Form 10-Q.</w:t>
      </w:r>
    </w:p>
    <w:p>
      <w:pPr>
        <w:spacing w:after="0" w:line="100" w:lineRule="exact"/>
        <w:rPr>
          <w:sz w:val="20"/>
          <w:szCs w:val="20"/>
          <w:color w:val="auto"/>
        </w:rPr>
      </w:pPr>
    </w:p>
    <w:tbl>
      <w:tblPr>
        <w:tblLayout w:type="fixed"/>
        <w:tblInd w:w="20" w:type="dxa"/>
        <w:tblCellMar>
          <w:top w:w="0" w:type="dxa"/>
          <w:left w:w="0" w:type="dxa"/>
          <w:bottom w:w="0" w:type="dxa"/>
          <w:right w:w="0" w:type="dxa"/>
        </w:tblCellMar>
      </w:tblPr>
      <w:tr>
        <w:trPr>
          <w:trHeight w:val="190"/>
        </w:trPr>
        <w:tc>
          <w:tcPr>
            <w:tcW w:w="56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1620" w:type="dxa"/>
            <w:vAlign w:val="bottom"/>
            <w:gridSpan w:val="3"/>
          </w:tcPr>
          <w:p>
            <w:pPr>
              <w:ind w:left="60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280" w:type="dxa"/>
            <w:vAlign w:val="bottom"/>
          </w:tcPr>
          <w:p>
            <w:pPr>
              <w:spacing w:after="0"/>
              <w:rPr>
                <w:sz w:val="16"/>
                <w:szCs w:val="16"/>
                <w:color w:val="auto"/>
              </w:rPr>
            </w:pPr>
          </w:p>
        </w:tc>
        <w:tc>
          <w:tcPr>
            <w:tcW w:w="5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60" w:type="dxa"/>
            <w:vAlign w:val="bottom"/>
            <w:gridSpan w:val="3"/>
          </w:tcPr>
          <w:p>
            <w:pPr>
              <w:ind w:left="50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7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
        </w:trPr>
        <w:tc>
          <w:tcPr>
            <w:tcW w:w="580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Mortgage Borrowings</w:t>
            </w:r>
          </w:p>
        </w:tc>
        <w:tc>
          <w:tcPr>
            <w:tcW w:w="220" w:type="dxa"/>
            <w:vAlign w:val="bottom"/>
            <w:tcBorders>
              <w:bottom w:val="single" w:sz="8" w:color="auto"/>
            </w:tcBorders>
          </w:tcPr>
          <w:p>
            <w:pPr>
              <w:spacing w:after="0"/>
              <w:rPr>
                <w:sz w:val="2"/>
                <w:szCs w:val="2"/>
                <w:color w:val="auto"/>
              </w:rPr>
            </w:pPr>
          </w:p>
        </w:tc>
        <w:tc>
          <w:tcPr>
            <w:tcW w:w="1620" w:type="dxa"/>
            <w:vAlign w:val="bottom"/>
            <w:tcBorders>
              <w:bottom w:val="single" w:sz="8" w:color="auto"/>
            </w:tcBorders>
            <w:gridSpan w:val="3"/>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60" w:type="dxa"/>
            <w:vAlign w:val="bottom"/>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gridSpan w:val="3"/>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0"/>
        </w:trPr>
        <w:tc>
          <w:tcPr>
            <w:tcW w:w="5800" w:type="dxa"/>
            <w:vAlign w:val="bottom"/>
            <w:gridSpan w:val="2"/>
            <w:vMerge w:val="continue"/>
          </w:tcPr>
          <w:p>
            <w:pPr>
              <w:spacing w:after="0"/>
              <w:rPr>
                <w:sz w:val="16"/>
                <w:szCs w:val="16"/>
                <w:color w:val="auto"/>
              </w:rPr>
            </w:pPr>
          </w:p>
        </w:tc>
        <w:tc>
          <w:tcPr>
            <w:tcW w:w="220" w:type="dxa"/>
            <w:vAlign w:val="bottom"/>
          </w:tcPr>
          <w:p>
            <w:pPr>
              <w:spacing w:after="0"/>
              <w:rPr>
                <w:sz w:val="16"/>
                <w:szCs w:val="16"/>
                <w:color w:val="auto"/>
              </w:rPr>
            </w:pPr>
          </w:p>
        </w:tc>
        <w:tc>
          <w:tcPr>
            <w:tcW w:w="1620" w:type="dxa"/>
            <w:vAlign w:val="bottom"/>
            <w:gridSpan w:val="3"/>
          </w:tcPr>
          <w:p>
            <w:pPr>
              <w:ind w:left="12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280" w:type="dxa"/>
            <w:vAlign w:val="bottom"/>
          </w:tcPr>
          <w:p>
            <w:pPr>
              <w:jc w:val="right"/>
              <w:ind w:right="8"/>
              <w:spacing w:after="0"/>
              <w:rPr>
                <w:sz w:val="20"/>
                <w:szCs w:val="20"/>
                <w:color w:val="auto"/>
              </w:rPr>
            </w:pPr>
            <w:r>
              <w:rPr>
                <w:rFonts w:ascii="Times New Roman" w:cs="Times New Roman" w:eastAsia="Times New Roman" w:hAnsi="Times New Roman"/>
                <w:sz w:val="14"/>
                <w:szCs w:val="14"/>
                <w:b w:val="1"/>
                <w:bCs w:val="1"/>
                <w:color w:val="auto"/>
              </w:rPr>
              <w:t>%</w:t>
            </w:r>
          </w:p>
        </w:tc>
        <w:tc>
          <w:tcPr>
            <w:tcW w:w="5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660" w:type="dxa"/>
            <w:vAlign w:val="bottom"/>
            <w:gridSpan w:val="3"/>
          </w:tcPr>
          <w:p>
            <w:pPr>
              <w:ind w:left="120"/>
              <w:spacing w:after="0"/>
              <w:rPr>
                <w:sz w:val="20"/>
                <w:szCs w:val="20"/>
                <w:color w:val="auto"/>
              </w:rPr>
            </w:pPr>
            <w:r>
              <w:rPr>
                <w:rFonts w:ascii="Times New Roman" w:cs="Times New Roman" w:eastAsia="Times New Roman" w:hAnsi="Times New Roman"/>
                <w:sz w:val="14"/>
                <w:szCs w:val="14"/>
                <w:b w:val="1"/>
                <w:bCs w:val="1"/>
                <w:color w:val="auto"/>
              </w:rPr>
              <w:t>Amount</w:t>
            </w:r>
          </w:p>
        </w:tc>
        <w:tc>
          <w:tcPr>
            <w:tcW w:w="720" w:type="dxa"/>
            <w:vAlign w:val="bottom"/>
          </w:tcPr>
          <w:p>
            <w:pPr>
              <w:jc w:val="right"/>
              <w:ind w:right="488"/>
              <w:spacing w:after="0"/>
              <w:rPr>
                <w:sz w:val="20"/>
                <w:szCs w:val="20"/>
                <w:color w:val="auto"/>
              </w:rPr>
            </w:pPr>
            <w:r>
              <w:rPr>
                <w:rFonts w:ascii="Times New Roman" w:cs="Times New Roman" w:eastAsia="Times New Roman" w:hAnsi="Times New Roman"/>
                <w:sz w:val="14"/>
                <w:szCs w:val="14"/>
                <w:b w:val="1"/>
                <w:bCs w:val="1"/>
                <w:color w:val="auto"/>
                <w:w w:val="99"/>
              </w:rPr>
              <w:t>%</w:t>
            </w:r>
          </w:p>
        </w:tc>
        <w:tc>
          <w:tcPr>
            <w:tcW w:w="0" w:type="dxa"/>
            <w:vAlign w:val="bottom"/>
          </w:tcPr>
          <w:p>
            <w:pPr>
              <w:spacing w:after="0"/>
              <w:rPr>
                <w:sz w:val="1"/>
                <w:szCs w:val="1"/>
                <w:color w:val="auto"/>
              </w:rPr>
            </w:pPr>
          </w:p>
        </w:tc>
      </w:tr>
      <w:tr>
        <w:trPr>
          <w:trHeight w:val="202"/>
        </w:trPr>
        <w:tc>
          <w:tcPr>
            <w:tcW w:w="5680" w:type="dxa"/>
            <w:vAlign w:val="bottom"/>
            <w:tcBorders>
              <w:top w:val="single" w:sz="8" w:color="auto"/>
            </w:tcBorders>
            <w:shd w:val="clear" w:color="auto" w:fill="CCEEFF"/>
          </w:tcPr>
          <w:p>
            <w:pPr>
              <w:ind w:left="20"/>
              <w:spacing w:after="0" w:line="202" w:lineRule="exact"/>
              <w:rPr>
                <w:sz w:val="20"/>
                <w:szCs w:val="20"/>
                <w:color w:val="auto"/>
              </w:rPr>
            </w:pPr>
            <w:r>
              <w:rPr>
                <w:rFonts w:ascii="Times New Roman" w:cs="Times New Roman" w:eastAsia="Times New Roman" w:hAnsi="Times New Roman"/>
                <w:sz w:val="14"/>
                <w:szCs w:val="14"/>
                <w:color w:val="auto"/>
              </w:rPr>
              <w:t xml:space="preserve">Repurchase agreements </w:t>
            </w:r>
            <w:r>
              <w:rPr>
                <w:rFonts w:ascii="Times New Roman" w:cs="Times New Roman" w:eastAsia="Times New Roman" w:hAnsi="Times New Roman"/>
                <w:sz w:val="18"/>
                <w:szCs w:val="18"/>
                <w:color w:val="auto"/>
                <w:vertAlign w:val="superscript"/>
              </w:rPr>
              <w:t>1,2</w:t>
            </w:r>
          </w:p>
        </w:tc>
        <w:tc>
          <w:tcPr>
            <w:tcW w:w="120" w:type="dxa"/>
            <w:vAlign w:val="bottom"/>
            <w:tcBorders>
              <w:top w:val="single" w:sz="8" w:color="CCEEFF"/>
            </w:tcBorders>
            <w:shd w:val="clear" w:color="auto" w:fill="CCEEFF"/>
          </w:tcPr>
          <w:p>
            <w:pPr>
              <w:spacing w:after="0"/>
              <w:rPr>
                <w:sz w:val="17"/>
                <w:szCs w:val="17"/>
                <w:color w:val="auto"/>
              </w:rPr>
            </w:pPr>
          </w:p>
        </w:tc>
        <w:tc>
          <w:tcPr>
            <w:tcW w:w="220" w:type="dxa"/>
            <w:vAlign w:val="bottom"/>
            <w:tcBorders>
              <w:top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44,034</w:t>
            </w:r>
          </w:p>
        </w:tc>
        <w:tc>
          <w:tcPr>
            <w:tcW w:w="120" w:type="dxa"/>
            <w:vAlign w:val="bottom"/>
            <w:tcBorders>
              <w:top w:val="single" w:sz="8" w:color="CCEEFF"/>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68 %</w:t>
            </w:r>
          </w:p>
        </w:tc>
        <w:tc>
          <w:tcPr>
            <w:tcW w:w="16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46,911</w:t>
            </w:r>
          </w:p>
        </w:tc>
        <w:tc>
          <w:tcPr>
            <w:tcW w:w="12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63 %</w:t>
            </w:r>
          </w:p>
        </w:tc>
        <w:tc>
          <w:tcPr>
            <w:tcW w:w="0" w:type="dxa"/>
            <w:vAlign w:val="bottom"/>
          </w:tcPr>
          <w:p>
            <w:pPr>
              <w:spacing w:after="0"/>
              <w:rPr>
                <w:sz w:val="1"/>
                <w:szCs w:val="1"/>
                <w:color w:val="auto"/>
              </w:rPr>
            </w:pPr>
          </w:p>
        </w:tc>
      </w:tr>
      <w:tr>
        <w:trPr>
          <w:trHeight w:val="196"/>
        </w:trPr>
        <w:tc>
          <w:tcPr>
            <w:tcW w:w="58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Debt of consolidated variable interest entities, at fair value</w:t>
            </w:r>
          </w:p>
        </w:tc>
        <w:tc>
          <w:tcPr>
            <w:tcW w:w="22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116</w:t>
            </w:r>
          </w:p>
        </w:tc>
        <w:tc>
          <w:tcPr>
            <w:tcW w:w="12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66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color w:val="auto"/>
              </w:rPr>
              <w:t>— %</w:t>
            </w:r>
          </w:p>
        </w:tc>
        <w:tc>
          <w:tcPr>
            <w:tcW w:w="240" w:type="dxa"/>
            <w:vAlign w:val="bottom"/>
          </w:tcPr>
          <w:p>
            <w:pPr>
              <w:spacing w:after="0"/>
              <w:rPr>
                <w:sz w:val="17"/>
                <w:szCs w:val="17"/>
                <w:color w:val="auto"/>
              </w:rPr>
            </w:pPr>
          </w:p>
        </w:tc>
        <w:tc>
          <w:tcPr>
            <w:tcW w:w="98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126</w:t>
            </w:r>
          </w:p>
        </w:tc>
        <w:tc>
          <w:tcPr>
            <w:tcW w:w="1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4"/>
                <w:szCs w:val="14"/>
                <w:color w:val="auto"/>
              </w:rPr>
              <w:t>— %</w:t>
            </w:r>
          </w:p>
        </w:tc>
        <w:tc>
          <w:tcPr>
            <w:tcW w:w="0" w:type="dxa"/>
            <w:vAlign w:val="bottom"/>
          </w:tcPr>
          <w:p>
            <w:pPr>
              <w:spacing w:after="0"/>
              <w:rPr>
                <w:sz w:val="1"/>
                <w:szCs w:val="1"/>
                <w:color w:val="auto"/>
              </w:rPr>
            </w:pPr>
          </w:p>
        </w:tc>
      </w:tr>
      <w:tr>
        <w:trPr>
          <w:trHeight w:val="203"/>
        </w:trPr>
        <w:tc>
          <w:tcPr>
            <w:tcW w:w="5800" w:type="dxa"/>
            <w:vAlign w:val="bottom"/>
            <w:tcBorders>
              <w:top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debt</w:t>
            </w:r>
          </w:p>
        </w:tc>
        <w:tc>
          <w:tcPr>
            <w:tcW w:w="22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44,150</w:t>
            </w:r>
          </w:p>
        </w:tc>
        <w:tc>
          <w:tcPr>
            <w:tcW w:w="120" w:type="dxa"/>
            <w:vAlign w:val="bottom"/>
            <w:tcBorders>
              <w:top w:val="single" w:sz="8" w:color="CCEEFF"/>
            </w:tcBorders>
            <w:shd w:val="clear" w:color="auto" w:fill="CCEEFF"/>
          </w:tcPr>
          <w:p>
            <w:pPr>
              <w:spacing w:after="0"/>
              <w:rPr>
                <w:sz w:val="17"/>
                <w:szCs w:val="17"/>
                <w:color w:val="auto"/>
              </w:rPr>
            </w:pPr>
          </w:p>
        </w:tc>
        <w:tc>
          <w:tcPr>
            <w:tcW w:w="520" w:type="dxa"/>
            <w:vAlign w:val="bottom"/>
            <w:tcBorders>
              <w:top w:val="single" w:sz="8" w:color="auto"/>
            </w:tcBorders>
            <w:shd w:val="clear" w:color="auto" w:fill="CCEEFF"/>
          </w:tcPr>
          <w:p>
            <w:pPr>
              <w:spacing w:after="0"/>
              <w:rPr>
                <w:sz w:val="17"/>
                <w:szCs w:val="17"/>
                <w:color w:val="auto"/>
              </w:rPr>
            </w:pPr>
          </w:p>
        </w:tc>
        <w:tc>
          <w:tcPr>
            <w:tcW w:w="280" w:type="dxa"/>
            <w:vAlign w:val="bottom"/>
            <w:tcBorders>
              <w:top w:val="single" w:sz="8" w:color="auto"/>
            </w:tcBorders>
            <w:shd w:val="clear" w:color="auto" w:fill="CCEEFF"/>
          </w:tcPr>
          <w:p>
            <w:pPr>
              <w:spacing w:after="0"/>
              <w:rPr>
                <w:sz w:val="17"/>
                <w:szCs w:val="17"/>
                <w:color w:val="auto"/>
              </w:rPr>
            </w:pPr>
          </w:p>
        </w:tc>
        <w:tc>
          <w:tcPr>
            <w:tcW w:w="5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69 %</w:t>
            </w:r>
          </w:p>
        </w:tc>
        <w:tc>
          <w:tcPr>
            <w:tcW w:w="160" w:type="dxa"/>
            <w:vAlign w:val="bottom"/>
            <w:tcBorders>
              <w:top w:val="single" w:sz="8" w:color="CCEEFF"/>
            </w:tcBorders>
            <w:shd w:val="clear" w:color="auto" w:fill="CCEEFF"/>
          </w:tcPr>
          <w:p>
            <w:pPr>
              <w:spacing w:after="0"/>
              <w:rPr>
                <w:sz w:val="17"/>
                <w:szCs w:val="17"/>
                <w:color w:val="auto"/>
              </w:rPr>
            </w:pPr>
          </w:p>
        </w:tc>
        <w:tc>
          <w:tcPr>
            <w:tcW w:w="240" w:type="dxa"/>
            <w:vAlign w:val="bottom"/>
            <w:tcBorders>
              <w:top w:val="single" w:sz="8" w:color="auto"/>
            </w:tcBorders>
            <w:shd w:val="clear" w:color="auto" w:fill="CCEEFF"/>
          </w:tcPr>
          <w:p>
            <w:pPr>
              <w:spacing w:after="0"/>
              <w:rPr>
                <w:sz w:val="17"/>
                <w:szCs w:val="17"/>
                <w:color w:val="auto"/>
              </w:rPr>
            </w:pPr>
          </w:p>
        </w:tc>
        <w:tc>
          <w:tcPr>
            <w:tcW w:w="9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47,037</w:t>
            </w:r>
          </w:p>
        </w:tc>
        <w:tc>
          <w:tcPr>
            <w:tcW w:w="120" w:type="dxa"/>
            <w:vAlign w:val="bottom"/>
            <w:tcBorders>
              <w:top w:val="single" w:sz="8" w:color="CCEEFF"/>
            </w:tcBorders>
            <w:shd w:val="clear" w:color="auto" w:fill="CCEEFF"/>
          </w:tcPr>
          <w:p>
            <w:pPr>
              <w:spacing w:after="0"/>
              <w:rPr>
                <w:sz w:val="17"/>
                <w:szCs w:val="17"/>
                <w:color w:val="auto"/>
              </w:rPr>
            </w:pPr>
          </w:p>
        </w:tc>
        <w:tc>
          <w:tcPr>
            <w:tcW w:w="560" w:type="dxa"/>
            <w:vAlign w:val="bottom"/>
            <w:tcBorders>
              <w:top w:val="single" w:sz="8" w:color="auto"/>
            </w:tcBorders>
            <w:shd w:val="clear" w:color="auto" w:fill="CCEEFF"/>
          </w:tcPr>
          <w:p>
            <w:pPr>
              <w:spacing w:after="0"/>
              <w:rPr>
                <w:sz w:val="17"/>
                <w:szCs w:val="17"/>
                <w:color w:val="auto"/>
              </w:rPr>
            </w:pPr>
          </w:p>
        </w:tc>
        <w:tc>
          <w:tcPr>
            <w:tcW w:w="7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63 %</w:t>
            </w:r>
          </w:p>
        </w:tc>
        <w:tc>
          <w:tcPr>
            <w:tcW w:w="0" w:type="dxa"/>
            <w:vAlign w:val="bottom"/>
          </w:tcPr>
          <w:p>
            <w:pPr>
              <w:spacing w:after="0"/>
              <w:rPr>
                <w:sz w:val="1"/>
                <w:szCs w:val="1"/>
                <w:color w:val="auto"/>
              </w:rPr>
            </w:pPr>
          </w:p>
        </w:tc>
      </w:tr>
      <w:tr>
        <w:trPr>
          <w:trHeight w:val="196"/>
        </w:trPr>
        <w:tc>
          <w:tcPr>
            <w:tcW w:w="5800" w:type="dxa"/>
            <w:vAlign w:val="bottom"/>
            <w:tcBorders>
              <w:bottom w:val="single" w:sz="8" w:color="CCEEFF"/>
            </w:tcBorders>
            <w:gridSpan w:val="2"/>
          </w:tcPr>
          <w:p>
            <w:pPr>
              <w:ind w:left="20"/>
              <w:spacing w:after="0"/>
              <w:rPr>
                <w:sz w:val="20"/>
                <w:szCs w:val="20"/>
                <w:color w:val="auto"/>
              </w:rPr>
            </w:pPr>
            <w:r>
              <w:rPr>
                <w:rFonts w:ascii="Times New Roman" w:cs="Times New Roman" w:eastAsia="Times New Roman" w:hAnsi="Times New Roman"/>
                <w:sz w:val="14"/>
                <w:szCs w:val="14"/>
                <w:color w:val="auto"/>
              </w:rPr>
              <w:t>TBA and forward settling non-Agency securities, at cost</w:t>
            </w:r>
          </w:p>
        </w:tc>
        <w:tc>
          <w:tcPr>
            <w:tcW w:w="22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20,152</w:t>
            </w:r>
          </w:p>
        </w:tc>
        <w:tc>
          <w:tcPr>
            <w:tcW w:w="120" w:type="dxa"/>
            <w:vAlign w:val="bottom"/>
            <w:tcBorders>
              <w:bottom w:val="single" w:sz="8" w:color="CCEEFF"/>
            </w:tcBorders>
          </w:tcPr>
          <w:p>
            <w:pPr>
              <w:spacing w:after="0"/>
              <w:rPr>
                <w:sz w:val="17"/>
                <w:szCs w:val="17"/>
                <w:color w:val="auto"/>
              </w:rPr>
            </w:pPr>
          </w:p>
        </w:tc>
        <w:tc>
          <w:tcPr>
            <w:tcW w:w="520" w:type="dxa"/>
            <w:vAlign w:val="bottom"/>
            <w:tcBorders>
              <w:bottom w:val="single" w:sz="8" w:color="auto"/>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5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31 %</w:t>
            </w:r>
          </w:p>
        </w:tc>
        <w:tc>
          <w:tcPr>
            <w:tcW w:w="16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9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27,622</w:t>
            </w:r>
          </w:p>
        </w:tc>
        <w:tc>
          <w:tcPr>
            <w:tcW w:w="120" w:type="dxa"/>
            <w:vAlign w:val="bottom"/>
            <w:tcBorders>
              <w:bottom w:val="single" w:sz="8" w:color="CCEEFF"/>
            </w:tcBorders>
          </w:tcPr>
          <w:p>
            <w:pPr>
              <w:spacing w:after="0"/>
              <w:rPr>
                <w:sz w:val="17"/>
                <w:szCs w:val="17"/>
                <w:color w:val="auto"/>
              </w:rPr>
            </w:pPr>
          </w:p>
        </w:tc>
        <w:tc>
          <w:tcPr>
            <w:tcW w:w="56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color w:val="auto"/>
              </w:rPr>
              <w:t>37 %</w:t>
            </w:r>
          </w:p>
        </w:tc>
        <w:tc>
          <w:tcPr>
            <w:tcW w:w="0" w:type="dxa"/>
            <w:vAlign w:val="bottom"/>
          </w:tcPr>
          <w:p>
            <w:pPr>
              <w:spacing w:after="0"/>
              <w:rPr>
                <w:sz w:val="1"/>
                <w:szCs w:val="1"/>
                <w:color w:val="auto"/>
              </w:rPr>
            </w:pPr>
          </w:p>
        </w:tc>
      </w:tr>
      <w:tr>
        <w:trPr>
          <w:trHeight w:val="228"/>
        </w:trPr>
        <w:tc>
          <w:tcPr>
            <w:tcW w:w="5800" w:type="dxa"/>
            <w:vAlign w:val="bottom"/>
            <w:tcBorders>
              <w:bottom w:val="single" w:sz="8" w:color="CCEEFF"/>
            </w:tcBorders>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Total mortgage borrowings</w:t>
            </w:r>
          </w:p>
        </w:tc>
        <w:tc>
          <w:tcPr>
            <w:tcW w:w="22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w w:val="85"/>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64,302</w:t>
            </w:r>
          </w:p>
        </w:tc>
        <w:tc>
          <w:tcPr>
            <w:tcW w:w="120" w:type="dxa"/>
            <w:vAlign w:val="bottom"/>
            <w:tcBorders>
              <w:bottom w:val="single" w:sz="8" w:color="CCEEFF"/>
            </w:tcBorders>
            <w:shd w:val="clear" w:color="auto" w:fill="CCEEFF"/>
          </w:tcPr>
          <w:p>
            <w:pPr>
              <w:spacing w:after="0"/>
              <w:rPr>
                <w:sz w:val="19"/>
                <w:szCs w:val="19"/>
                <w:color w:val="auto"/>
              </w:rPr>
            </w:pPr>
          </w:p>
        </w:tc>
        <w:tc>
          <w:tcPr>
            <w:tcW w:w="52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5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100 %</w:t>
            </w:r>
          </w:p>
        </w:tc>
        <w:tc>
          <w:tcPr>
            <w:tcW w:w="16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68"/>
              <w:spacing w:after="0"/>
              <w:rPr>
                <w:sz w:val="20"/>
                <w:szCs w:val="20"/>
                <w:color w:val="auto"/>
              </w:rPr>
            </w:pPr>
            <w:r>
              <w:rPr>
                <w:rFonts w:ascii="Times New Roman" w:cs="Times New Roman" w:eastAsia="Times New Roman" w:hAnsi="Times New Roman"/>
                <w:sz w:val="14"/>
                <w:szCs w:val="14"/>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74,659</w:t>
            </w:r>
          </w:p>
        </w:tc>
        <w:tc>
          <w:tcPr>
            <w:tcW w:w="120" w:type="dxa"/>
            <w:vAlign w:val="bottom"/>
            <w:tcBorders>
              <w:bottom w:val="single" w:sz="8" w:color="CCEEFF"/>
            </w:tcBorders>
            <w:shd w:val="clear" w:color="auto" w:fill="CCEEFF"/>
          </w:tcPr>
          <w:p>
            <w:pPr>
              <w:spacing w:after="0"/>
              <w:rPr>
                <w:sz w:val="19"/>
                <w:szCs w:val="19"/>
                <w:color w:val="auto"/>
              </w:rPr>
            </w:pPr>
          </w:p>
        </w:tc>
        <w:tc>
          <w:tcPr>
            <w:tcW w:w="560" w:type="dxa"/>
            <w:vAlign w:val="bottom"/>
            <w:tcBorders>
              <w:bottom w:val="single" w:sz="8" w:color="auto"/>
            </w:tcBorders>
            <w:shd w:val="clear" w:color="auto" w:fill="CCEEFF"/>
          </w:tcPr>
          <w:p>
            <w:pPr>
              <w:spacing w:after="0"/>
              <w:rPr>
                <w:sz w:val="19"/>
                <w:szCs w:val="19"/>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100 %</w:t>
            </w:r>
          </w:p>
        </w:tc>
        <w:tc>
          <w:tcPr>
            <w:tcW w:w="0" w:type="dxa"/>
            <w:vAlign w:val="bottom"/>
          </w:tcPr>
          <w:p>
            <w:pPr>
              <w:spacing w:after="0"/>
              <w:rPr>
                <w:sz w:val="1"/>
                <w:szCs w:val="1"/>
                <w:color w:val="auto"/>
              </w:rPr>
            </w:pPr>
          </w:p>
        </w:tc>
      </w:tr>
      <w:tr>
        <w:trPr>
          <w:trHeight w:val="20"/>
        </w:trPr>
        <w:tc>
          <w:tcPr>
            <w:tcW w:w="56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50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tcBorders>
          </w:tcPr>
          <w:p>
            <w:pPr>
              <w:spacing w:after="0" w:line="20" w:lineRule="exact"/>
              <w:rPr>
                <w:sz w:val="1"/>
                <w:szCs w:val="1"/>
                <w:color w:val="auto"/>
              </w:rPr>
            </w:pPr>
          </w:p>
        </w:tc>
        <w:tc>
          <w:tcPr>
            <w:tcW w:w="56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 w:lineRule="exact"/>
        <w:rPr>
          <w:sz w:val="20"/>
          <w:szCs w:val="20"/>
          <w:color w:val="auto"/>
        </w:rPr>
      </w:pPr>
    </w:p>
    <w:p>
      <w:pPr>
        <w:ind w:left="660" w:hanging="328"/>
        <w:spacing w:after="0" w:line="259" w:lineRule="auto"/>
        <w:tabs>
          <w:tab w:leader="none" w:pos="660" w:val="left"/>
        </w:tabs>
        <w:numPr>
          <w:ilvl w:val="0"/>
          <w:numId w:val="3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 of March 31, 2022 and December 31, 2021, 41% and 42%, respectively, of our repurchase agreements were funded through the Fixed Income Clearing Corporation's GCF Repo service.</w:t>
      </w:r>
    </w:p>
    <w:p>
      <w:pPr>
        <w:spacing w:after="0" w:line="173" w:lineRule="exact"/>
        <w:rPr>
          <w:rFonts w:ascii="Times New Roman" w:cs="Times New Roman" w:eastAsia="Times New Roman" w:hAnsi="Times New Roman"/>
          <w:sz w:val="14"/>
          <w:szCs w:val="14"/>
          <w:color w:val="auto"/>
        </w:rPr>
      </w:pPr>
    </w:p>
    <w:p>
      <w:pPr>
        <w:ind w:left="660" w:hanging="328"/>
        <w:spacing w:after="0"/>
        <w:tabs>
          <w:tab w:leader="none" w:pos="660" w:val="left"/>
        </w:tabs>
        <w:numPr>
          <w:ilvl w:val="0"/>
          <w:numId w:val="32"/>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Amounts exclude U.S. Treasury repurchase agreements.</w:t>
      </w:r>
    </w:p>
    <w:p>
      <w:pPr>
        <w:spacing w:after="0" w:line="168"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Our primary financing sources are collateralized borrowings structured as repurchase agreements. We enter into repurchase agreements, or "repo," through bi-lateral arrangements with financial institutions and independent dealers. We also enter into third-party repurchase agreements through our wholly-owned registered broker-dealer subsidiary, Bethesda Securities, LLC, such as tri-party repo offered through the FICC's GCF Repo service. We manage our repurchase agreement funding position through a variety of methods, including diversification of counterparties, maintaining a staggered maturity profile and utilization of interest rate hedging strategies. We also use TBA dollar roll transactions as a means of synthetically financing Agency RMBS.</w:t>
      </w:r>
    </w:p>
    <w:p>
      <w:pPr>
        <w:spacing w:after="0" w:line="133"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The terms and conditions of our repurchase agreements are determined on a transaction-by-transaction basis when each such borrowing is initiated or renewed and, in the case of GCF Repo, by the variable margin requirements calculated by the FICC, which acts as the central counterparty. The amount borrowed is generally equal to the fair value of the securities pledged, as determined by the lending counterparty, less an agreed-upon discount, referred to as a "haircut," which reflects the underlying risk of the specific collateral and protects the counterparty against a change in its value. Interest rates are generally fixed based on prevailing rates corresponding to the term of the borrowing. None of our repo counterparties are obligated to renew or otherwise enter into new borrowings at the conclusion of our existing borrowings.</w:t>
      </w:r>
    </w:p>
    <w:p>
      <w:pPr>
        <w:spacing w:after="0" w:line="133"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The use of TBA dollar roll transactions increases our funding diversification, expands our available pool of assets, and increases our overall liquidity position, as TBA contracts typically have lower implied haircuts relative to Agency RMBS pools funded with repo financing. TBA dollar roll transactions may also have a lower implied cost of funds than comparable repo funded transactions (referred to as "dollar roll specialness") offering incremental return potential. However, if it were to become uneconomical to roll our TBA contracts into future months it may be necessary to take physical delivery of the underlying securities and fund those assets with cash or other financing sources, which could reduce our liquidity position.</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18"/>
          <w:szCs w:val="18"/>
          <w:b w:val="1"/>
          <w:bCs w:val="1"/>
          <w:i w:val="1"/>
          <w:iCs w:val="1"/>
          <w:color w:val="auto"/>
        </w:rPr>
        <w:t>Collateral Requirements and Unencumbered Assets</w:t>
      </w:r>
    </w:p>
    <w:p>
      <w:pPr>
        <w:spacing w:after="0" w:line="175"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Amounts available to be borrowed under our repurchase agreements are dependent upon prevailing interest rates, the lender’s "haircut" requirements and collateral value. Each of these elements may fluctuate with changes in interest rates, credit quality and liquidity conditions within the financial markets. To help manage the adverse impact of interest rate changes on our borrowings, we utilize an interest rate risk management strategy involving the use of derivative financial instruments. In particular, we attempt to mitigate the risk of the cost of our short-term funding liabilities increasing at a faster rate than the earnings of our long-term fixed rate assets during a period of rising interest rates.</w:t>
      </w:r>
    </w:p>
    <w:p>
      <w:pPr>
        <w:spacing w:after="0" w:line="129"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color w:val="auto"/>
        </w:rPr>
        <w:t>The collateral requirements, or haircut levels, under our repo agreements are typically determined on an individual transaction basis or by the prevailing requirements established by the FICC for GCF tri-party repo. Consequently, haircut levels and minimum margin requirements can change over time and may increase during periods of elevated market volatility. If the fair value of our collateral declines, our counterparties will typically require that we post additional collateral to re-establish the agreed-upon collateral levels, referred to as "margin calls." Similarly, if the estimated fair value of our investment securities increases, we may request that counterparties release collateral back to us. Our counterparties typically have the sole discretion to determine the value of pledged collateral but are required to act in good faith in making determinations of value. Our agreements generally provide that in the event of a margin call, collateral must be posted on the same business day, subject to notice requirements. As of March 31, 2022, we had met all our margin requirements.</w:t>
      </w:r>
    </w:p>
    <w:p>
      <w:pPr>
        <w:spacing w:after="0" w:line="138" w:lineRule="exact"/>
        <w:rPr>
          <w:sz w:val="20"/>
          <w:szCs w:val="20"/>
          <w:color w:val="auto"/>
        </w:rPr>
      </w:pPr>
    </w:p>
    <w:p>
      <w:pPr>
        <w:jc w:val="both"/>
        <w:ind w:firstLine="445"/>
        <w:spacing w:after="0" w:line="253" w:lineRule="auto"/>
        <w:rPr>
          <w:sz w:val="20"/>
          <w:szCs w:val="20"/>
          <w:color w:val="auto"/>
        </w:rPr>
      </w:pPr>
      <w:r>
        <w:rPr>
          <w:rFonts w:ascii="Times New Roman" w:cs="Times New Roman" w:eastAsia="Times New Roman" w:hAnsi="Times New Roman"/>
          <w:sz w:val="18"/>
          <w:szCs w:val="18"/>
          <w:color w:val="auto"/>
        </w:rPr>
        <w:t>The value of Agency RMBS collateral is impacted by market factors and is reduced by monthly principal pay-downs on the underlying mortgage pools. Fannie Mae and Freddie Mac publish monthly security pay-down factors for their mortgage pools on the fifth day after month-end, but do not remit payment to security holders until generally the 25th day after month-end. Bi-lateral repo counterparties assess margin to account for the reduction in value of Agency collateral when factors are released. The FICC assesses margin on the last day of each month, prior to the factor release date, based on its internally projected pay-down rates (referred to as the "blackout period exposure adjustment" or "blackout margin"). On the factor release date, the blackout margin is released and collateralization requirements are adjusted to actual factor data. Due to the timing difference between associated margin calls and our receipt of principal pay-downs, our liquidity is temporarily reduced each month for principal repayments. We attempt to manage the liquidity risk associated with principal pay-downs by monitoring conditions impacting prepayment rates and through asset selection. As of March 31, 2022, 31% our portfolio consisted of TBA securities, which are not subject to monthly principal pay-downs. The remainder of our portfolio, primarily consisted of Agency RMBS, which had an average one-year CPR forecast of 7%.</w:t>
      </w:r>
    </w:p>
    <w:p>
      <w:pPr>
        <w:spacing w:after="0" w:line="140"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color w:val="auto"/>
        </w:rPr>
        <w:t>Collateral requirements under our derivative agreements are subject to our counterparties' assessment of their maximum risk of loss associated with the derivative instrument, referred to as the initial or minimum margin requirement, and may be adjusted based on changes in market volatility and other factors. We are also subject to daily variation margin requirements based on changes in the value of the derivative instrument and/or collateral pledged. Daily variation margin requirements also entitle us to receive collateral if the value of amounts owed to us under the derivative agreement exceeds the minimum margin requirement. The collateral requirements under our TBA contracts are governed by the Mortgage-Backed Securities Division ("MBSD") of the FICC and, if applicable, by third-party brokerage agreements, which may establish margin levels in excess of the MBSD. Collateral levels for interest rate derivative agreements are typically governed by the central clearing exchange and the associated futures commission merchants ("FCMs"), which may establish margin levels in excess of the clearing exchange. Collateral levels for interest rate derivative agreements not subject to central clearing are established by the counterparty financial institution.</w:t>
      </w:r>
    </w:p>
    <w:p>
      <w:pPr>
        <w:spacing w:after="0" w:line="134"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Haircut levels and minimum margin requirements imposed by our counterparties reduce the amount of our unencumbered assets and limit the amount we can borrow against our investment securities. During the three months ended March 31, 2022, haircuts remained stable. As of March 31, 2022, the weighted average haircut on our repurchase agreements was approximately 4.0% of the value of our collateral, compared to 3.8% as of December 31, December 31, 2021.</w:t>
      </w:r>
    </w:p>
    <w:p>
      <w:pPr>
        <w:spacing w:after="0" w:line="126" w:lineRule="exact"/>
        <w:rPr>
          <w:sz w:val="20"/>
          <w:szCs w:val="20"/>
          <w:color w:val="auto"/>
        </w:rPr>
      </w:pPr>
    </w:p>
    <w:p>
      <w:pPr>
        <w:jc w:val="both"/>
        <w:ind w:firstLine="445"/>
        <w:spacing w:after="0" w:line="255" w:lineRule="auto"/>
        <w:rPr>
          <w:sz w:val="20"/>
          <w:szCs w:val="20"/>
          <w:color w:val="auto"/>
        </w:rPr>
      </w:pPr>
      <w:r>
        <w:rPr>
          <w:rFonts w:ascii="Times New Roman" w:cs="Times New Roman" w:eastAsia="Times New Roman" w:hAnsi="Times New Roman"/>
          <w:sz w:val="18"/>
          <w:szCs w:val="18"/>
          <w:color w:val="auto"/>
        </w:rPr>
        <w:t>To mitigate the risk of margins calls, we seek to maintain excess liquidity by holding unencumbered liquid assets that can be used to satisfy collateral requirements, collateralize additional borrowings or sold for cash. As of March 31, 2022, our unencumbered assets totaled 59% of our tangible equity, compared to 67% as of December 31, 2021. The majority of our liquidity is held at AGNC, but we also maintain capital and excess liquidity at Bethesda Securities to meet regulatory standards, satisfy counterparty and clearing organization expectations, and for risk management purposes. As of March 31, 2022, we had cash and unencumbered Agency RMBS and U.S. Treasury securities totaling $3.5 billion, or 42% of our tangible equity, which excludes unencumbered CRT and non-Agency securities and assets held at Bethesda Securities, compared to $4.9 billion and 50%, respectively, as of December 31, 2021.</w:t>
      </w:r>
    </w:p>
    <w:p>
      <w:pPr>
        <w:spacing w:after="0" w:line="200" w:lineRule="exact"/>
        <w:rPr>
          <w:sz w:val="20"/>
          <w:szCs w:val="20"/>
          <w:color w:val="auto"/>
        </w:rPr>
      </w:pPr>
    </w:p>
    <w:p>
      <w:pPr>
        <w:spacing w:after="0" w:line="3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18"/>
          <w:szCs w:val="18"/>
          <w:b w:val="1"/>
          <w:bCs w:val="1"/>
          <w:i w:val="1"/>
          <w:iCs w:val="1"/>
          <w:color w:val="auto"/>
        </w:rPr>
        <w:t>Counterparty Risk</w:t>
      </w:r>
    </w:p>
    <w:p>
      <w:pPr>
        <w:spacing w:after="0" w:line="175"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Collateral requirements imposed by counterparties subject us to the risk that the counterparty does not return pledged assets to us as and when required. We attempt to manage this risk by monitoring our collateral positions and limiting our counterparties to registered clearinghouses and major financial institutions with acceptable credit ratings. We also diversify our funding across multiple counterparties and by region.</w:t>
      </w:r>
    </w:p>
    <w:p>
      <w:pPr>
        <w:spacing w:after="0" w:line="122" w:lineRule="exact"/>
        <w:rPr>
          <w:sz w:val="20"/>
          <w:szCs w:val="20"/>
          <w:color w:val="auto"/>
        </w:rPr>
      </w:pPr>
    </w:p>
    <w:p>
      <w:pPr>
        <w:jc w:val="both"/>
        <w:ind w:firstLine="445"/>
        <w:spacing w:after="0" w:line="258" w:lineRule="auto"/>
        <w:rPr>
          <w:sz w:val="20"/>
          <w:szCs w:val="20"/>
          <w:color w:val="auto"/>
        </w:rPr>
      </w:pPr>
      <w:r>
        <w:rPr>
          <w:rFonts w:ascii="Times New Roman" w:cs="Times New Roman" w:eastAsia="Times New Roman" w:hAnsi="Times New Roman"/>
          <w:sz w:val="18"/>
          <w:szCs w:val="18"/>
          <w:color w:val="auto"/>
        </w:rPr>
        <w:t>As of March 31, 2022, our maximum amount at risk (or the excess/shortfall of the value of collateral pledged/received over our repurchase agreement liabilities/reverse repurchase agreement receivables) with any of our repurchase agreement counterparties, excluding the FICC, was less than 2% of our tangible stockholders' equity, with our top five repo counterparties, excluding the FICC, representing approximately 5% of our tangible stockholders' equity. As of March 31, 2022, approximately 8% of our tangible stockholder's equity was at risk with the FICC. Excluding central clearing exchanges, as of March 31, 2022, our amount at risk with any counterparty to our derivative agreements was less than 1% of our stockholders' equity.</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Asset Sales</w:t>
      </w:r>
    </w:p>
    <w:p>
      <w:pPr>
        <w:spacing w:after="0" w:line="175"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Agency RMBS securities are among the most liquid fixed income securities, and the TBA market is the second most liquid market (after the U.S. Treasury market). The vitality of these markets enables us to sell assets under most market conditions to generate liquidity through direct sales or delivery into TBA contracts, subject to "good delivery" provisions promulgated by the Securities Industry and Financial Markets Association ("SIFMA"). Under certain market conditions, however, we may be unable to realize the full "pay-up" value of our specified pool securities, which is the incremental value in excess of equivalent coupon generic Agency RMBS. We attempt to manage this risk by maintaining at least a minimum level of securities that trade at or near TBA values that in our estimation enhances our portfolio liquidity across a wide range of market conditions.</w:t>
      </w:r>
    </w:p>
    <w:p>
      <w:pPr>
        <w:spacing w:after="0" w:line="1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Capital Markets</w:t>
      </w:r>
    </w:p>
    <w:p>
      <w:pPr>
        <w:spacing w:after="0" w:line="175" w:lineRule="exact"/>
        <w:rPr>
          <w:sz w:val="20"/>
          <w:szCs w:val="20"/>
          <w:color w:val="auto"/>
        </w:rPr>
      </w:pPr>
    </w:p>
    <w:p>
      <w:pPr>
        <w:jc w:val="both"/>
        <w:ind w:firstLine="405"/>
        <w:spacing w:after="0" w:line="255" w:lineRule="auto"/>
        <w:rPr>
          <w:sz w:val="20"/>
          <w:szCs w:val="20"/>
          <w:color w:val="auto"/>
        </w:rPr>
      </w:pPr>
      <w:r>
        <w:rPr>
          <w:rFonts w:ascii="Times New Roman" w:cs="Times New Roman" w:eastAsia="Times New Roman" w:hAnsi="Times New Roman"/>
          <w:sz w:val="18"/>
          <w:szCs w:val="18"/>
          <w:color w:val="auto"/>
        </w:rPr>
        <w:t>The equity capital markets serve as a source of capital to grow our business and to meet potential liquidity needs of our business. The availability of equity capital is dependent on market conditions and investor demand for our common and preferred stock. We will typically not issue common stock when the price of our common stock trades below our tangible net book value or issue preferred equity when its cost exceeds acceptable hurdle rates of return on our equity. There can be no assurance that we will be able to raise additional equity capital at any particular time or on any particular terms. Furthermore, when the trading price of our common stock is less than our estimate of our current tangible net book value per common share, among other conditions, we may repurchase shares of our common stock. Please refer to Note 9 of our Consolidated Financial Statements in this Form 10-Q for further details regarding our recent equity capital transactions, if any.</w:t>
      </w:r>
    </w:p>
    <w:p>
      <w:pPr>
        <w:spacing w:after="0" w:line="1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OFF-BALANCE SHEET ARRANGEMENTS</w:t>
      </w:r>
    </w:p>
    <w:p>
      <w:pPr>
        <w:spacing w:after="0" w:line="175"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As of March 31, 2022, we did not maintain relationships with unconsolidated entities or financial partnerships, such as entities often referred to as structured finance, or special purpose or variable interest entities, established to facilitate off-balance sheet arrangements or other contractually narrow or limited purposes. Additionally, as of March 31, 2022, we had not guaranteed obligations of unconsolidated entities or entered into a commitment or intent to provide funding to such entities.</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FORWARD-LOOKING STATEMENTS</w:t>
      </w:r>
    </w:p>
    <w:p>
      <w:pPr>
        <w:spacing w:after="0" w:line="175" w:lineRule="exact"/>
        <w:rPr>
          <w:sz w:val="20"/>
          <w:szCs w:val="20"/>
          <w:color w:val="auto"/>
        </w:rPr>
      </w:pPr>
    </w:p>
    <w:p>
      <w:pPr>
        <w:jc w:val="both"/>
        <w:ind w:firstLine="405"/>
        <w:spacing w:after="0" w:line="258" w:lineRule="auto"/>
        <w:rPr>
          <w:sz w:val="20"/>
          <w:szCs w:val="20"/>
          <w:color w:val="auto"/>
        </w:rPr>
      </w:pPr>
      <w:r>
        <w:rPr>
          <w:rFonts w:ascii="Times New Roman" w:cs="Times New Roman" w:eastAsia="Times New Roman" w:hAnsi="Times New Roman"/>
          <w:sz w:val="18"/>
          <w:szCs w:val="18"/>
          <w:color w:val="auto"/>
        </w:rPr>
        <w:t>The statements contained in this Quarterly Report that are not historical facts, including estimates, projections, beliefs, expectations concerning conditions, events, or the outlook for our business, strategy, performance, operations or the markets or industries in which we operate, are forward-looking statements within the meaning of the Private Securities Litigation Reform Act. Forward-looking statements are typically identified by words such as “believe,” “plan,” “expect,” “anticipate,” “see,” “intend,” “outlook,” “potential,” “forecast,” “estimate,” “will,” “could,” “should,” “likely” and other similar, correlative or comparable words and expressions.</w:t>
      </w:r>
    </w:p>
    <w:p>
      <w:pPr>
        <w:spacing w:after="0" w:line="129" w:lineRule="exact"/>
        <w:rPr>
          <w:sz w:val="20"/>
          <w:szCs w:val="20"/>
          <w:color w:val="auto"/>
        </w:rPr>
      </w:pPr>
    </w:p>
    <w:p>
      <w:pPr>
        <w:jc w:val="both"/>
        <w:ind w:firstLine="405"/>
        <w:spacing w:after="0" w:line="266" w:lineRule="auto"/>
        <w:rPr>
          <w:sz w:val="20"/>
          <w:szCs w:val="20"/>
          <w:color w:val="auto"/>
        </w:rPr>
      </w:pPr>
      <w:r>
        <w:rPr>
          <w:rFonts w:ascii="Times New Roman" w:cs="Times New Roman" w:eastAsia="Times New Roman" w:hAnsi="Times New Roman"/>
          <w:sz w:val="18"/>
          <w:szCs w:val="18"/>
          <w:color w:val="auto"/>
        </w:rPr>
        <w:t>Forward looking statements are based on management’s assumptions, projections and beliefs as of the date of this Quarterly Report, but they involve a number of risks and uncertainties. Actual results may differ materially from those anticipated in forward-looking statements, as well as from historical performance. Factors that could cause actual results to vary from our forward-looking statements include, but are not limited to, the following:</w:t>
      </w:r>
    </w:p>
    <w:p>
      <w:pPr>
        <w:spacing w:after="0" w:line="68" w:lineRule="exact"/>
        <w:rPr>
          <w:sz w:val="20"/>
          <w:szCs w:val="20"/>
          <w:color w:val="auto"/>
        </w:rPr>
      </w:pPr>
    </w:p>
    <w:p>
      <w:pPr>
        <w:ind w:left="660" w:hanging="247"/>
        <w:spacing w:after="0" w:line="281" w:lineRule="auto"/>
        <w:tabs>
          <w:tab w:leader="none" w:pos="655"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U.S. monetary policy or interest rates, including actions taken by the Fed to normalize monetary policy, to terminate its purchases of Agency RMBS and to reduce the size of its U.S. Treasury and Agency RMBS bond portfolio;</w:t>
      </w:r>
    </w:p>
    <w:p>
      <w:pPr>
        <w:spacing w:after="0" w:line="1" w:lineRule="exact"/>
        <w:rPr>
          <w:rFonts w:ascii="Times New Roman" w:cs="Times New Roman" w:eastAsia="Times New Roman" w:hAnsi="Times New Roman"/>
          <w:sz w:val="18"/>
          <w:szCs w:val="18"/>
          <w:color w:val="auto"/>
        </w:rPr>
      </w:pPr>
    </w:p>
    <w:p>
      <w:pPr>
        <w:ind w:left="660" w:hanging="247"/>
        <w:spacing w:after="0"/>
        <w:tabs>
          <w:tab w:leader="none" w:pos="66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yield curve;</w:t>
      </w: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49" w:right="339" w:bottom="1440" w:gutter="0" w:footer="0" w:header="0"/>
        </w:sectPr>
      </w:pPr>
    </w:p>
    <w:bookmarkStart w:id="41" w:name="page42"/>
    <w:bookmarkEnd w:id="41"/>
    <w:p>
      <w:pPr>
        <w:ind w:left="660" w:hanging="247"/>
        <w:spacing w:after="0"/>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mortgage prepayment rates on the loans underlying our Agency RMBS;</w:t>
      </w:r>
    </w:p>
    <w:p>
      <w:pPr>
        <w:spacing w:after="0" w:line="63" w:lineRule="exact"/>
        <w:rPr>
          <w:rFonts w:ascii="Times New Roman" w:cs="Times New Roman" w:eastAsia="Times New Roman" w:hAnsi="Times New Roman"/>
          <w:sz w:val="18"/>
          <w:szCs w:val="18"/>
          <w:color w:val="auto"/>
        </w:rPr>
      </w:pPr>
    </w:p>
    <w:p>
      <w:pPr>
        <w:ind w:left="660" w:hanging="247"/>
        <w:spacing w:after="0"/>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availability and terms of financing;</w:t>
      </w:r>
    </w:p>
    <w:p>
      <w:pPr>
        <w:spacing w:after="0" w:line="63" w:lineRule="exact"/>
        <w:rPr>
          <w:rFonts w:ascii="Times New Roman" w:cs="Times New Roman" w:eastAsia="Times New Roman" w:hAnsi="Times New Roman"/>
          <w:sz w:val="18"/>
          <w:szCs w:val="18"/>
          <w:color w:val="auto"/>
        </w:rPr>
      </w:pPr>
    </w:p>
    <w:p>
      <w:pPr>
        <w:ind w:left="660" w:hanging="247"/>
        <w:spacing w:after="0"/>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the market value of our assets, including from changes in net interest spreads, and changes in market liquidity or depth;</w:t>
      </w:r>
    </w:p>
    <w:p>
      <w:pPr>
        <w:spacing w:after="0" w:line="63" w:lineRule="exact"/>
        <w:rPr>
          <w:rFonts w:ascii="Times New Roman" w:cs="Times New Roman" w:eastAsia="Times New Roman" w:hAnsi="Times New Roman"/>
          <w:sz w:val="18"/>
          <w:szCs w:val="18"/>
          <w:color w:val="auto"/>
        </w:rPr>
      </w:pPr>
    </w:p>
    <w:p>
      <w:pPr>
        <w:ind w:left="660" w:hanging="247"/>
        <w:spacing w:after="0"/>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effectiveness of our risk mitigation strategies;</w:t>
      </w:r>
    </w:p>
    <w:p>
      <w:pPr>
        <w:spacing w:after="0" w:line="63" w:lineRule="exact"/>
        <w:rPr>
          <w:rFonts w:ascii="Times New Roman" w:cs="Times New Roman" w:eastAsia="Times New Roman" w:hAnsi="Times New Roman"/>
          <w:sz w:val="18"/>
          <w:szCs w:val="18"/>
          <w:color w:val="auto"/>
        </w:rPr>
      </w:pPr>
    </w:p>
    <w:p>
      <w:pPr>
        <w:ind w:left="660" w:hanging="247"/>
        <w:spacing w:after="0"/>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conditions in the market for Agency RMBS and other mortgage securities;</w:t>
      </w:r>
    </w:p>
    <w:p>
      <w:pPr>
        <w:spacing w:after="0" w:line="63" w:lineRule="exact"/>
        <w:rPr>
          <w:rFonts w:ascii="Times New Roman" w:cs="Times New Roman" w:eastAsia="Times New Roman" w:hAnsi="Times New Roman"/>
          <w:sz w:val="18"/>
          <w:szCs w:val="18"/>
          <w:color w:val="auto"/>
        </w:rPr>
      </w:pPr>
    </w:p>
    <w:p>
      <w:pPr>
        <w:ind w:left="660" w:hanging="247"/>
        <w:spacing w:after="0" w:line="281" w:lineRule="auto"/>
        <w:tabs>
          <w:tab w:leader="none" w:pos="65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impact of the COVID-19 pandemic and of measures taken in response to the COVID-19 pandemic by various governmental authorities, businesses and other third parties;</w:t>
      </w:r>
    </w:p>
    <w:p>
      <w:pPr>
        <w:spacing w:after="0" w:line="1" w:lineRule="exact"/>
        <w:rPr>
          <w:rFonts w:ascii="Times New Roman" w:cs="Times New Roman" w:eastAsia="Times New Roman" w:hAnsi="Times New Roman"/>
          <w:sz w:val="18"/>
          <w:szCs w:val="18"/>
          <w:color w:val="auto"/>
        </w:rPr>
      </w:pPr>
    </w:p>
    <w:p>
      <w:pPr>
        <w:ind w:left="660" w:hanging="247"/>
        <w:spacing w:after="0"/>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actions by the federal, state, or local governments to stabilize the economy, the housing sector or financial markets;</w:t>
      </w:r>
    </w:p>
    <w:p>
      <w:pPr>
        <w:spacing w:after="0" w:line="63" w:lineRule="exact"/>
        <w:rPr>
          <w:rFonts w:ascii="Times New Roman" w:cs="Times New Roman" w:eastAsia="Times New Roman" w:hAnsi="Times New Roman"/>
          <w:sz w:val="18"/>
          <w:szCs w:val="18"/>
          <w:color w:val="auto"/>
        </w:rPr>
      </w:pPr>
    </w:p>
    <w:p>
      <w:pPr>
        <w:ind w:left="660" w:hanging="247"/>
        <w:spacing w:after="0" w:line="281" w:lineRule="auto"/>
        <w:tabs>
          <w:tab w:leader="none" w:pos="655"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legislative or regulatory changes that affect our status as a REIT, our exemption from the Investment Company Act of 1940 or the mortgage markets in which we participate; and</w:t>
      </w:r>
    </w:p>
    <w:p>
      <w:pPr>
        <w:spacing w:after="0" w:line="1" w:lineRule="exact"/>
        <w:rPr>
          <w:rFonts w:ascii="Times New Roman" w:cs="Times New Roman" w:eastAsia="Times New Roman" w:hAnsi="Times New Roman"/>
          <w:sz w:val="18"/>
          <w:szCs w:val="18"/>
          <w:color w:val="auto"/>
        </w:rPr>
      </w:pPr>
    </w:p>
    <w:p>
      <w:pPr>
        <w:ind w:left="660" w:hanging="247"/>
        <w:spacing w:after="0"/>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risks discussed under the heading “Risk Factors” herein and in our Annual Report on Form 10-K.</w:t>
      </w:r>
    </w:p>
    <w:p>
      <w:pPr>
        <w:spacing w:after="0" w:line="171"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 xml:space="preserve">Forward-looking statements speak only as of the date made, and we do not assume any duty and do not undertake to update forward-looking statements. A further discussion of risks and uncertainties that could cause actual results to differ from any of our forward-looking statements is included in our most recent Annual Report on Form 10-K and this document under Item 1A. </w:t>
      </w:r>
      <w:r>
        <w:rPr>
          <w:rFonts w:ascii="Times New Roman" w:cs="Times New Roman" w:eastAsia="Times New Roman" w:hAnsi="Times New Roman"/>
          <w:sz w:val="18"/>
          <w:szCs w:val="18"/>
          <w:i w:val="1"/>
          <w:iCs w:val="1"/>
          <w:color w:val="auto"/>
        </w:rPr>
        <w:t>Risk Factors</w:t>
      </w:r>
      <w:r>
        <w:rPr>
          <w:rFonts w:ascii="Times New Roman" w:cs="Times New Roman" w:eastAsia="Times New Roman" w:hAnsi="Times New Roman"/>
          <w:sz w:val="18"/>
          <w:szCs w:val="18"/>
          <w:color w:val="auto"/>
        </w:rPr>
        <w:t>. We caution readers not to place undue reliance on our forward-looking statements.</w:t>
      </w:r>
    </w:p>
    <w:p>
      <w:pPr>
        <w:spacing w:after="0" w:line="12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3. </w:t>
      </w:r>
      <w:r>
        <w:rPr>
          <w:rFonts w:ascii="Times New Roman" w:cs="Times New Roman" w:eastAsia="Times New Roman" w:hAnsi="Times New Roman"/>
          <w:sz w:val="18"/>
          <w:szCs w:val="18"/>
          <w:b w:val="1"/>
          <w:bCs w:val="1"/>
          <w:i w:val="1"/>
          <w:iCs w:val="1"/>
          <w:color w:val="auto"/>
        </w:rPr>
        <w:t>Quantitative and Qualitative Disclosures about Market Risk</w:t>
      </w:r>
    </w:p>
    <w:p>
      <w:pPr>
        <w:spacing w:after="0" w:line="175" w:lineRule="exact"/>
        <w:rPr>
          <w:sz w:val="20"/>
          <w:szCs w:val="20"/>
          <w:color w:val="auto"/>
        </w:rPr>
      </w:pPr>
    </w:p>
    <w:p>
      <w:pPr>
        <w:jc w:val="both"/>
        <w:ind w:firstLine="445"/>
        <w:spacing w:after="0" w:line="282" w:lineRule="auto"/>
        <w:rPr>
          <w:sz w:val="20"/>
          <w:szCs w:val="20"/>
          <w:color w:val="auto"/>
        </w:rPr>
      </w:pPr>
      <w:r>
        <w:rPr>
          <w:rFonts w:ascii="Times New Roman" w:cs="Times New Roman" w:eastAsia="Times New Roman" w:hAnsi="Times New Roman"/>
          <w:sz w:val="18"/>
          <w:szCs w:val="18"/>
          <w:color w:val="auto"/>
        </w:rPr>
        <w:t>Market risk is the exposure to loss resulting from changes in market factors such as interest rates, foreign currency exchange rates, commodity prices and equity prices. The primary market risks that we are exposed to are interest rate, prepayment, spread, liquidity, extension and credit risks.</w:t>
      </w:r>
    </w:p>
    <w:p>
      <w:pPr>
        <w:spacing w:after="0" w:line="10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Interest Rate Risk</w:t>
      </w:r>
    </w:p>
    <w:p>
      <w:pPr>
        <w:spacing w:after="0" w:line="175"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We are subject to interest rate risk in connection with the fixed income nature of our assets and the short-term, variable rate nature of our financing obligations. Our operating results depend in large part on differences between the income earned on our assets and our cost of borrowing and hedging activities. The costs associated with our borrowings are generally based on prevailing market interest rates. During a period of rising interest rates, our borrowing costs generally will increase while the yields earned on our existing portfolio of leveraged fixed-rate assets will largely remain static. This can result in a decline in our net interest spread. Changes in the level of interest rates can also affect the rate of mortgage prepayments and the value of our assets.</w:t>
      </w:r>
    </w:p>
    <w:p>
      <w:pPr>
        <w:spacing w:after="0" w:line="133" w:lineRule="exact"/>
        <w:rPr>
          <w:sz w:val="20"/>
          <w:szCs w:val="20"/>
          <w:color w:val="auto"/>
        </w:rPr>
      </w:pPr>
    </w:p>
    <w:p>
      <w:pPr>
        <w:jc w:val="both"/>
        <w:ind w:firstLine="445"/>
        <w:spacing w:after="0" w:line="255" w:lineRule="auto"/>
        <w:rPr>
          <w:sz w:val="20"/>
          <w:szCs w:val="20"/>
          <w:color w:val="auto"/>
        </w:rPr>
      </w:pPr>
      <w:r>
        <w:rPr>
          <w:rFonts w:ascii="Times New Roman" w:cs="Times New Roman" w:eastAsia="Times New Roman" w:hAnsi="Times New Roman"/>
          <w:sz w:val="18"/>
          <w:szCs w:val="18"/>
          <w:color w:val="auto"/>
        </w:rPr>
        <w:t>Interest rates are highly sensitive to many factors, including fiscal and monetary policies and domestic and international economic and political considerations, as well as other factors beyond our control. Subject to maintaining our qualification as a REIT, we engage in a variety of interest rate management techniques to mitigate the influence of interest rate changes on our net interest income and fluctuations of our tangible net book value. The principal instruments that we use to hedge our interest rate risk are interest rate swaps, swaptions, U.S. Treasury securities and U.S. Treasury futures contracts. Our hedging techniques are highly complex and are partly based on assumed levels of prepayments of our assets. If prepayments are slower or faster than assumed, the maturity of our investments will also differ from our expectations, which could reduce the effectiveness of our hedging strategies and may cause losses on such transactions and adversely affect our cash flow.</w:t>
      </w:r>
    </w:p>
    <w:p>
      <w:pPr>
        <w:spacing w:after="0" w:line="135"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The severity of potential declines in our tangible net book value due to fluctuations in interest rates would depend on our asset, liability, and hedge composition at the time, as well as the magnitude and duration of the interest rate change. Primary measures of an instrument's price sensitivity to interest rate fluctuations are its duration and convexity. Duration measures the estimated percentage change in market value of an instrument that would be caused by a parallel change in short and long-term interest rates. The duration of our assets will vary with changes in interest rates and tends to increase when interest rates rise and decrease when interest rates fall. This "negative convexity" generally increases the interest rate exposure of our investment portfolio in excess of what is measured by duration alone.</w:t>
      </w:r>
    </w:p>
    <w:p>
      <w:pPr>
        <w:spacing w:after="0" w:line="133"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We estimate the duration and convexity of our assets using a third-party risk management system and market data. We review the estimates for reasonableness, giving consideration to any unique characteristics of our securities, market conditions and other factors likely to impact these estimates, and based on our judgement we may make adjustments to the third-party estimates.</w:t>
      </w:r>
    </w:p>
    <w:p>
      <w:pPr>
        <w:spacing w:after="0" w:line="122"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The table below quantifies the estimated changes in the fair value of our investment portfolio (including derivatives and other securities used for hedging purposes) and in our tangible net book value per common share as of March 31, 2022 and December 31, 2021 should interest rates go up or down by 25, 50 and 75 basis points, assuming instantaneous parallel shifts in</w:t>
      </w:r>
    </w:p>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45" w:right="339" w:bottom="1440" w:gutter="0" w:footer="0" w:header="0"/>
        </w:sectPr>
      </w:pPr>
    </w:p>
    <w:bookmarkStart w:id="42" w:name="page43"/>
    <w:bookmarkEnd w:id="42"/>
    <w:p>
      <w:pPr>
        <w:jc w:val="both"/>
        <w:spacing w:after="0" w:line="282" w:lineRule="auto"/>
        <w:rPr>
          <w:sz w:val="20"/>
          <w:szCs w:val="20"/>
          <w:color w:val="auto"/>
        </w:rPr>
      </w:pPr>
      <w:r>
        <w:rPr>
          <w:rFonts w:ascii="Times New Roman" w:cs="Times New Roman" w:eastAsia="Times New Roman" w:hAnsi="Times New Roman"/>
          <w:sz w:val="18"/>
          <w:szCs w:val="18"/>
          <w:color w:val="auto"/>
        </w:rPr>
        <w:t>the yield curve and including the impact of both duration and convexity. All values in the table below are measured as percentage changes from the base interest rate scenario. The base interest rate scenario assumes interest rates and prepayment projections as of March 31, 2022 and December 31, 2021.</w:t>
      </w:r>
    </w:p>
    <w:p>
      <w:pPr>
        <w:spacing w:after="0" w:line="108"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To the extent that these estimates or other assumptions do not hold true, which may be more likely during periods of elevated market volatility, actual results could differ materially from our projections. Moreover, if different models were employed in the analysis, materially different projections could result. Lastly, while the table below reflects the estimated impact of interest rate changes on a static portfolio, we actively manage our portfolio and we continuously adjust the size and composition of our asset and hedge portfolio.</w:t>
      </w:r>
    </w:p>
    <w:p>
      <w:pPr>
        <w:spacing w:after="0" w:line="8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 xml:space="preserve">Interest Rate Sensitivity </w:t>
      </w:r>
      <w:r>
        <w:rPr>
          <w:rFonts w:ascii="Times New Roman" w:cs="Times New Roman" w:eastAsia="Times New Roman" w:hAnsi="Times New Roman"/>
          <w:sz w:val="18"/>
          <w:szCs w:val="18"/>
          <w:b w:val="1"/>
          <w:bCs w:val="1"/>
          <w:color w:val="auto"/>
          <w:vertAlign w:val="superscript"/>
        </w:rPr>
        <w:t>1,2</w:t>
      </w:r>
    </w:p>
    <w:p>
      <w:pPr>
        <w:spacing w:after="0" w:line="10" w:lineRule="exact"/>
        <w:rPr>
          <w:sz w:val="20"/>
          <w:szCs w:val="20"/>
          <w:color w:val="auto"/>
        </w:rPr>
      </w:pPr>
    </w:p>
    <w:tbl>
      <w:tblPr>
        <w:tblLayout w:type="fixed"/>
        <w:tblInd w:w="1240" w:type="dxa"/>
        <w:tblCellMar>
          <w:top w:w="0" w:type="dxa"/>
          <w:left w:w="0" w:type="dxa"/>
          <w:bottom w:w="0" w:type="dxa"/>
          <w:right w:w="0" w:type="dxa"/>
        </w:tblCellMar>
      </w:tblPr>
      <w:tr>
        <w:trPr>
          <w:trHeight w:val="193"/>
        </w:trPr>
        <w:tc>
          <w:tcPr>
            <w:tcW w:w="294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2880" w:type="dxa"/>
            <w:vAlign w:val="bottom"/>
            <w:tcBorders>
              <w:top w:val="single" w:sz="8" w:color="auto"/>
            </w:tcBorders>
            <w:gridSpan w:val="4"/>
          </w:tcPr>
          <w:p>
            <w:pPr>
              <w:ind w:left="88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2780" w:type="dxa"/>
            <w:vAlign w:val="bottom"/>
            <w:tcBorders>
              <w:top w:val="single" w:sz="8" w:color="auto"/>
            </w:tcBorders>
            <w:gridSpan w:val="3"/>
          </w:tcPr>
          <w:p>
            <w:pPr>
              <w:ind w:left="80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131"/>
        </w:trPr>
        <w:tc>
          <w:tcPr>
            <w:tcW w:w="294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Estimated Change</w:t>
            </w:r>
          </w:p>
        </w:tc>
        <w:tc>
          <w:tcPr>
            <w:tcW w:w="132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Estimated Change in</w:t>
            </w:r>
          </w:p>
        </w:tc>
        <w:tc>
          <w:tcPr>
            <w:tcW w:w="160" w:type="dxa"/>
            <w:vAlign w:val="bottom"/>
          </w:tcPr>
          <w:p>
            <w:pPr>
              <w:spacing w:after="0"/>
              <w:rPr>
                <w:sz w:val="11"/>
                <w:szCs w:val="11"/>
                <w:color w:val="auto"/>
              </w:rPr>
            </w:pPr>
          </w:p>
        </w:tc>
        <w:tc>
          <w:tcPr>
            <w:tcW w:w="1420" w:type="dxa"/>
            <w:vAlign w:val="bottom"/>
            <w:tcBorders>
              <w:top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Estimated Change in</w:t>
            </w:r>
          </w:p>
        </w:tc>
        <w:tc>
          <w:tcPr>
            <w:tcW w:w="136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Estimated Change in</w:t>
            </w:r>
          </w:p>
        </w:tc>
        <w:tc>
          <w:tcPr>
            <w:tcW w:w="0" w:type="dxa"/>
            <w:vAlign w:val="bottom"/>
          </w:tcPr>
          <w:p>
            <w:pPr>
              <w:spacing w:after="0"/>
              <w:rPr>
                <w:sz w:val="1"/>
                <w:szCs w:val="1"/>
                <w:color w:val="auto"/>
              </w:rPr>
            </w:pPr>
          </w:p>
        </w:tc>
      </w:tr>
      <w:tr>
        <w:trPr>
          <w:trHeight w:val="148"/>
        </w:trPr>
        <w:tc>
          <w:tcPr>
            <w:tcW w:w="29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1480" w:type="dxa"/>
            <w:vAlign w:val="bottom"/>
            <w:gridSpan w:val="2"/>
          </w:tcPr>
          <w:p>
            <w:pPr>
              <w:jc w:val="center"/>
              <w:ind w:right="180"/>
              <w:spacing w:after="0" w:line="149" w:lineRule="exact"/>
              <w:rPr>
                <w:sz w:val="20"/>
                <w:szCs w:val="20"/>
                <w:color w:val="auto"/>
              </w:rPr>
            </w:pPr>
            <w:r>
              <w:rPr>
                <w:rFonts w:ascii="Times New Roman" w:cs="Times New Roman" w:eastAsia="Times New Roman" w:hAnsi="Times New Roman"/>
                <w:sz w:val="14"/>
                <w:szCs w:val="14"/>
                <w:b w:val="1"/>
                <w:bCs w:val="1"/>
                <w:color w:val="auto"/>
              </w:rPr>
              <w:t>Tangible Net Book</w:t>
            </w:r>
          </w:p>
        </w:tc>
        <w:tc>
          <w:tcPr>
            <w:tcW w:w="1420" w:type="dxa"/>
            <w:vAlign w:val="bottom"/>
            <w:gridSpan w:val="2"/>
            <w:vMerge w:val="continue"/>
          </w:tcPr>
          <w:p>
            <w:pPr>
              <w:spacing w:after="0"/>
              <w:rPr>
                <w:sz w:val="12"/>
                <w:szCs w:val="12"/>
                <w:color w:val="auto"/>
              </w:rPr>
            </w:pPr>
          </w:p>
        </w:tc>
        <w:tc>
          <w:tcPr>
            <w:tcW w:w="136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Tangible Net Book</w:t>
            </w:r>
          </w:p>
        </w:tc>
        <w:tc>
          <w:tcPr>
            <w:tcW w:w="0" w:type="dxa"/>
            <w:vAlign w:val="bottom"/>
          </w:tcPr>
          <w:p>
            <w:pPr>
              <w:spacing w:after="0"/>
              <w:rPr>
                <w:sz w:val="1"/>
                <w:szCs w:val="1"/>
                <w:color w:val="auto"/>
              </w:rPr>
            </w:pPr>
          </w:p>
        </w:tc>
      </w:tr>
      <w:tr>
        <w:trPr>
          <w:trHeight w:val="137"/>
        </w:trPr>
        <w:tc>
          <w:tcPr>
            <w:tcW w:w="310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Change in Interest Rate</w:t>
            </w:r>
          </w:p>
        </w:tc>
        <w:tc>
          <w:tcPr>
            <w:tcW w:w="1400" w:type="dxa"/>
            <w:vAlign w:val="bottom"/>
            <w:gridSpan w:val="2"/>
          </w:tcPr>
          <w:p>
            <w:pPr>
              <w:jc w:val="center"/>
              <w:ind w:right="120"/>
              <w:spacing w:after="0" w:line="137" w:lineRule="exact"/>
              <w:rPr>
                <w:sz w:val="20"/>
                <w:szCs w:val="20"/>
                <w:color w:val="auto"/>
              </w:rPr>
            </w:pPr>
            <w:r>
              <w:rPr>
                <w:rFonts w:ascii="Times New Roman" w:cs="Times New Roman" w:eastAsia="Times New Roman" w:hAnsi="Times New Roman"/>
                <w:sz w:val="14"/>
                <w:szCs w:val="14"/>
                <w:b w:val="1"/>
                <w:bCs w:val="1"/>
                <w:color w:val="auto"/>
              </w:rPr>
              <w:t>in Portfolio Market</w:t>
            </w:r>
          </w:p>
        </w:tc>
        <w:tc>
          <w:tcPr>
            <w:tcW w:w="1480" w:type="dxa"/>
            <w:vAlign w:val="bottom"/>
            <w:gridSpan w:val="2"/>
          </w:tcPr>
          <w:p>
            <w:pPr>
              <w:jc w:val="center"/>
              <w:ind w:right="160"/>
              <w:spacing w:after="0" w:line="137" w:lineRule="exact"/>
              <w:rPr>
                <w:sz w:val="20"/>
                <w:szCs w:val="20"/>
                <w:color w:val="auto"/>
              </w:rPr>
            </w:pPr>
            <w:r>
              <w:rPr>
                <w:rFonts w:ascii="Times New Roman" w:cs="Times New Roman" w:eastAsia="Times New Roman" w:hAnsi="Times New Roman"/>
                <w:sz w:val="14"/>
                <w:szCs w:val="14"/>
                <w:b w:val="1"/>
                <w:bCs w:val="1"/>
                <w:color w:val="auto"/>
              </w:rPr>
              <w:t>Value Per Common</w:t>
            </w:r>
          </w:p>
        </w:tc>
        <w:tc>
          <w:tcPr>
            <w:tcW w:w="1420" w:type="dxa"/>
            <w:vAlign w:val="bottom"/>
            <w:gridSpan w:val="2"/>
          </w:tcPr>
          <w:p>
            <w:pPr>
              <w:jc w:val="center"/>
              <w:ind w:right="100"/>
              <w:spacing w:after="0" w:line="137" w:lineRule="exact"/>
              <w:rPr>
                <w:sz w:val="20"/>
                <w:szCs w:val="20"/>
                <w:color w:val="auto"/>
              </w:rPr>
            </w:pPr>
            <w:r>
              <w:rPr>
                <w:rFonts w:ascii="Times New Roman" w:cs="Times New Roman" w:eastAsia="Times New Roman" w:hAnsi="Times New Roman"/>
                <w:sz w:val="14"/>
                <w:szCs w:val="14"/>
                <w:b w:val="1"/>
                <w:bCs w:val="1"/>
                <w:color w:val="auto"/>
              </w:rPr>
              <w:t>Portfolio Market</w:t>
            </w:r>
          </w:p>
        </w:tc>
        <w:tc>
          <w:tcPr>
            <w:tcW w:w="1360" w:type="dxa"/>
            <w:vAlign w:val="bottom"/>
          </w:tcPr>
          <w:p>
            <w:pPr>
              <w:jc w:val="center"/>
              <w:spacing w:after="0" w:line="137" w:lineRule="exact"/>
              <w:rPr>
                <w:sz w:val="20"/>
                <w:szCs w:val="20"/>
                <w:color w:val="auto"/>
              </w:rPr>
            </w:pPr>
            <w:r>
              <w:rPr>
                <w:rFonts w:ascii="Times New Roman" w:cs="Times New Roman" w:eastAsia="Times New Roman" w:hAnsi="Times New Roman"/>
                <w:sz w:val="14"/>
                <w:szCs w:val="14"/>
                <w:b w:val="1"/>
                <w:bCs w:val="1"/>
                <w:color w:val="auto"/>
              </w:rPr>
              <w:t>Value Per Common</w:t>
            </w:r>
          </w:p>
        </w:tc>
        <w:tc>
          <w:tcPr>
            <w:tcW w:w="0" w:type="dxa"/>
            <w:vAlign w:val="bottom"/>
          </w:tcPr>
          <w:p>
            <w:pPr>
              <w:spacing w:after="0"/>
              <w:rPr>
                <w:sz w:val="1"/>
                <w:szCs w:val="1"/>
                <w:color w:val="auto"/>
              </w:rPr>
            </w:pPr>
          </w:p>
        </w:tc>
      </w:tr>
      <w:tr>
        <w:trPr>
          <w:trHeight w:val="190"/>
        </w:trPr>
        <w:tc>
          <w:tcPr>
            <w:tcW w:w="3100" w:type="dxa"/>
            <w:vAlign w:val="bottom"/>
            <w:gridSpan w:val="2"/>
            <w:vMerge w:val="continue"/>
          </w:tcPr>
          <w:p>
            <w:pPr>
              <w:spacing w:after="0"/>
              <w:rPr>
                <w:sz w:val="16"/>
                <w:szCs w:val="16"/>
                <w:color w:val="auto"/>
              </w:rPr>
            </w:pPr>
          </w:p>
        </w:tc>
        <w:tc>
          <w:tcPr>
            <w:tcW w:w="140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48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42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136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Share</w:t>
            </w:r>
          </w:p>
        </w:tc>
        <w:tc>
          <w:tcPr>
            <w:tcW w:w="0" w:type="dxa"/>
            <w:vAlign w:val="bottom"/>
          </w:tcPr>
          <w:p>
            <w:pPr>
              <w:spacing w:after="0"/>
              <w:rPr>
                <w:sz w:val="1"/>
                <w:szCs w:val="1"/>
                <w:color w:val="auto"/>
              </w:rPr>
            </w:pPr>
          </w:p>
        </w:tc>
      </w:tr>
      <w:tr>
        <w:trPr>
          <w:trHeight w:val="23"/>
        </w:trPr>
        <w:tc>
          <w:tcPr>
            <w:tcW w:w="294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c>
          <w:tcPr>
            <w:tcW w:w="12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60" w:type="dxa"/>
            <w:vAlign w:val="bottom"/>
            <w:tcBorders>
              <w:bottom w:val="single" w:sz="8" w:color="CCEEFF"/>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100" w:type="dxa"/>
            <w:vAlign w:val="bottom"/>
            <w:tcBorders>
              <w:bottom w:val="single" w:sz="8" w:color="CCEEFF"/>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96"/>
        </w:trPr>
        <w:tc>
          <w:tcPr>
            <w:tcW w:w="2940" w:type="dxa"/>
            <w:vAlign w:val="bottom"/>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-75 Basis Points</w:t>
            </w:r>
          </w:p>
        </w:tc>
        <w:tc>
          <w:tcPr>
            <w:tcW w:w="160" w:type="dxa"/>
            <w:vAlign w:val="bottom"/>
            <w:shd w:val="clear" w:color="auto" w:fill="CCEEFF"/>
          </w:tcPr>
          <w:p>
            <w:pPr>
              <w:spacing w:after="0"/>
              <w:rPr>
                <w:sz w:val="17"/>
                <w:szCs w:val="17"/>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-0.2%</w:t>
            </w:r>
          </w:p>
        </w:tc>
        <w:tc>
          <w:tcPr>
            <w:tcW w:w="120" w:type="dxa"/>
            <w:vAlign w:val="bottom"/>
            <w:shd w:val="clear" w:color="auto" w:fill="CCEEFF"/>
          </w:tcPr>
          <w:p>
            <w:pPr>
              <w:spacing w:after="0"/>
              <w:rPr>
                <w:sz w:val="17"/>
                <w:szCs w:val="17"/>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-1.7%</w:t>
            </w:r>
          </w:p>
        </w:tc>
        <w:tc>
          <w:tcPr>
            <w:tcW w:w="160" w:type="dxa"/>
            <w:vAlign w:val="bottom"/>
            <w:shd w:val="clear" w:color="auto" w:fill="CCEEFF"/>
          </w:tcPr>
          <w:p>
            <w:pPr>
              <w:spacing w:after="0"/>
              <w:rPr>
                <w:sz w:val="17"/>
                <w:szCs w:val="17"/>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-0.6%</w:t>
            </w:r>
          </w:p>
        </w:tc>
        <w:tc>
          <w:tcPr>
            <w:tcW w:w="100" w:type="dxa"/>
            <w:vAlign w:val="bottom"/>
            <w:shd w:val="clear" w:color="auto" w:fill="CCEEFF"/>
          </w:tcPr>
          <w:p>
            <w:pPr>
              <w:spacing w:after="0"/>
              <w:rPr>
                <w:sz w:val="17"/>
                <w:szCs w:val="17"/>
                <w:color w:val="auto"/>
              </w:rPr>
            </w:pPr>
          </w:p>
        </w:tc>
        <w:tc>
          <w:tcPr>
            <w:tcW w:w="1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-6.4%</w:t>
            </w:r>
          </w:p>
        </w:tc>
        <w:tc>
          <w:tcPr>
            <w:tcW w:w="0" w:type="dxa"/>
            <w:vAlign w:val="bottom"/>
          </w:tcPr>
          <w:p>
            <w:pPr>
              <w:spacing w:after="0"/>
              <w:rPr>
                <w:sz w:val="1"/>
                <w:szCs w:val="1"/>
                <w:color w:val="auto"/>
              </w:rPr>
            </w:pPr>
          </w:p>
        </w:tc>
      </w:tr>
      <w:tr>
        <w:trPr>
          <w:trHeight w:val="195"/>
        </w:trPr>
        <w:tc>
          <w:tcPr>
            <w:tcW w:w="31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-50 Basis Points</w:t>
            </w: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0.0%</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-0.2%</w:t>
            </w:r>
          </w:p>
        </w:tc>
        <w:tc>
          <w:tcPr>
            <w:tcW w:w="16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-0.2%</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-2.3%</w:t>
            </w:r>
          </w:p>
        </w:tc>
        <w:tc>
          <w:tcPr>
            <w:tcW w:w="0" w:type="dxa"/>
            <w:vAlign w:val="bottom"/>
          </w:tcPr>
          <w:p>
            <w:pPr>
              <w:spacing w:after="0"/>
              <w:rPr>
                <w:sz w:val="1"/>
                <w:szCs w:val="1"/>
                <w:color w:val="auto"/>
              </w:rPr>
            </w:pPr>
          </w:p>
        </w:tc>
      </w:tr>
      <w:tr>
        <w:trPr>
          <w:trHeight w:val="210"/>
        </w:trPr>
        <w:tc>
          <w:tcPr>
            <w:tcW w:w="31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0.0%</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+0.4%</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0.0%</w:t>
            </w:r>
          </w:p>
        </w:tc>
        <w:tc>
          <w:tcPr>
            <w:tcW w:w="100" w:type="dxa"/>
            <w:vAlign w:val="bottom"/>
            <w:shd w:val="clear" w:color="auto" w:fill="CCEEFF"/>
          </w:tcPr>
          <w:p>
            <w:pPr>
              <w:spacing w:after="0"/>
              <w:rPr>
                <w:sz w:val="18"/>
                <w:szCs w:val="18"/>
                <w:color w:val="auto"/>
              </w:rPr>
            </w:pPr>
          </w:p>
        </w:tc>
        <w:tc>
          <w:tcPr>
            <w:tcW w:w="1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-0.3%</w:t>
            </w:r>
          </w:p>
        </w:tc>
        <w:tc>
          <w:tcPr>
            <w:tcW w:w="0" w:type="dxa"/>
            <w:vAlign w:val="bottom"/>
          </w:tcPr>
          <w:p>
            <w:pPr>
              <w:spacing w:after="0"/>
              <w:rPr>
                <w:sz w:val="1"/>
                <w:szCs w:val="1"/>
                <w:color w:val="auto"/>
              </w:rPr>
            </w:pPr>
          </w:p>
        </w:tc>
      </w:tr>
      <w:tr>
        <w:trPr>
          <w:trHeight w:val="195"/>
        </w:trPr>
        <w:tc>
          <w:tcPr>
            <w:tcW w:w="31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+25 Basis Points</w:t>
            </w: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-0.1%</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-1.2%</w:t>
            </w:r>
          </w:p>
        </w:tc>
        <w:tc>
          <w:tcPr>
            <w:tcW w:w="16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-0.1%</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-1.3%</w:t>
            </w:r>
          </w:p>
        </w:tc>
        <w:tc>
          <w:tcPr>
            <w:tcW w:w="0" w:type="dxa"/>
            <w:vAlign w:val="bottom"/>
          </w:tcPr>
          <w:p>
            <w:pPr>
              <w:spacing w:after="0"/>
              <w:rPr>
                <w:sz w:val="1"/>
                <w:szCs w:val="1"/>
                <w:color w:val="auto"/>
              </w:rPr>
            </w:pPr>
          </w:p>
        </w:tc>
      </w:tr>
      <w:tr>
        <w:trPr>
          <w:trHeight w:val="210"/>
        </w:trPr>
        <w:tc>
          <w:tcPr>
            <w:tcW w:w="310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+50 Basis Points</w:t>
            </w: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-0.3%</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-3.0%</w:t>
            </w:r>
          </w:p>
        </w:tc>
        <w:tc>
          <w:tcPr>
            <w:tcW w:w="160" w:type="dxa"/>
            <w:vAlign w:val="bottom"/>
            <w:shd w:val="clear" w:color="auto" w:fill="CCEEFF"/>
          </w:tcPr>
          <w:p>
            <w:pPr>
              <w:spacing w:after="0"/>
              <w:rPr>
                <w:sz w:val="18"/>
                <w:szCs w:val="18"/>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-0.4%</w:t>
            </w:r>
          </w:p>
        </w:tc>
        <w:tc>
          <w:tcPr>
            <w:tcW w:w="100" w:type="dxa"/>
            <w:vAlign w:val="bottom"/>
            <w:shd w:val="clear" w:color="auto" w:fill="CCEEFF"/>
          </w:tcPr>
          <w:p>
            <w:pPr>
              <w:spacing w:after="0"/>
              <w:rPr>
                <w:sz w:val="18"/>
                <w:szCs w:val="18"/>
                <w:color w:val="auto"/>
              </w:rPr>
            </w:pPr>
          </w:p>
        </w:tc>
        <w:tc>
          <w:tcPr>
            <w:tcW w:w="136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-3.8%</w:t>
            </w:r>
          </w:p>
        </w:tc>
        <w:tc>
          <w:tcPr>
            <w:tcW w:w="0" w:type="dxa"/>
            <w:vAlign w:val="bottom"/>
          </w:tcPr>
          <w:p>
            <w:pPr>
              <w:spacing w:after="0"/>
              <w:rPr>
                <w:sz w:val="1"/>
                <w:szCs w:val="1"/>
                <w:color w:val="auto"/>
              </w:rPr>
            </w:pPr>
          </w:p>
        </w:tc>
      </w:tr>
      <w:tr>
        <w:trPr>
          <w:trHeight w:val="188"/>
        </w:trPr>
        <w:tc>
          <w:tcPr>
            <w:tcW w:w="310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+75 Basis Points</w:t>
            </w: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-0.6%</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-5.5%</w:t>
            </w:r>
          </w:p>
        </w:tc>
        <w:tc>
          <w:tcPr>
            <w:tcW w:w="16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-0.7%</w:t>
            </w:r>
          </w:p>
        </w:tc>
        <w:tc>
          <w:tcPr>
            <w:tcW w:w="100" w:type="dxa"/>
            <w:vAlign w:val="bottom"/>
          </w:tcPr>
          <w:p>
            <w:pPr>
              <w:spacing w:after="0"/>
              <w:rPr>
                <w:sz w:val="16"/>
                <w:szCs w:val="16"/>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-7.4%</w:t>
            </w:r>
          </w:p>
        </w:tc>
        <w:tc>
          <w:tcPr>
            <w:tcW w:w="0" w:type="dxa"/>
            <w:vAlign w:val="bottom"/>
          </w:tcPr>
          <w:p>
            <w:pPr>
              <w:spacing w:after="0"/>
              <w:rPr>
                <w:sz w:val="1"/>
                <w:szCs w:val="1"/>
                <w:color w:val="auto"/>
              </w:rPr>
            </w:pPr>
          </w:p>
        </w:tc>
      </w:tr>
    </w:tbl>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 w:lineRule="exact"/>
        <w:rPr>
          <w:sz w:val="20"/>
          <w:szCs w:val="20"/>
          <w:color w:val="auto"/>
        </w:rPr>
      </w:pPr>
    </w:p>
    <w:p>
      <w:pPr>
        <w:ind w:left="660" w:right="20" w:hanging="328"/>
        <w:spacing w:after="0" w:line="259" w:lineRule="auto"/>
        <w:tabs>
          <w:tab w:leader="none" w:pos="660" w:val="left"/>
        </w:tabs>
        <w:numPr>
          <w:ilvl w:val="0"/>
          <w:numId w:val="3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Derived from models that are dependent on inputs and assumptions, assumes there are no changes in mortgage spreads and assumes a static portfolio. Actual results could differ materially from these estimates.</w:t>
      </w:r>
    </w:p>
    <w:p>
      <w:pPr>
        <w:ind w:left="660" w:hanging="328"/>
        <w:spacing w:after="0"/>
        <w:tabs>
          <w:tab w:leader="none" w:pos="660" w:val="left"/>
        </w:tabs>
        <w:numPr>
          <w:ilvl w:val="0"/>
          <w:numId w:val="35"/>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the effect of derivatives and other securities used for hedging purposes. Interest rates are assumed to be floored at 0% in down rate scenarios.</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Prepayment Risk</w:t>
      </w:r>
    </w:p>
    <w:p>
      <w:pPr>
        <w:spacing w:after="0" w:line="175" w:lineRule="exact"/>
        <w:rPr>
          <w:sz w:val="20"/>
          <w:szCs w:val="20"/>
          <w:color w:val="auto"/>
        </w:rPr>
      </w:pPr>
    </w:p>
    <w:p>
      <w:pPr>
        <w:jc w:val="both"/>
        <w:ind w:firstLine="486"/>
        <w:spacing w:after="0" w:line="266" w:lineRule="auto"/>
        <w:rPr>
          <w:sz w:val="20"/>
          <w:szCs w:val="20"/>
          <w:color w:val="auto"/>
        </w:rPr>
      </w:pPr>
      <w:r>
        <w:rPr>
          <w:rFonts w:ascii="Times New Roman" w:cs="Times New Roman" w:eastAsia="Times New Roman" w:hAnsi="Times New Roman"/>
          <w:sz w:val="18"/>
          <w:szCs w:val="18"/>
          <w:color w:val="auto"/>
        </w:rPr>
        <w:t>Prepayment risk is the risk that our assets will be repaid at a faster rate than anticipated. Interest rates and numerous other factors affect the rate of prepayments, such as housing prices, general economic conditions, loan age, size and loan-to-value ratios, and GSE buyouts of delinquent loans underlying our securities. Generally, declining mortgage rates increase the rate of prepayments, while rising rates have the opposite effect.</w:t>
      </w:r>
    </w:p>
    <w:p>
      <w:pPr>
        <w:spacing w:after="0" w:line="122" w:lineRule="exact"/>
        <w:rPr>
          <w:sz w:val="20"/>
          <w:szCs w:val="20"/>
          <w:color w:val="auto"/>
        </w:rPr>
      </w:pPr>
    </w:p>
    <w:p>
      <w:pPr>
        <w:jc w:val="both"/>
        <w:ind w:firstLine="486"/>
        <w:spacing w:after="0" w:line="258" w:lineRule="auto"/>
        <w:rPr>
          <w:sz w:val="20"/>
          <w:szCs w:val="20"/>
          <w:color w:val="auto"/>
        </w:rPr>
      </w:pPr>
      <w:r>
        <w:rPr>
          <w:rFonts w:ascii="Times New Roman" w:cs="Times New Roman" w:eastAsia="Times New Roman" w:hAnsi="Times New Roman"/>
          <w:sz w:val="18"/>
          <w:szCs w:val="18"/>
          <w:color w:val="auto"/>
        </w:rPr>
        <w:t>If our assets prepay at a faster rate than anticipated, we may be unable to reinvest the repayments at acceptable yields. If the proceeds are reinvested at lower yields than our existing assets, our net interest income would be negatively impacted. We also amortize or accrete premiums and discounts we pay or receive at purchase relative to the stated principal of our assets into interest income over their projected lives using the effective interest method. If the actual and estimated future prepayment experience differs from our prior estimates, we are required to record an adjustment to interest income for the impact of the cumulative difference in the effective yield.</w:t>
      </w:r>
    </w:p>
    <w:p>
      <w:pPr>
        <w:spacing w:after="0" w:line="1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Extension Risk</w:t>
      </w:r>
    </w:p>
    <w:p>
      <w:pPr>
        <w:spacing w:after="0" w:line="175"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Extension risk is the risk that our assets will be repaid at a slower rate than anticipated and generally increases when interest rates rise. In a rising or higher interest rate environment, we may be required to finance our investments at potentially higher costs without the ability to reinvest principal into higher yielding securities as a result of borrowers prepaying their mortgages at a slower pace than originally anticipated, adversely impacting our net interest spread, and thus our net interest income.</w:t>
      </w:r>
    </w:p>
    <w:p>
      <w:pPr>
        <w:spacing w:after="0" w:line="126"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As of March 31, 2022 and December 31, 2021, our investment securities (excluding TBAs) had a weighted average projected CPR of 7.9% and 10.9%, respectively, and a weighted average yield of 2.56% and 2.43%, respectively. The table below presents estimated weighted average projected CPRs and yields for our investment securities should interest rates go up or down instantaneously by 25, 50 and 75 basis points. Estimated yields exclude the impact of retroactive "catch-up" premium amortization adjustments for prior periods due to changes in the projected CPR assumption.</w:t>
      </w: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43" w:name="page44"/>
    <w:bookmarkEnd w:id="43"/>
    <w:p>
      <w:pPr>
        <w:jc w:val="center"/>
        <w:spacing w:after="0"/>
        <w:rPr>
          <w:sz w:val="20"/>
          <w:szCs w:val="20"/>
          <w:color w:val="auto"/>
        </w:rPr>
      </w:pPr>
      <w:r>
        <w:rPr>
          <w:rFonts w:ascii="Times New Roman" w:cs="Times New Roman" w:eastAsia="Times New Roman" w:hAnsi="Times New Roman"/>
          <w:sz w:val="14"/>
          <w:szCs w:val="14"/>
          <w:b w:val="1"/>
          <w:bCs w:val="1"/>
          <w:color w:val="auto"/>
        </w:rPr>
        <w:t xml:space="preserve">Interest Rate Sensitivity </w:t>
      </w:r>
      <w:r>
        <w:rPr>
          <w:rFonts w:ascii="Times New Roman" w:cs="Times New Roman" w:eastAsia="Times New Roman" w:hAnsi="Times New Roman"/>
          <w:sz w:val="18"/>
          <w:szCs w:val="18"/>
          <w:b w:val="1"/>
          <w:bCs w:val="1"/>
          <w:color w:val="auto"/>
          <w:vertAlign w:val="superscript"/>
        </w:rPr>
        <w:t>1</w:t>
      </w:r>
    </w:p>
    <w:p>
      <w:pPr>
        <w:spacing w:after="0" w:line="10" w:lineRule="exact"/>
        <w:rPr>
          <w:sz w:val="20"/>
          <w:szCs w:val="20"/>
          <w:color w:val="auto"/>
        </w:rPr>
      </w:pPr>
    </w:p>
    <w:tbl>
      <w:tblPr>
        <w:tblLayout w:type="fixed"/>
        <w:tblInd w:w="1280" w:type="dxa"/>
        <w:tblCellMar>
          <w:top w:w="0" w:type="dxa"/>
          <w:left w:w="0" w:type="dxa"/>
          <w:bottom w:w="0" w:type="dxa"/>
          <w:right w:w="0" w:type="dxa"/>
        </w:tblCellMar>
      </w:tblPr>
      <w:tr>
        <w:trPr>
          <w:trHeight w:val="193"/>
        </w:trPr>
        <w:tc>
          <w:tcPr>
            <w:tcW w:w="302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2840" w:type="dxa"/>
            <w:vAlign w:val="bottom"/>
            <w:tcBorders>
              <w:top w:val="single" w:sz="8" w:color="auto"/>
            </w:tcBorders>
            <w:gridSpan w:val="4"/>
          </w:tcPr>
          <w:p>
            <w:pPr>
              <w:ind w:left="86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2680" w:type="dxa"/>
            <w:vAlign w:val="bottom"/>
            <w:tcBorders>
              <w:top w:val="single" w:sz="8" w:color="auto"/>
            </w:tcBorders>
            <w:gridSpan w:val="3"/>
          </w:tcPr>
          <w:p>
            <w:pPr>
              <w:ind w:left="76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131"/>
        </w:trPr>
        <w:tc>
          <w:tcPr>
            <w:tcW w:w="318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Change in Interest Rate</w:t>
            </w:r>
          </w:p>
        </w:tc>
        <w:tc>
          <w:tcPr>
            <w:tcW w:w="1400" w:type="dxa"/>
            <w:vAlign w:val="bottom"/>
            <w:tcBorders>
              <w:top w:val="single" w:sz="8" w:color="auto"/>
            </w:tcBorders>
            <w:gridSpan w:val="2"/>
          </w:tcPr>
          <w:p>
            <w:pPr>
              <w:jc w:val="center"/>
              <w:ind w:right="120"/>
              <w:spacing w:after="0" w:line="131" w:lineRule="exact"/>
              <w:rPr>
                <w:sz w:val="20"/>
                <w:szCs w:val="20"/>
                <w:color w:val="auto"/>
              </w:rPr>
            </w:pPr>
            <w:r>
              <w:rPr>
                <w:rFonts w:ascii="Times New Roman" w:cs="Times New Roman" w:eastAsia="Times New Roman" w:hAnsi="Times New Roman"/>
                <w:sz w:val="14"/>
                <w:szCs w:val="14"/>
                <w:b w:val="1"/>
                <w:bCs w:val="1"/>
                <w:color w:val="auto"/>
              </w:rPr>
              <w:t>Weighted Average</w:t>
            </w:r>
          </w:p>
        </w:tc>
        <w:tc>
          <w:tcPr>
            <w:tcW w:w="128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Weighted Average</w:t>
            </w:r>
          </w:p>
        </w:tc>
        <w:tc>
          <w:tcPr>
            <w:tcW w:w="160" w:type="dxa"/>
            <w:vAlign w:val="bottom"/>
          </w:tcPr>
          <w:p>
            <w:pPr>
              <w:spacing w:after="0"/>
              <w:rPr>
                <w:sz w:val="11"/>
                <w:szCs w:val="11"/>
                <w:color w:val="auto"/>
              </w:rPr>
            </w:pPr>
          </w:p>
        </w:tc>
        <w:tc>
          <w:tcPr>
            <w:tcW w:w="1380" w:type="dxa"/>
            <w:vAlign w:val="bottom"/>
            <w:tcBorders>
              <w:top w:val="single" w:sz="8" w:color="auto"/>
            </w:tcBorders>
            <w:gridSpan w:val="2"/>
          </w:tcPr>
          <w:p>
            <w:pPr>
              <w:jc w:val="center"/>
              <w:ind w:right="100"/>
              <w:spacing w:after="0" w:line="131" w:lineRule="exact"/>
              <w:rPr>
                <w:sz w:val="20"/>
                <w:szCs w:val="20"/>
                <w:color w:val="auto"/>
              </w:rPr>
            </w:pPr>
            <w:r>
              <w:rPr>
                <w:rFonts w:ascii="Times New Roman" w:cs="Times New Roman" w:eastAsia="Times New Roman" w:hAnsi="Times New Roman"/>
                <w:sz w:val="14"/>
                <w:szCs w:val="14"/>
                <w:b w:val="1"/>
                <w:bCs w:val="1"/>
                <w:color w:val="auto"/>
              </w:rPr>
              <w:t>Weighted Average</w:t>
            </w:r>
          </w:p>
        </w:tc>
        <w:tc>
          <w:tcPr>
            <w:tcW w:w="1300" w:type="dxa"/>
            <w:vAlign w:val="bottom"/>
            <w:tcBorders>
              <w:top w:val="single" w:sz="8" w:color="auto"/>
            </w:tcBorders>
          </w:tcPr>
          <w:p>
            <w:pPr>
              <w:jc w:val="center"/>
              <w:spacing w:after="0" w:line="131" w:lineRule="exact"/>
              <w:rPr>
                <w:sz w:val="20"/>
                <w:szCs w:val="20"/>
                <w:color w:val="auto"/>
              </w:rPr>
            </w:pPr>
            <w:r>
              <w:rPr>
                <w:rFonts w:ascii="Times New Roman" w:cs="Times New Roman" w:eastAsia="Times New Roman" w:hAnsi="Times New Roman"/>
                <w:sz w:val="14"/>
                <w:szCs w:val="14"/>
                <w:b w:val="1"/>
                <w:bCs w:val="1"/>
                <w:color w:val="auto"/>
              </w:rPr>
              <w:t>Weighted Average</w:t>
            </w:r>
          </w:p>
        </w:tc>
        <w:tc>
          <w:tcPr>
            <w:tcW w:w="0" w:type="dxa"/>
            <w:vAlign w:val="bottom"/>
          </w:tcPr>
          <w:p>
            <w:pPr>
              <w:spacing w:after="0"/>
              <w:rPr>
                <w:sz w:val="1"/>
                <w:szCs w:val="1"/>
                <w:color w:val="auto"/>
              </w:rPr>
            </w:pPr>
          </w:p>
        </w:tc>
      </w:tr>
      <w:tr>
        <w:trPr>
          <w:trHeight w:val="203"/>
        </w:trPr>
        <w:tc>
          <w:tcPr>
            <w:tcW w:w="3180" w:type="dxa"/>
            <w:vAlign w:val="bottom"/>
            <w:gridSpan w:val="2"/>
            <w:vMerge w:val="continue"/>
          </w:tcPr>
          <w:p>
            <w:pPr>
              <w:spacing w:after="0"/>
              <w:rPr>
                <w:sz w:val="17"/>
                <w:szCs w:val="17"/>
                <w:color w:val="auto"/>
              </w:rPr>
            </w:pPr>
          </w:p>
        </w:tc>
        <w:tc>
          <w:tcPr>
            <w:tcW w:w="1400" w:type="dxa"/>
            <w:vAlign w:val="bottom"/>
            <w:gridSpan w:val="2"/>
          </w:tcPr>
          <w:p>
            <w:pPr>
              <w:jc w:val="center"/>
              <w:ind w:right="120"/>
              <w:spacing w:after="0"/>
              <w:rPr>
                <w:sz w:val="20"/>
                <w:szCs w:val="20"/>
                <w:color w:val="auto"/>
              </w:rPr>
            </w:pPr>
            <w:r>
              <w:rPr>
                <w:rFonts w:ascii="Times New Roman" w:cs="Times New Roman" w:eastAsia="Times New Roman" w:hAnsi="Times New Roman"/>
                <w:sz w:val="14"/>
                <w:szCs w:val="14"/>
                <w:b w:val="1"/>
                <w:bCs w:val="1"/>
                <w:color w:val="auto"/>
              </w:rPr>
              <w:t>Projected CPR</w:t>
            </w:r>
          </w:p>
        </w:tc>
        <w:tc>
          <w:tcPr>
            <w:tcW w:w="1440" w:type="dxa"/>
            <w:vAlign w:val="bottom"/>
            <w:gridSpan w:val="2"/>
          </w:tcPr>
          <w:p>
            <w:pPr>
              <w:jc w:val="center"/>
              <w:ind w:right="160"/>
              <w:spacing w:after="0" w:line="202" w:lineRule="exact"/>
              <w:rPr>
                <w:sz w:val="20"/>
                <w:szCs w:val="20"/>
                <w:color w:val="auto"/>
              </w:rPr>
            </w:pPr>
            <w:r>
              <w:rPr>
                <w:rFonts w:ascii="Times New Roman" w:cs="Times New Roman" w:eastAsia="Times New Roman" w:hAnsi="Times New Roman"/>
                <w:sz w:val="14"/>
                <w:szCs w:val="14"/>
                <w:b w:val="1"/>
                <w:bCs w:val="1"/>
                <w:color w:val="auto"/>
                <w:w w:val="98"/>
              </w:rPr>
              <w:t xml:space="preserve">Asset Yield </w:t>
            </w:r>
            <w:r>
              <w:rPr>
                <w:rFonts w:ascii="Times New Roman" w:cs="Times New Roman" w:eastAsia="Times New Roman" w:hAnsi="Times New Roman"/>
                <w:sz w:val="18"/>
                <w:szCs w:val="18"/>
                <w:b w:val="1"/>
                <w:bCs w:val="1"/>
                <w:color w:val="auto"/>
                <w:w w:val="98"/>
                <w:vertAlign w:val="superscript"/>
              </w:rPr>
              <w:t>2</w:t>
            </w:r>
          </w:p>
        </w:tc>
        <w:tc>
          <w:tcPr>
            <w:tcW w:w="138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Projected CPR</w:t>
            </w:r>
          </w:p>
        </w:tc>
        <w:tc>
          <w:tcPr>
            <w:tcW w:w="1300" w:type="dxa"/>
            <w:vAlign w:val="bottom"/>
          </w:tcPr>
          <w:p>
            <w:pPr>
              <w:jc w:val="center"/>
              <w:spacing w:after="0" w:line="202" w:lineRule="exact"/>
              <w:rPr>
                <w:sz w:val="20"/>
                <w:szCs w:val="20"/>
                <w:color w:val="auto"/>
              </w:rPr>
            </w:pPr>
            <w:r>
              <w:rPr>
                <w:rFonts w:ascii="Times New Roman" w:cs="Times New Roman" w:eastAsia="Times New Roman" w:hAnsi="Times New Roman"/>
                <w:sz w:val="14"/>
                <w:szCs w:val="14"/>
                <w:b w:val="1"/>
                <w:bCs w:val="1"/>
                <w:color w:val="auto"/>
              </w:rPr>
              <w:t xml:space="preserve">Asset Yield </w:t>
            </w:r>
            <w:r>
              <w:rPr>
                <w:rFonts w:ascii="Times New Roman" w:cs="Times New Roman" w:eastAsia="Times New Roman" w:hAnsi="Times New Roman"/>
                <w:sz w:val="18"/>
                <w:szCs w:val="18"/>
                <w:b w:val="1"/>
                <w:bCs w:val="1"/>
                <w:color w:val="auto"/>
                <w:vertAlign w:val="superscript"/>
              </w:rPr>
              <w:t>2</w:t>
            </w:r>
          </w:p>
        </w:tc>
        <w:tc>
          <w:tcPr>
            <w:tcW w:w="0" w:type="dxa"/>
            <w:vAlign w:val="bottom"/>
          </w:tcPr>
          <w:p>
            <w:pPr>
              <w:spacing w:after="0"/>
              <w:rPr>
                <w:sz w:val="1"/>
                <w:szCs w:val="1"/>
                <w:color w:val="auto"/>
              </w:rPr>
            </w:pPr>
          </w:p>
        </w:tc>
      </w:tr>
      <w:tr>
        <w:trPr>
          <w:trHeight w:val="196"/>
        </w:trPr>
        <w:tc>
          <w:tcPr>
            <w:tcW w:w="30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-75 Basis Points</w:t>
            </w:r>
          </w:p>
        </w:tc>
        <w:tc>
          <w:tcPr>
            <w:tcW w:w="160" w:type="dxa"/>
            <w:vAlign w:val="bottom"/>
            <w:tcBorders>
              <w:top w:val="single" w:sz="8" w:color="CCEEFF"/>
            </w:tcBorders>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9.9%</w:t>
            </w:r>
          </w:p>
        </w:tc>
        <w:tc>
          <w:tcPr>
            <w:tcW w:w="120" w:type="dxa"/>
            <w:vAlign w:val="bottom"/>
            <w:tcBorders>
              <w:top w:val="single" w:sz="8" w:color="CCEEFF"/>
            </w:tcBorders>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2.46%</w:t>
            </w:r>
          </w:p>
        </w:tc>
        <w:tc>
          <w:tcPr>
            <w:tcW w:w="160" w:type="dxa"/>
            <w:vAlign w:val="bottom"/>
            <w:tcBorders>
              <w:top w:val="single" w:sz="8" w:color="CCEEFF"/>
            </w:tcBorders>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17.0%</w:t>
            </w:r>
          </w:p>
        </w:tc>
        <w:tc>
          <w:tcPr>
            <w:tcW w:w="100" w:type="dxa"/>
            <w:vAlign w:val="bottom"/>
            <w:tcBorders>
              <w:top w:val="single" w:sz="8" w:color="CCEEFF"/>
            </w:tcBorders>
            <w:shd w:val="clear" w:color="auto" w:fill="CCEEFF"/>
          </w:tcPr>
          <w:p>
            <w:pPr>
              <w:spacing w:after="0"/>
              <w:rPr>
                <w:sz w:val="17"/>
                <w:szCs w:val="17"/>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2.21%</w:t>
            </w:r>
          </w:p>
        </w:tc>
        <w:tc>
          <w:tcPr>
            <w:tcW w:w="0" w:type="dxa"/>
            <w:vAlign w:val="bottom"/>
          </w:tcPr>
          <w:p>
            <w:pPr>
              <w:spacing w:after="0"/>
              <w:rPr>
                <w:sz w:val="1"/>
                <w:szCs w:val="1"/>
                <w:color w:val="auto"/>
              </w:rPr>
            </w:pPr>
          </w:p>
        </w:tc>
      </w:tr>
      <w:tr>
        <w:trPr>
          <w:trHeight w:val="195"/>
        </w:trPr>
        <w:tc>
          <w:tcPr>
            <w:tcW w:w="31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-50 Basis Points</w:t>
            </w: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9.1%</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2.49%</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14.1%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2.30%</w:t>
            </w:r>
          </w:p>
        </w:tc>
        <w:tc>
          <w:tcPr>
            <w:tcW w:w="0" w:type="dxa"/>
            <w:vAlign w:val="bottom"/>
          </w:tcPr>
          <w:p>
            <w:pPr>
              <w:spacing w:after="0"/>
              <w:rPr>
                <w:sz w:val="1"/>
                <w:szCs w:val="1"/>
                <w:color w:val="auto"/>
              </w:rPr>
            </w:pPr>
          </w:p>
        </w:tc>
      </w:tr>
      <w:tr>
        <w:trPr>
          <w:trHeight w:val="210"/>
        </w:trPr>
        <w:tc>
          <w:tcPr>
            <w:tcW w:w="31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8.4%</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2.53%</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12.2%</w:t>
            </w:r>
          </w:p>
        </w:tc>
        <w:tc>
          <w:tcPr>
            <w:tcW w:w="100" w:type="dxa"/>
            <w:vAlign w:val="bottom"/>
            <w:shd w:val="clear" w:color="auto" w:fill="CCEEFF"/>
          </w:tcPr>
          <w:p>
            <w:pPr>
              <w:spacing w:after="0"/>
              <w:rPr>
                <w:sz w:val="18"/>
                <w:szCs w:val="18"/>
                <w:color w:val="auto"/>
              </w:rPr>
            </w:pPr>
          </w:p>
        </w:tc>
        <w:tc>
          <w:tcPr>
            <w:tcW w:w="1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2.37%</w:t>
            </w:r>
          </w:p>
        </w:tc>
        <w:tc>
          <w:tcPr>
            <w:tcW w:w="0" w:type="dxa"/>
            <w:vAlign w:val="bottom"/>
          </w:tcPr>
          <w:p>
            <w:pPr>
              <w:spacing w:after="0"/>
              <w:rPr>
                <w:sz w:val="1"/>
                <w:szCs w:val="1"/>
                <w:color w:val="auto"/>
              </w:rPr>
            </w:pPr>
          </w:p>
        </w:tc>
      </w:tr>
      <w:tr>
        <w:trPr>
          <w:trHeight w:val="195"/>
        </w:trPr>
        <w:tc>
          <w:tcPr>
            <w:tcW w:w="3180" w:type="dxa"/>
            <w:vAlign w:val="bottom"/>
            <w:gridSpan w:val="2"/>
          </w:tcPr>
          <w:p>
            <w:pPr>
              <w:ind w:left="80"/>
              <w:spacing w:after="0"/>
              <w:rPr>
                <w:sz w:val="20"/>
                <w:szCs w:val="20"/>
                <w:color w:val="auto"/>
              </w:rPr>
            </w:pPr>
            <w:r>
              <w:rPr>
                <w:rFonts w:ascii="Times New Roman" w:cs="Times New Roman" w:eastAsia="Times New Roman" w:hAnsi="Times New Roman"/>
                <w:sz w:val="14"/>
                <w:szCs w:val="14"/>
                <w:color w:val="auto"/>
              </w:rPr>
              <w:t>Actual as of Period End</w:t>
            </w: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7.9%</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2.56%</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10.9%</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2.43%</w:t>
            </w:r>
          </w:p>
        </w:tc>
        <w:tc>
          <w:tcPr>
            <w:tcW w:w="0" w:type="dxa"/>
            <w:vAlign w:val="bottom"/>
          </w:tcPr>
          <w:p>
            <w:pPr>
              <w:spacing w:after="0"/>
              <w:rPr>
                <w:sz w:val="1"/>
                <w:szCs w:val="1"/>
                <w:color w:val="auto"/>
              </w:rPr>
            </w:pPr>
          </w:p>
        </w:tc>
      </w:tr>
      <w:tr>
        <w:trPr>
          <w:trHeight w:val="210"/>
        </w:trPr>
        <w:tc>
          <w:tcPr>
            <w:tcW w:w="31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+25 Basis Points</w:t>
            </w: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7.4%</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2.58%</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9.9%</w:t>
            </w:r>
          </w:p>
        </w:tc>
        <w:tc>
          <w:tcPr>
            <w:tcW w:w="100" w:type="dxa"/>
            <w:vAlign w:val="bottom"/>
            <w:shd w:val="clear" w:color="auto" w:fill="CCEEFF"/>
          </w:tcPr>
          <w:p>
            <w:pPr>
              <w:spacing w:after="0"/>
              <w:rPr>
                <w:sz w:val="18"/>
                <w:szCs w:val="18"/>
                <w:color w:val="auto"/>
              </w:rPr>
            </w:pPr>
          </w:p>
        </w:tc>
        <w:tc>
          <w:tcPr>
            <w:tcW w:w="1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2.47%</w:t>
            </w:r>
          </w:p>
        </w:tc>
        <w:tc>
          <w:tcPr>
            <w:tcW w:w="0" w:type="dxa"/>
            <w:vAlign w:val="bottom"/>
          </w:tcPr>
          <w:p>
            <w:pPr>
              <w:spacing w:after="0"/>
              <w:rPr>
                <w:sz w:val="1"/>
                <w:szCs w:val="1"/>
                <w:color w:val="auto"/>
              </w:rPr>
            </w:pPr>
          </w:p>
        </w:tc>
      </w:tr>
      <w:tr>
        <w:trPr>
          <w:trHeight w:val="195"/>
        </w:trPr>
        <w:tc>
          <w:tcPr>
            <w:tcW w:w="318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+50 Basis Points</w:t>
            </w: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6.9%</w:t>
            </w:r>
          </w:p>
        </w:tc>
        <w:tc>
          <w:tcPr>
            <w:tcW w:w="12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2.60%</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9.1%</w:t>
            </w:r>
          </w:p>
        </w:tc>
        <w:tc>
          <w:tcPr>
            <w:tcW w:w="100" w:type="dxa"/>
            <w:vAlign w:val="bottom"/>
          </w:tcPr>
          <w:p>
            <w:pPr>
              <w:spacing w:after="0"/>
              <w:rPr>
                <w:sz w:val="16"/>
                <w:szCs w:val="16"/>
                <w:color w:val="auto"/>
              </w:rPr>
            </w:pPr>
          </w:p>
        </w:tc>
        <w:tc>
          <w:tcPr>
            <w:tcW w:w="13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2.51%</w:t>
            </w:r>
          </w:p>
        </w:tc>
        <w:tc>
          <w:tcPr>
            <w:tcW w:w="0" w:type="dxa"/>
            <w:vAlign w:val="bottom"/>
          </w:tcPr>
          <w:p>
            <w:pPr>
              <w:spacing w:after="0"/>
              <w:rPr>
                <w:sz w:val="1"/>
                <w:szCs w:val="1"/>
                <w:color w:val="auto"/>
              </w:rPr>
            </w:pPr>
          </w:p>
        </w:tc>
      </w:tr>
      <w:tr>
        <w:trPr>
          <w:trHeight w:val="210"/>
        </w:trPr>
        <w:tc>
          <w:tcPr>
            <w:tcW w:w="318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+75 Basis Points</w:t>
            </w: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6.5%</w:t>
            </w:r>
          </w:p>
        </w:tc>
        <w:tc>
          <w:tcPr>
            <w:tcW w:w="12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2.62%</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8.4%</w:t>
            </w:r>
          </w:p>
        </w:tc>
        <w:tc>
          <w:tcPr>
            <w:tcW w:w="100" w:type="dxa"/>
            <w:vAlign w:val="bottom"/>
            <w:shd w:val="clear" w:color="auto" w:fill="CCEEFF"/>
          </w:tcPr>
          <w:p>
            <w:pPr>
              <w:spacing w:after="0"/>
              <w:rPr>
                <w:sz w:val="18"/>
                <w:szCs w:val="18"/>
                <w:color w:val="auto"/>
              </w:rPr>
            </w:pPr>
          </w:p>
        </w:tc>
        <w:tc>
          <w:tcPr>
            <w:tcW w:w="1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2.54%</w:t>
            </w:r>
          </w:p>
        </w:tc>
        <w:tc>
          <w:tcPr>
            <w:tcW w:w="0" w:type="dxa"/>
            <w:vAlign w:val="bottom"/>
          </w:tcPr>
          <w:p>
            <w:pPr>
              <w:spacing w:after="0"/>
              <w:rPr>
                <w:sz w:val="1"/>
                <w:szCs w:val="1"/>
                <w:color w:val="auto"/>
              </w:rPr>
            </w:pPr>
          </w:p>
        </w:tc>
      </w:tr>
    </w:tbl>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line="250" w:lineRule="auto"/>
        <w:tabs>
          <w:tab w:leader="none" w:pos="660" w:val="left"/>
        </w:tabs>
        <w:numPr>
          <w:ilvl w:val="0"/>
          <w:numId w:val="3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Derived from models that are dependent on inputs and assumptions and assumes a static portfolio. Actual results could differ materially from these estimates. Table excludes TBA securities.</w:t>
      </w:r>
    </w:p>
    <w:p>
      <w:pPr>
        <w:ind w:left="660" w:hanging="328"/>
        <w:spacing w:after="0"/>
        <w:tabs>
          <w:tab w:leader="none" w:pos="660" w:val="left"/>
        </w:tabs>
        <w:numPr>
          <w:ilvl w:val="0"/>
          <w:numId w:val="36"/>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Asset yield based on historical cost basis and does not include the impact of retroactive "catch-up" premium amortization adjustments due to changes in projected CPR.</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Spread Risk</w:t>
      </w:r>
    </w:p>
    <w:p>
      <w:pPr>
        <w:spacing w:after="0" w:line="175" w:lineRule="exact"/>
        <w:rPr>
          <w:sz w:val="20"/>
          <w:szCs w:val="20"/>
          <w:color w:val="auto"/>
        </w:rPr>
      </w:pPr>
    </w:p>
    <w:p>
      <w:pPr>
        <w:jc w:val="both"/>
        <w:ind w:firstLine="486"/>
        <w:spacing w:after="0" w:line="261" w:lineRule="auto"/>
        <w:rPr>
          <w:sz w:val="20"/>
          <w:szCs w:val="20"/>
          <w:color w:val="auto"/>
        </w:rPr>
      </w:pPr>
      <w:r>
        <w:rPr>
          <w:rFonts w:ascii="Times New Roman" w:cs="Times New Roman" w:eastAsia="Times New Roman" w:hAnsi="Times New Roman"/>
          <w:sz w:val="18"/>
          <w:szCs w:val="18"/>
          <w:color w:val="auto"/>
        </w:rPr>
        <w:t>Spread risk is the risk that the market spread between the yield on our assets and the yield on benchmark interest rates linked to our interest rate hedges, such as U.S. Treasury rates and interest rate swap rates, may vary. As a levered investor in mortgage-backed securities, spread risk is an inherent component of our investment strategy. Therefore, although we use hedging instruments to attempt to protect against moves in interest rates, our hedges are generally not designed to protect against spread risk, and our tangible net book value could decline if spreads widen.</w:t>
      </w:r>
    </w:p>
    <w:p>
      <w:pPr>
        <w:spacing w:after="0" w:line="126" w:lineRule="exact"/>
        <w:rPr>
          <w:sz w:val="20"/>
          <w:szCs w:val="20"/>
          <w:color w:val="auto"/>
        </w:rPr>
      </w:pPr>
    </w:p>
    <w:p>
      <w:pPr>
        <w:jc w:val="both"/>
        <w:ind w:firstLine="486"/>
        <w:spacing w:after="0" w:line="254" w:lineRule="auto"/>
        <w:rPr>
          <w:sz w:val="20"/>
          <w:szCs w:val="20"/>
          <w:color w:val="auto"/>
        </w:rPr>
      </w:pPr>
      <w:r>
        <w:rPr>
          <w:rFonts w:ascii="Times New Roman" w:cs="Times New Roman" w:eastAsia="Times New Roman" w:hAnsi="Times New Roman"/>
          <w:sz w:val="18"/>
          <w:szCs w:val="18"/>
          <w:color w:val="auto"/>
        </w:rPr>
        <w:t>Fluctuations in mortgage spreads can occur due to a variety of factors, including changes in interest rates, prepayment expectations, actual or anticipated monetary policy actions by the U.S. and foreign central banks, liquidity conditions, required rates of returns on different assets and other market supply and demand factors. The table below quantifies the estimated changes in the fair value of our assets, net of hedges, and our tangible net book value per common share as of March 31, 2022 and December 31, 2021 should spreads widen or tighten by 10, 25 and 50 basis points. The estimated impact of changes in spreads is in addition to our interest rate shock sensitivity included in the interest rate shock table above. The table below assumes a spread duration of 6.0 and 5.4 years as of March 31, 2022 and December 31, 2021, respectively, based on interest rates and prices as of such dates; however, our portfolio's sensitivity to mortgage spread changes will vary with changes in interest rates and in the size and composition of our portfolio. Therefore, actual results could differ materially from our estimates.</w:t>
      </w:r>
    </w:p>
    <w:p>
      <w:pPr>
        <w:spacing w:after="0" w:line="1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4"/>
          <w:szCs w:val="14"/>
          <w:b w:val="1"/>
          <w:bCs w:val="1"/>
          <w:color w:val="auto"/>
        </w:rPr>
        <w:t xml:space="preserve">Spread Sensitivity </w:t>
      </w:r>
      <w:r>
        <w:rPr>
          <w:rFonts w:ascii="Times New Roman" w:cs="Times New Roman" w:eastAsia="Times New Roman" w:hAnsi="Times New Roman"/>
          <w:sz w:val="18"/>
          <w:szCs w:val="18"/>
          <w:b w:val="1"/>
          <w:bCs w:val="1"/>
          <w:color w:val="auto"/>
          <w:vertAlign w:val="superscript"/>
        </w:rPr>
        <w:t>1,2</w:t>
      </w:r>
    </w:p>
    <w:p>
      <w:pPr>
        <w:spacing w:after="0" w:line="10" w:lineRule="exact"/>
        <w:rPr>
          <w:sz w:val="20"/>
          <w:szCs w:val="20"/>
          <w:color w:val="auto"/>
        </w:rPr>
      </w:pPr>
    </w:p>
    <w:tbl>
      <w:tblPr>
        <w:tblLayout w:type="fixed"/>
        <w:tblInd w:w="1240" w:type="dxa"/>
        <w:tblCellMar>
          <w:top w:w="0" w:type="dxa"/>
          <w:left w:w="0" w:type="dxa"/>
          <w:bottom w:w="0" w:type="dxa"/>
          <w:right w:w="0" w:type="dxa"/>
        </w:tblCellMar>
      </w:tblPr>
      <w:tr>
        <w:trPr>
          <w:trHeight w:val="193"/>
        </w:trPr>
        <w:tc>
          <w:tcPr>
            <w:tcW w:w="3000" w:type="dxa"/>
            <w:vAlign w:val="bottom"/>
            <w:tcBorders>
              <w:top w:val="single" w:sz="8" w:color="auto"/>
            </w:tcBorders>
          </w:tcPr>
          <w:p>
            <w:pPr>
              <w:spacing w:after="0"/>
              <w:rPr>
                <w:sz w:val="16"/>
                <w:szCs w:val="16"/>
                <w:color w:val="auto"/>
              </w:rPr>
            </w:pPr>
          </w:p>
        </w:tc>
        <w:tc>
          <w:tcPr>
            <w:tcW w:w="160" w:type="dxa"/>
            <w:vAlign w:val="bottom"/>
            <w:tcBorders>
              <w:top w:val="single" w:sz="8" w:color="auto"/>
            </w:tcBorders>
          </w:tcPr>
          <w:p>
            <w:pPr>
              <w:spacing w:after="0"/>
              <w:rPr>
                <w:sz w:val="16"/>
                <w:szCs w:val="16"/>
                <w:color w:val="auto"/>
              </w:rPr>
            </w:pPr>
          </w:p>
        </w:tc>
        <w:tc>
          <w:tcPr>
            <w:tcW w:w="2880" w:type="dxa"/>
            <w:vAlign w:val="bottom"/>
            <w:tcBorders>
              <w:top w:val="single" w:sz="8" w:color="auto"/>
            </w:tcBorders>
            <w:gridSpan w:val="4"/>
          </w:tcPr>
          <w:p>
            <w:pPr>
              <w:ind w:left="880"/>
              <w:spacing w:after="0"/>
              <w:rPr>
                <w:sz w:val="20"/>
                <w:szCs w:val="20"/>
                <w:color w:val="auto"/>
              </w:rPr>
            </w:pPr>
            <w:r>
              <w:rPr>
                <w:rFonts w:ascii="Times New Roman" w:cs="Times New Roman" w:eastAsia="Times New Roman" w:hAnsi="Times New Roman"/>
                <w:sz w:val="14"/>
                <w:szCs w:val="14"/>
                <w:b w:val="1"/>
                <w:bCs w:val="1"/>
                <w:color w:val="auto"/>
              </w:rPr>
              <w:t>March 31, 2022</w:t>
            </w:r>
          </w:p>
        </w:tc>
        <w:tc>
          <w:tcPr>
            <w:tcW w:w="2720" w:type="dxa"/>
            <w:vAlign w:val="bottom"/>
            <w:tcBorders>
              <w:top w:val="single" w:sz="8" w:color="auto"/>
            </w:tcBorders>
            <w:gridSpan w:val="3"/>
          </w:tcPr>
          <w:p>
            <w:pPr>
              <w:ind w:left="780"/>
              <w:spacing w:after="0"/>
              <w:rPr>
                <w:sz w:val="20"/>
                <w:szCs w:val="20"/>
                <w:color w:val="auto"/>
              </w:rPr>
            </w:pPr>
            <w:r>
              <w:rPr>
                <w:rFonts w:ascii="Times New Roman" w:cs="Times New Roman" w:eastAsia="Times New Roman" w:hAnsi="Times New Roman"/>
                <w:sz w:val="14"/>
                <w:szCs w:val="14"/>
                <w:b w:val="1"/>
                <w:bCs w:val="1"/>
                <w:color w:val="auto"/>
              </w:rPr>
              <w:t>December 31, 2021</w:t>
            </w:r>
          </w:p>
        </w:tc>
        <w:tc>
          <w:tcPr>
            <w:tcW w:w="0" w:type="dxa"/>
            <w:vAlign w:val="bottom"/>
          </w:tcPr>
          <w:p>
            <w:pPr>
              <w:spacing w:after="0"/>
              <w:rPr>
                <w:sz w:val="1"/>
                <w:szCs w:val="1"/>
                <w:color w:val="auto"/>
              </w:rPr>
            </w:pPr>
          </w:p>
        </w:tc>
      </w:tr>
      <w:tr>
        <w:trPr>
          <w:trHeight w:val="134"/>
        </w:trPr>
        <w:tc>
          <w:tcPr>
            <w:tcW w:w="30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Estimated Change</w:t>
            </w:r>
          </w:p>
        </w:tc>
        <w:tc>
          <w:tcPr>
            <w:tcW w:w="1320" w:type="dxa"/>
            <w:vAlign w:val="bottom"/>
            <w:tcBorders>
              <w:top w:val="single" w:sz="8" w:color="auto"/>
            </w:tcBorders>
          </w:tcPr>
          <w:p>
            <w:pPr>
              <w:jc w:val="center"/>
              <w:spacing w:after="0" w:line="134" w:lineRule="exact"/>
              <w:rPr>
                <w:sz w:val="20"/>
                <w:szCs w:val="20"/>
                <w:color w:val="auto"/>
              </w:rPr>
            </w:pPr>
            <w:r>
              <w:rPr>
                <w:rFonts w:ascii="Times New Roman" w:cs="Times New Roman" w:eastAsia="Times New Roman" w:hAnsi="Times New Roman"/>
                <w:sz w:val="14"/>
                <w:szCs w:val="14"/>
                <w:b w:val="1"/>
                <w:bCs w:val="1"/>
                <w:color w:val="auto"/>
              </w:rPr>
              <w:t>Estimated Change in</w:t>
            </w:r>
          </w:p>
        </w:tc>
        <w:tc>
          <w:tcPr>
            <w:tcW w:w="160" w:type="dxa"/>
            <w:vAlign w:val="bottom"/>
          </w:tcPr>
          <w:p>
            <w:pPr>
              <w:spacing w:after="0"/>
              <w:rPr>
                <w:sz w:val="11"/>
                <w:szCs w:val="11"/>
                <w:color w:val="auto"/>
              </w:rPr>
            </w:pPr>
          </w:p>
        </w:tc>
        <w:tc>
          <w:tcPr>
            <w:tcW w:w="1400" w:type="dxa"/>
            <w:vAlign w:val="bottom"/>
            <w:tcBorders>
              <w:top w:val="single" w:sz="8" w:color="auto"/>
            </w:tcBorders>
            <w:gridSpan w:val="2"/>
            <w:vMerge w:val="restart"/>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rPr>
              <w:t>Estimated Change</w:t>
            </w:r>
          </w:p>
        </w:tc>
        <w:tc>
          <w:tcPr>
            <w:tcW w:w="1320" w:type="dxa"/>
            <w:vAlign w:val="bottom"/>
            <w:tcBorders>
              <w:top w:val="single" w:sz="8" w:color="auto"/>
            </w:tcBorders>
          </w:tcPr>
          <w:p>
            <w:pPr>
              <w:jc w:val="center"/>
              <w:spacing w:after="0" w:line="134" w:lineRule="exact"/>
              <w:rPr>
                <w:sz w:val="20"/>
                <w:szCs w:val="20"/>
                <w:color w:val="auto"/>
              </w:rPr>
            </w:pPr>
            <w:r>
              <w:rPr>
                <w:rFonts w:ascii="Times New Roman" w:cs="Times New Roman" w:eastAsia="Times New Roman" w:hAnsi="Times New Roman"/>
                <w:sz w:val="14"/>
                <w:szCs w:val="14"/>
                <w:b w:val="1"/>
                <w:bCs w:val="1"/>
                <w:color w:val="auto"/>
              </w:rPr>
              <w:t>Estimated Change in</w:t>
            </w:r>
          </w:p>
        </w:tc>
        <w:tc>
          <w:tcPr>
            <w:tcW w:w="0" w:type="dxa"/>
            <w:vAlign w:val="bottom"/>
          </w:tcPr>
          <w:p>
            <w:pPr>
              <w:spacing w:after="0"/>
              <w:rPr>
                <w:sz w:val="1"/>
                <w:szCs w:val="1"/>
                <w:color w:val="auto"/>
              </w:rPr>
            </w:pPr>
          </w:p>
        </w:tc>
      </w:tr>
      <w:tr>
        <w:trPr>
          <w:trHeight w:val="146"/>
        </w:trPr>
        <w:tc>
          <w:tcPr>
            <w:tcW w:w="30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400" w:type="dxa"/>
            <w:vAlign w:val="bottom"/>
            <w:gridSpan w:val="2"/>
            <w:vMerge w:val="continue"/>
          </w:tcPr>
          <w:p>
            <w:pPr>
              <w:spacing w:after="0"/>
              <w:rPr>
                <w:sz w:val="12"/>
                <w:szCs w:val="12"/>
                <w:color w:val="auto"/>
              </w:rPr>
            </w:pPr>
          </w:p>
        </w:tc>
        <w:tc>
          <w:tcPr>
            <w:tcW w:w="1480" w:type="dxa"/>
            <w:vAlign w:val="bottom"/>
            <w:gridSpan w:val="2"/>
          </w:tcPr>
          <w:p>
            <w:pPr>
              <w:jc w:val="center"/>
              <w:ind w:right="140"/>
              <w:spacing w:after="0" w:line="146" w:lineRule="exact"/>
              <w:rPr>
                <w:sz w:val="20"/>
                <w:szCs w:val="20"/>
                <w:color w:val="auto"/>
              </w:rPr>
            </w:pPr>
            <w:r>
              <w:rPr>
                <w:rFonts w:ascii="Times New Roman" w:cs="Times New Roman" w:eastAsia="Times New Roman" w:hAnsi="Times New Roman"/>
                <w:sz w:val="14"/>
                <w:szCs w:val="14"/>
                <w:b w:val="1"/>
                <w:bCs w:val="1"/>
                <w:color w:val="auto"/>
              </w:rPr>
              <w:t>Tangible Net Book</w:t>
            </w:r>
          </w:p>
        </w:tc>
        <w:tc>
          <w:tcPr>
            <w:tcW w:w="1400" w:type="dxa"/>
            <w:vAlign w:val="bottom"/>
            <w:gridSpan w:val="2"/>
            <w:vMerge w:val="continue"/>
          </w:tcPr>
          <w:p>
            <w:pPr>
              <w:spacing w:after="0"/>
              <w:rPr>
                <w:sz w:val="12"/>
                <w:szCs w:val="12"/>
                <w:color w:val="auto"/>
              </w:rPr>
            </w:pPr>
          </w:p>
        </w:tc>
        <w:tc>
          <w:tcPr>
            <w:tcW w:w="1320" w:type="dxa"/>
            <w:vAlign w:val="bottom"/>
          </w:tcPr>
          <w:p>
            <w:pPr>
              <w:jc w:val="center"/>
              <w:spacing w:after="0" w:line="146" w:lineRule="exact"/>
              <w:rPr>
                <w:sz w:val="20"/>
                <w:szCs w:val="20"/>
                <w:color w:val="auto"/>
              </w:rPr>
            </w:pPr>
            <w:r>
              <w:rPr>
                <w:rFonts w:ascii="Times New Roman" w:cs="Times New Roman" w:eastAsia="Times New Roman" w:hAnsi="Times New Roman"/>
                <w:sz w:val="14"/>
                <w:szCs w:val="14"/>
                <w:b w:val="1"/>
                <w:bCs w:val="1"/>
                <w:color w:val="auto"/>
              </w:rPr>
              <w:t>Tangible Net Book</w:t>
            </w:r>
          </w:p>
        </w:tc>
        <w:tc>
          <w:tcPr>
            <w:tcW w:w="0" w:type="dxa"/>
            <w:vAlign w:val="bottom"/>
          </w:tcPr>
          <w:p>
            <w:pPr>
              <w:spacing w:after="0"/>
              <w:rPr>
                <w:sz w:val="1"/>
                <w:szCs w:val="1"/>
                <w:color w:val="auto"/>
              </w:rPr>
            </w:pPr>
          </w:p>
        </w:tc>
      </w:tr>
      <w:tr>
        <w:trPr>
          <w:trHeight w:val="148"/>
        </w:trPr>
        <w:tc>
          <w:tcPr>
            <w:tcW w:w="316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Change in MBS Spread</w:t>
            </w:r>
          </w:p>
        </w:tc>
        <w:tc>
          <w:tcPr>
            <w:tcW w:w="1400" w:type="dxa"/>
            <w:vAlign w:val="bottom"/>
            <w:gridSpan w:val="2"/>
          </w:tcPr>
          <w:p>
            <w:pPr>
              <w:jc w:val="center"/>
              <w:ind w:right="100"/>
              <w:spacing w:after="0" w:line="149" w:lineRule="exact"/>
              <w:rPr>
                <w:sz w:val="20"/>
                <w:szCs w:val="20"/>
                <w:color w:val="auto"/>
              </w:rPr>
            </w:pPr>
            <w:r>
              <w:rPr>
                <w:rFonts w:ascii="Times New Roman" w:cs="Times New Roman" w:eastAsia="Times New Roman" w:hAnsi="Times New Roman"/>
                <w:sz w:val="14"/>
                <w:szCs w:val="14"/>
                <w:b w:val="1"/>
                <w:bCs w:val="1"/>
                <w:color w:val="auto"/>
              </w:rPr>
              <w:t>in Portfolio Market</w:t>
            </w:r>
          </w:p>
        </w:tc>
        <w:tc>
          <w:tcPr>
            <w:tcW w:w="1480" w:type="dxa"/>
            <w:vAlign w:val="bottom"/>
            <w:gridSpan w:val="2"/>
          </w:tcPr>
          <w:p>
            <w:pPr>
              <w:jc w:val="center"/>
              <w:ind w:right="160"/>
              <w:spacing w:after="0" w:line="149" w:lineRule="exact"/>
              <w:rPr>
                <w:sz w:val="20"/>
                <w:szCs w:val="20"/>
                <w:color w:val="auto"/>
              </w:rPr>
            </w:pPr>
            <w:r>
              <w:rPr>
                <w:rFonts w:ascii="Times New Roman" w:cs="Times New Roman" w:eastAsia="Times New Roman" w:hAnsi="Times New Roman"/>
                <w:sz w:val="14"/>
                <w:szCs w:val="14"/>
                <w:b w:val="1"/>
                <w:bCs w:val="1"/>
                <w:color w:val="auto"/>
              </w:rPr>
              <w:t>Value Per Common</w:t>
            </w:r>
          </w:p>
        </w:tc>
        <w:tc>
          <w:tcPr>
            <w:tcW w:w="1400" w:type="dxa"/>
            <w:vAlign w:val="bottom"/>
            <w:gridSpan w:val="2"/>
          </w:tcPr>
          <w:p>
            <w:pPr>
              <w:jc w:val="center"/>
              <w:ind w:right="120"/>
              <w:spacing w:after="0" w:line="149" w:lineRule="exact"/>
              <w:rPr>
                <w:sz w:val="20"/>
                <w:szCs w:val="20"/>
                <w:color w:val="auto"/>
              </w:rPr>
            </w:pPr>
            <w:r>
              <w:rPr>
                <w:rFonts w:ascii="Times New Roman" w:cs="Times New Roman" w:eastAsia="Times New Roman" w:hAnsi="Times New Roman"/>
                <w:sz w:val="14"/>
                <w:szCs w:val="14"/>
                <w:b w:val="1"/>
                <w:bCs w:val="1"/>
                <w:color w:val="auto"/>
              </w:rPr>
              <w:t>in Portfolio Market</w:t>
            </w:r>
          </w:p>
        </w:tc>
        <w:tc>
          <w:tcPr>
            <w:tcW w:w="1320" w:type="dxa"/>
            <w:vAlign w:val="bottom"/>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Value Per Common</w:t>
            </w:r>
          </w:p>
        </w:tc>
        <w:tc>
          <w:tcPr>
            <w:tcW w:w="0" w:type="dxa"/>
            <w:vAlign w:val="bottom"/>
          </w:tcPr>
          <w:p>
            <w:pPr>
              <w:spacing w:after="0"/>
              <w:rPr>
                <w:sz w:val="1"/>
                <w:szCs w:val="1"/>
                <w:color w:val="auto"/>
              </w:rPr>
            </w:pPr>
          </w:p>
        </w:tc>
      </w:tr>
      <w:tr>
        <w:trPr>
          <w:trHeight w:val="196"/>
        </w:trPr>
        <w:tc>
          <w:tcPr>
            <w:tcW w:w="3160" w:type="dxa"/>
            <w:vAlign w:val="bottom"/>
            <w:gridSpan w:val="2"/>
            <w:vMerge w:val="continue"/>
          </w:tcPr>
          <w:p>
            <w:pPr>
              <w:spacing w:after="0"/>
              <w:rPr>
                <w:sz w:val="17"/>
                <w:szCs w:val="17"/>
                <w:color w:val="auto"/>
              </w:rPr>
            </w:pPr>
          </w:p>
        </w:tc>
        <w:tc>
          <w:tcPr>
            <w:tcW w:w="14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480" w:type="dxa"/>
            <w:vAlign w:val="bottom"/>
            <w:gridSpan w:val="2"/>
          </w:tcPr>
          <w:p>
            <w:pPr>
              <w:jc w:val="center"/>
              <w:ind w:right="160"/>
              <w:spacing w:after="0"/>
              <w:rPr>
                <w:sz w:val="20"/>
                <w:szCs w:val="20"/>
                <w:color w:val="auto"/>
              </w:rPr>
            </w:pPr>
            <w:r>
              <w:rPr>
                <w:rFonts w:ascii="Times New Roman" w:cs="Times New Roman" w:eastAsia="Times New Roman" w:hAnsi="Times New Roman"/>
                <w:sz w:val="14"/>
                <w:szCs w:val="14"/>
                <w:b w:val="1"/>
                <w:bCs w:val="1"/>
                <w:color w:val="auto"/>
              </w:rPr>
              <w:t>Share</w:t>
            </w:r>
          </w:p>
        </w:tc>
        <w:tc>
          <w:tcPr>
            <w:tcW w:w="1400" w:type="dxa"/>
            <w:vAlign w:val="bottom"/>
            <w:gridSpan w:val="2"/>
          </w:tcPr>
          <w:p>
            <w:pPr>
              <w:jc w:val="center"/>
              <w:ind w:right="100"/>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Share</w:t>
            </w:r>
          </w:p>
        </w:tc>
        <w:tc>
          <w:tcPr>
            <w:tcW w:w="0" w:type="dxa"/>
            <w:vAlign w:val="bottom"/>
          </w:tcPr>
          <w:p>
            <w:pPr>
              <w:spacing w:after="0"/>
              <w:rPr>
                <w:sz w:val="1"/>
                <w:szCs w:val="1"/>
                <w:color w:val="auto"/>
              </w:rPr>
            </w:pPr>
          </w:p>
        </w:tc>
      </w:tr>
      <w:tr>
        <w:trPr>
          <w:trHeight w:val="202"/>
        </w:trPr>
        <w:tc>
          <w:tcPr>
            <w:tcW w:w="300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-50 Basis Points</w:t>
            </w:r>
          </w:p>
        </w:tc>
        <w:tc>
          <w:tcPr>
            <w:tcW w:w="160" w:type="dxa"/>
            <w:vAlign w:val="bottom"/>
            <w:tcBorders>
              <w:top w:val="single" w:sz="8" w:color="CCEEFF"/>
            </w:tcBorders>
            <w:shd w:val="clear" w:color="auto" w:fill="CCEEFF"/>
          </w:tcPr>
          <w:p>
            <w:pPr>
              <w:spacing w:after="0"/>
              <w:rPr>
                <w:sz w:val="17"/>
                <w:szCs w:val="17"/>
                <w:color w:val="auto"/>
              </w:rPr>
            </w:pPr>
          </w:p>
        </w:tc>
        <w:tc>
          <w:tcPr>
            <w:tcW w:w="130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Borders>
              <w:top w:val="single" w:sz="8" w:color="CCEEFF"/>
            </w:tcBorders>
            <w:shd w:val="clear" w:color="auto" w:fill="CCEEFF"/>
          </w:tcPr>
          <w:p>
            <w:pPr>
              <w:spacing w:after="0"/>
              <w:rPr>
                <w:sz w:val="17"/>
                <w:szCs w:val="17"/>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+29.9%</w:t>
            </w:r>
          </w:p>
        </w:tc>
        <w:tc>
          <w:tcPr>
            <w:tcW w:w="160" w:type="dxa"/>
            <w:vAlign w:val="bottom"/>
            <w:tcBorders>
              <w:top w:val="single" w:sz="8" w:color="CCEEFF"/>
            </w:tcBorders>
            <w:shd w:val="clear" w:color="auto" w:fill="CCEEFF"/>
          </w:tcPr>
          <w:p>
            <w:pPr>
              <w:spacing w:after="0"/>
              <w:rPr>
                <w:sz w:val="17"/>
                <w:szCs w:val="17"/>
                <w:color w:val="auto"/>
              </w:rPr>
            </w:pPr>
          </w:p>
        </w:tc>
        <w:tc>
          <w:tcPr>
            <w:tcW w:w="128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+2.7%</w:t>
            </w:r>
          </w:p>
        </w:tc>
        <w:tc>
          <w:tcPr>
            <w:tcW w:w="120" w:type="dxa"/>
            <w:vAlign w:val="bottom"/>
            <w:tcBorders>
              <w:top w:val="single" w:sz="8" w:color="CCEEFF"/>
            </w:tcBorders>
            <w:shd w:val="clear" w:color="auto" w:fill="CCEEFF"/>
          </w:tcPr>
          <w:p>
            <w:pPr>
              <w:spacing w:after="0"/>
              <w:rPr>
                <w:sz w:val="17"/>
                <w:szCs w:val="17"/>
                <w:color w:val="auto"/>
              </w:rPr>
            </w:pPr>
          </w:p>
        </w:tc>
        <w:tc>
          <w:tcPr>
            <w:tcW w:w="1320" w:type="dxa"/>
            <w:vAlign w:val="bottom"/>
            <w:tcBorders>
              <w:top w:val="single" w:sz="8" w:color="auto"/>
            </w:tcBorders>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w w:val="99"/>
              </w:rPr>
              <w:t>+27.1%</w:t>
            </w:r>
          </w:p>
        </w:tc>
        <w:tc>
          <w:tcPr>
            <w:tcW w:w="0" w:type="dxa"/>
            <w:vAlign w:val="bottom"/>
          </w:tcPr>
          <w:p>
            <w:pPr>
              <w:spacing w:after="0"/>
              <w:rPr>
                <w:sz w:val="1"/>
                <w:szCs w:val="1"/>
                <w:color w:val="auto"/>
              </w:rPr>
            </w:pPr>
          </w:p>
        </w:tc>
      </w:tr>
      <w:tr>
        <w:trPr>
          <w:trHeight w:val="195"/>
        </w:trPr>
        <w:tc>
          <w:tcPr>
            <w:tcW w:w="316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-25 Basis Points</w:t>
            </w:r>
          </w:p>
        </w:tc>
        <w:tc>
          <w:tcPr>
            <w:tcW w:w="13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+1.5%</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+15.0%</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+1.4%</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w w:val="99"/>
              </w:rPr>
              <w:t>+13.6%</w:t>
            </w:r>
          </w:p>
        </w:tc>
        <w:tc>
          <w:tcPr>
            <w:tcW w:w="0" w:type="dxa"/>
            <w:vAlign w:val="bottom"/>
          </w:tcPr>
          <w:p>
            <w:pPr>
              <w:spacing w:after="0"/>
              <w:rPr>
                <w:sz w:val="1"/>
                <w:szCs w:val="1"/>
                <w:color w:val="auto"/>
              </w:rPr>
            </w:pPr>
          </w:p>
        </w:tc>
      </w:tr>
      <w:tr>
        <w:trPr>
          <w:trHeight w:val="210"/>
        </w:trPr>
        <w:tc>
          <w:tcPr>
            <w:tcW w:w="31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-10 Basis Points</w:t>
            </w:r>
          </w:p>
        </w:tc>
        <w:tc>
          <w:tcPr>
            <w:tcW w:w="1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+0.6%</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+6.0%</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+0.5%</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+5.4%</w:t>
            </w:r>
          </w:p>
        </w:tc>
        <w:tc>
          <w:tcPr>
            <w:tcW w:w="0" w:type="dxa"/>
            <w:vAlign w:val="bottom"/>
          </w:tcPr>
          <w:p>
            <w:pPr>
              <w:spacing w:after="0"/>
              <w:rPr>
                <w:sz w:val="1"/>
                <w:szCs w:val="1"/>
                <w:color w:val="auto"/>
              </w:rPr>
            </w:pPr>
          </w:p>
        </w:tc>
      </w:tr>
      <w:tr>
        <w:trPr>
          <w:trHeight w:val="195"/>
        </w:trPr>
        <w:tc>
          <w:tcPr>
            <w:tcW w:w="316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+10 Basis Points</w:t>
            </w:r>
          </w:p>
        </w:tc>
        <w:tc>
          <w:tcPr>
            <w:tcW w:w="13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-0.6%</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-6.0%</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-0.5%</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-5.4%</w:t>
            </w:r>
          </w:p>
        </w:tc>
        <w:tc>
          <w:tcPr>
            <w:tcW w:w="0" w:type="dxa"/>
            <w:vAlign w:val="bottom"/>
          </w:tcPr>
          <w:p>
            <w:pPr>
              <w:spacing w:after="0"/>
              <w:rPr>
                <w:sz w:val="1"/>
                <w:szCs w:val="1"/>
                <w:color w:val="auto"/>
              </w:rPr>
            </w:pPr>
          </w:p>
        </w:tc>
      </w:tr>
      <w:tr>
        <w:trPr>
          <w:trHeight w:val="210"/>
        </w:trPr>
        <w:tc>
          <w:tcPr>
            <w:tcW w:w="3160" w:type="dxa"/>
            <w:vAlign w:val="bottom"/>
            <w:gridSpan w:val="2"/>
            <w:shd w:val="clear" w:color="auto" w:fill="CCEEFF"/>
          </w:tcPr>
          <w:p>
            <w:pPr>
              <w:ind w:left="20"/>
              <w:spacing w:after="0"/>
              <w:rPr>
                <w:sz w:val="20"/>
                <w:szCs w:val="20"/>
                <w:color w:val="auto"/>
              </w:rPr>
            </w:pPr>
            <w:r>
              <w:rPr>
                <w:rFonts w:ascii="Times New Roman" w:cs="Times New Roman" w:eastAsia="Times New Roman" w:hAnsi="Times New Roman"/>
                <w:sz w:val="14"/>
                <w:szCs w:val="14"/>
                <w:color w:val="auto"/>
              </w:rPr>
              <w:t>+25 Basis Points</w:t>
            </w:r>
          </w:p>
        </w:tc>
        <w:tc>
          <w:tcPr>
            <w:tcW w:w="130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-1.5%</w:t>
            </w:r>
          </w:p>
        </w:tc>
        <w:tc>
          <w:tcPr>
            <w:tcW w:w="100" w:type="dxa"/>
            <w:vAlign w:val="bottom"/>
            <w:shd w:val="clear" w:color="auto" w:fill="CCEEFF"/>
          </w:tcPr>
          <w:p>
            <w:pPr>
              <w:spacing w:after="0"/>
              <w:rPr>
                <w:sz w:val="18"/>
                <w:szCs w:val="18"/>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-15.0%</w:t>
            </w:r>
          </w:p>
        </w:tc>
        <w:tc>
          <w:tcPr>
            <w:tcW w:w="160" w:type="dxa"/>
            <w:vAlign w:val="bottom"/>
            <w:shd w:val="clear" w:color="auto" w:fill="CCEEFF"/>
          </w:tcPr>
          <w:p>
            <w:pPr>
              <w:spacing w:after="0"/>
              <w:rPr>
                <w:sz w:val="18"/>
                <w:szCs w:val="18"/>
                <w:color w:val="auto"/>
              </w:rPr>
            </w:pPr>
          </w:p>
        </w:tc>
        <w:tc>
          <w:tcPr>
            <w:tcW w:w="128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-1.4%</w:t>
            </w: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center"/>
              <w:spacing w:after="0"/>
              <w:rPr>
                <w:sz w:val="20"/>
                <w:szCs w:val="20"/>
                <w:color w:val="auto"/>
              </w:rPr>
            </w:pPr>
            <w:r>
              <w:rPr>
                <w:rFonts w:ascii="Times New Roman" w:cs="Times New Roman" w:eastAsia="Times New Roman" w:hAnsi="Times New Roman"/>
                <w:sz w:val="14"/>
                <w:szCs w:val="14"/>
                <w:color w:val="auto"/>
              </w:rPr>
              <w:t>-13.6%</w:t>
            </w:r>
          </w:p>
        </w:tc>
        <w:tc>
          <w:tcPr>
            <w:tcW w:w="0" w:type="dxa"/>
            <w:vAlign w:val="bottom"/>
          </w:tcPr>
          <w:p>
            <w:pPr>
              <w:spacing w:after="0"/>
              <w:rPr>
                <w:sz w:val="1"/>
                <w:szCs w:val="1"/>
                <w:color w:val="auto"/>
              </w:rPr>
            </w:pPr>
          </w:p>
        </w:tc>
      </w:tr>
      <w:tr>
        <w:trPr>
          <w:trHeight w:val="188"/>
        </w:trPr>
        <w:tc>
          <w:tcPr>
            <w:tcW w:w="316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+50 Basis Points</w:t>
            </w:r>
          </w:p>
        </w:tc>
        <w:tc>
          <w:tcPr>
            <w:tcW w:w="130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-3.0%</w:t>
            </w:r>
          </w:p>
        </w:tc>
        <w:tc>
          <w:tcPr>
            <w:tcW w:w="10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-29.9%</w:t>
            </w:r>
          </w:p>
        </w:tc>
        <w:tc>
          <w:tcPr>
            <w:tcW w:w="160" w:type="dxa"/>
            <w:vAlign w:val="bottom"/>
          </w:tcPr>
          <w:p>
            <w:pPr>
              <w:spacing w:after="0"/>
              <w:rPr>
                <w:sz w:val="16"/>
                <w:szCs w:val="16"/>
                <w:color w:val="auto"/>
              </w:rPr>
            </w:pPr>
          </w:p>
        </w:tc>
        <w:tc>
          <w:tcPr>
            <w:tcW w:w="128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-2.7%</w:t>
            </w:r>
          </w:p>
        </w:tc>
        <w:tc>
          <w:tcPr>
            <w:tcW w:w="120" w:type="dxa"/>
            <w:vAlign w:val="bottom"/>
          </w:tcPr>
          <w:p>
            <w:pPr>
              <w:spacing w:after="0"/>
              <w:rPr>
                <w:sz w:val="16"/>
                <w:szCs w:val="16"/>
                <w:color w:val="auto"/>
              </w:rPr>
            </w:pPr>
          </w:p>
        </w:tc>
        <w:tc>
          <w:tcPr>
            <w:tcW w:w="1320" w:type="dxa"/>
            <w:vAlign w:val="bottom"/>
          </w:tcPr>
          <w:p>
            <w:pPr>
              <w:jc w:val="center"/>
              <w:spacing w:after="0"/>
              <w:rPr>
                <w:sz w:val="20"/>
                <w:szCs w:val="20"/>
                <w:color w:val="auto"/>
              </w:rPr>
            </w:pPr>
            <w:r>
              <w:rPr>
                <w:rFonts w:ascii="Times New Roman" w:cs="Times New Roman" w:eastAsia="Times New Roman" w:hAnsi="Times New Roman"/>
                <w:sz w:val="14"/>
                <w:szCs w:val="14"/>
                <w:color w:val="auto"/>
              </w:rPr>
              <w:t>-27.1%</w:t>
            </w:r>
          </w:p>
        </w:tc>
        <w:tc>
          <w:tcPr>
            <w:tcW w:w="0" w:type="dxa"/>
            <w:vAlign w:val="bottom"/>
          </w:tcPr>
          <w:p>
            <w:pPr>
              <w:spacing w:after="0"/>
              <w:rPr>
                <w:sz w:val="1"/>
                <w:szCs w:val="1"/>
                <w:color w:val="auto"/>
              </w:rPr>
            </w:pPr>
          </w:p>
        </w:tc>
      </w:tr>
    </w:tbl>
    <w:p>
      <w:pPr>
        <w:spacing w:after="0" w:line="109"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14" w:lineRule="exact"/>
        <w:rPr>
          <w:sz w:val="20"/>
          <w:szCs w:val="20"/>
          <w:color w:val="auto"/>
        </w:rPr>
      </w:pPr>
    </w:p>
    <w:p>
      <w:pPr>
        <w:ind w:left="660" w:hanging="328"/>
        <w:spacing w:after="0" w:line="250" w:lineRule="auto"/>
        <w:tabs>
          <w:tab w:leader="none" w:pos="660" w:val="left"/>
        </w:tabs>
        <w:numPr>
          <w:ilvl w:val="0"/>
          <w:numId w:val="3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Spread sensitivity is derived from models that are dependent on inputs and assumptions, assumes there are no changes in interest rates and assumes a static portfolio. Actual results could differ materially from these estimates.</w:t>
      </w:r>
    </w:p>
    <w:p>
      <w:pPr>
        <w:ind w:left="660" w:hanging="328"/>
        <w:spacing w:after="0"/>
        <w:tabs>
          <w:tab w:leader="none" w:pos="660" w:val="left"/>
        </w:tabs>
        <w:numPr>
          <w:ilvl w:val="0"/>
          <w:numId w:val="37"/>
        </w:numPr>
        <w:rPr>
          <w:rFonts w:ascii="Times New Roman" w:cs="Times New Roman" w:eastAsia="Times New Roman" w:hAnsi="Times New Roman"/>
          <w:sz w:val="14"/>
          <w:szCs w:val="14"/>
          <w:color w:val="auto"/>
        </w:rPr>
      </w:pPr>
      <w:r>
        <w:rPr>
          <w:rFonts w:ascii="Times New Roman" w:cs="Times New Roman" w:eastAsia="Times New Roman" w:hAnsi="Times New Roman"/>
          <w:sz w:val="14"/>
          <w:szCs w:val="14"/>
          <w:color w:val="auto"/>
        </w:rPr>
        <w:t>Includes the effect of derivatives and other securities used for hedging purposes.</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Liquidity Risk</w:t>
      </w:r>
    </w:p>
    <w:p>
      <w:pPr>
        <w:spacing w:after="0" w:line="175" w:lineRule="exact"/>
        <w:rPr>
          <w:sz w:val="20"/>
          <w:szCs w:val="20"/>
          <w:color w:val="auto"/>
        </w:rPr>
      </w:pPr>
    </w:p>
    <w:p>
      <w:pPr>
        <w:ind w:right="20" w:firstLine="445"/>
        <w:spacing w:after="0" w:line="282" w:lineRule="auto"/>
        <w:rPr>
          <w:sz w:val="20"/>
          <w:szCs w:val="20"/>
          <w:color w:val="auto"/>
        </w:rPr>
      </w:pPr>
      <w:r>
        <w:rPr>
          <w:rFonts w:ascii="Times New Roman" w:cs="Times New Roman" w:eastAsia="Times New Roman" w:hAnsi="Times New Roman"/>
          <w:sz w:val="18"/>
          <w:szCs w:val="18"/>
          <w:color w:val="auto"/>
        </w:rPr>
        <w:t>Our liquidity risk principally arises from financing long-term fixed rate assets with shorter-term variable rate borrowings. Future borrowings are dependent upon the willingness of lenders to finance our investments, lender collateral</w:t>
      </w: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22" w:right="339" w:bottom="1440" w:gutter="0" w:footer="0" w:header="0"/>
        </w:sectPr>
      </w:pPr>
    </w:p>
    <w:bookmarkStart w:id="44" w:name="page45"/>
    <w:bookmarkEnd w:id="44"/>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requirements and the lenders’ determination of the fair value of the securities pledged as collateral, which fluctuates with changes in interest rates and liquidity conditions within the commercial banking and mortgage finance industries.</w:t>
      </w:r>
    </w:p>
    <w:p>
      <w:pPr>
        <w:spacing w:after="0" w:line="106" w:lineRule="exact"/>
        <w:rPr>
          <w:sz w:val="20"/>
          <w:szCs w:val="20"/>
          <w:color w:val="auto"/>
        </w:rPr>
      </w:pPr>
    </w:p>
    <w:p>
      <w:pPr>
        <w:jc w:val="both"/>
        <w:ind w:firstLine="445"/>
        <w:spacing w:after="0" w:line="256" w:lineRule="auto"/>
        <w:rPr>
          <w:sz w:val="20"/>
          <w:szCs w:val="20"/>
          <w:color w:val="auto"/>
        </w:rPr>
      </w:pPr>
      <w:r>
        <w:rPr>
          <w:rFonts w:ascii="Times New Roman" w:cs="Times New Roman" w:eastAsia="Times New Roman" w:hAnsi="Times New Roman"/>
          <w:sz w:val="18"/>
          <w:szCs w:val="18"/>
          <w:color w:val="auto"/>
        </w:rPr>
        <w:t xml:space="preserve">As of March 31, 2022, we believe that we have sufficient liquidity and capital resources available to execute our business strategy (see </w:t>
      </w:r>
      <w:r>
        <w:rPr>
          <w:rFonts w:ascii="Times New Roman" w:cs="Times New Roman" w:eastAsia="Times New Roman" w:hAnsi="Times New Roman"/>
          <w:sz w:val="18"/>
          <w:szCs w:val="18"/>
          <w:i w:val="1"/>
          <w:iCs w:val="1"/>
          <w:color w:val="auto"/>
        </w:rPr>
        <w:t>Liquidity and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 xml:space="preserve">Capital Resources </w:t>
      </w:r>
      <w:r>
        <w:rPr>
          <w:rFonts w:ascii="Times New Roman" w:cs="Times New Roman" w:eastAsia="Times New Roman" w:hAnsi="Times New Roman"/>
          <w:sz w:val="18"/>
          <w:szCs w:val="18"/>
          <w:color w:val="auto"/>
        </w:rPr>
        <w:t>in this Form 10-Q for additional details). However, should the value of our collateral or the value of our derivative instruments suddenly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decrease, margin calls relating to our funding liabilities and derivative agreements could increase, causing an adverse change in our liquidity position. Furthermore, there is no assurance that we will always be able to renew (or roll) our short-term funding liabilities. In addition, our counterparties have the option to increase our haircuts (margin requirements) on the assets we pledge against our funding liabilities, thereby reducing the amount that can be borrowed against an asset even if they agree to renew or roll our funding liabilities. Significantly higher haircuts can reduce our ability to leverage our portfolio or may even force us to sell assets, especially if correlated with asset price declines or faster prepayment rates on our assets.</w:t>
      </w:r>
    </w:p>
    <w:p>
      <w:pPr>
        <w:spacing w:after="0" w:line="1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Credit Risk</w:t>
      </w:r>
    </w:p>
    <w:p>
      <w:pPr>
        <w:spacing w:after="0" w:line="175" w:lineRule="exact"/>
        <w:rPr>
          <w:sz w:val="20"/>
          <w:szCs w:val="20"/>
          <w:color w:val="auto"/>
        </w:rPr>
      </w:pPr>
    </w:p>
    <w:p>
      <w:pPr>
        <w:jc w:val="both"/>
        <w:ind w:firstLine="445"/>
        <w:spacing w:after="0" w:line="261" w:lineRule="auto"/>
        <w:rPr>
          <w:sz w:val="20"/>
          <w:szCs w:val="20"/>
          <w:color w:val="auto"/>
        </w:rPr>
      </w:pPr>
      <w:r>
        <w:rPr>
          <w:rFonts w:ascii="Times New Roman" w:cs="Times New Roman" w:eastAsia="Times New Roman" w:hAnsi="Times New Roman"/>
          <w:sz w:val="18"/>
          <w:szCs w:val="18"/>
          <w:color w:val="auto"/>
        </w:rPr>
        <w:t>Our credit sensitive investments, such as CRT and non-Agency securities, expose us to the risk of nonpayment of principal, interest or other remuneration we are contractually entitled to. We are also exposed to credit risk in the event our repurchase agreement counterparties default on their obligations to resell the underlying collateral back to us at the end of the repo term or in the event our derivative counterparties do not perform under the terms of our derivative agreements.</w:t>
      </w:r>
    </w:p>
    <w:p>
      <w:pPr>
        <w:spacing w:after="0" w:line="126" w:lineRule="exact"/>
        <w:rPr>
          <w:sz w:val="20"/>
          <w:szCs w:val="20"/>
          <w:color w:val="auto"/>
        </w:rPr>
      </w:pPr>
    </w:p>
    <w:p>
      <w:pPr>
        <w:jc w:val="both"/>
        <w:ind w:firstLine="445"/>
        <w:spacing w:after="0" w:line="254" w:lineRule="auto"/>
        <w:rPr>
          <w:sz w:val="20"/>
          <w:szCs w:val="20"/>
          <w:color w:val="auto"/>
        </w:rPr>
      </w:pPr>
      <w:r>
        <w:rPr>
          <w:rFonts w:ascii="Times New Roman" w:cs="Times New Roman" w:eastAsia="Times New Roman" w:hAnsi="Times New Roman"/>
          <w:sz w:val="18"/>
          <w:szCs w:val="18"/>
          <w:color w:val="auto"/>
        </w:rPr>
        <w:t>We accept credit exposure related to our credit sensitive assets at levels we deem prudent within the context of our overall investment strategy. We attempt to manage this risk through careful asset selection, pre-acquisition due diligence, post-acquisition performance monitoring, and the sale of assets where we identify negative credit trends. We may also manage credit risk with credit default swaps or other financial derivatives that we believe are appropriate. Additionally, we may vary the mix of our interest rate and credit sensitive assets or our duration gap to adjust our credit exposure and/or improve the return profile of our assets, such as when we believe credit performance is inversely correlated with changes in interest rates. Our credit risk related to derivative and repurchase agreement transactions is largely mitigated by limiting our counterparties to major financial institutions with acceptable credit ratings or to registered central clearinghouses and monitoring concentration levels with any one counterparty. We also continuously monitor and adjust the amount of collateral pledged based on changes in market value.</w:t>
      </w:r>
    </w:p>
    <w:p>
      <w:pPr>
        <w:spacing w:after="0" w:line="84" w:lineRule="exact"/>
        <w:rPr>
          <w:sz w:val="20"/>
          <w:szCs w:val="20"/>
          <w:color w:val="auto"/>
        </w:rPr>
      </w:pPr>
    </w:p>
    <w:p>
      <w:pPr>
        <w:jc w:val="both"/>
        <w:ind w:firstLine="405"/>
        <w:spacing w:after="0" w:line="261" w:lineRule="auto"/>
        <w:rPr>
          <w:sz w:val="20"/>
          <w:szCs w:val="20"/>
          <w:color w:val="auto"/>
        </w:rPr>
      </w:pPr>
      <w:r>
        <w:rPr>
          <w:rFonts w:ascii="Times New Roman" w:cs="Times New Roman" w:eastAsia="Times New Roman" w:hAnsi="Times New Roman"/>
          <w:sz w:val="18"/>
          <w:szCs w:val="18"/>
          <w:color w:val="auto"/>
        </w:rPr>
        <w:t>There is no guarantee that our efforts to manage credit risk will be successful and we could suffer losses if credit performance is worse than our expectations or our counterparties default on their obligations. Excluding central clearing exchanges, as of March 31, 2022, our maximum amount at risk with any counterparty related to our repurchase agreements and derivative agreements was approximately 2% and less than 1%, respectively, of tangible stockholders' equity.</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4. </w:t>
      </w:r>
      <w:r>
        <w:rPr>
          <w:rFonts w:ascii="Times New Roman" w:cs="Times New Roman" w:eastAsia="Times New Roman" w:hAnsi="Times New Roman"/>
          <w:sz w:val="18"/>
          <w:szCs w:val="18"/>
          <w:b w:val="1"/>
          <w:bCs w:val="1"/>
          <w:i w:val="1"/>
          <w:iCs w:val="1"/>
          <w:color w:val="auto"/>
        </w:rPr>
        <w:t>Controls and Procedures</w:t>
      </w:r>
    </w:p>
    <w:p>
      <w:pPr>
        <w:spacing w:after="0" w:line="121" w:lineRule="exact"/>
        <w:rPr>
          <w:sz w:val="20"/>
          <w:szCs w:val="20"/>
          <w:color w:val="auto"/>
        </w:rPr>
      </w:pPr>
    </w:p>
    <w:p>
      <w:pPr>
        <w:jc w:val="both"/>
        <w:ind w:firstLine="445"/>
        <w:spacing w:after="0" w:line="255" w:lineRule="auto"/>
        <w:rPr>
          <w:sz w:val="20"/>
          <w:szCs w:val="20"/>
          <w:color w:val="auto"/>
        </w:rPr>
      </w:pPr>
      <w:r>
        <w:rPr>
          <w:rFonts w:ascii="Times New Roman" w:cs="Times New Roman" w:eastAsia="Times New Roman" w:hAnsi="Times New Roman"/>
          <w:sz w:val="18"/>
          <w:szCs w:val="18"/>
          <w:color w:val="auto"/>
        </w:rPr>
        <w:t>We maintain disclosure controls and procedures that are designed to ensure that information required to be disclosed in our Exchange Act reports is recorded, processed, summarized and reported within the time periods specified in the SEC's rules and forms, and that such information is accumulated and communicated to our management, including our Chief Executive Officer and Chief Financial Officer, as appropriate, to allow timely decisions regarding required disclosure based on the definition of "disclosure controls and procedures" as promulgated under the Exchange Act and the rules and regulations thereunder. In designing and evaluating the disclosure controls and procedures, management recognized that any controls and procedures, no matter how well designed and operated, can provide only reasonable assurance of achieving the desired control objectives, and management necessarily was required to apply its judgment in evaluating the cost-benefit relationship of possible controls and procedures.</w:t>
      </w:r>
    </w:p>
    <w:p>
      <w:pPr>
        <w:spacing w:after="0" w:line="81"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We, including our Chief Executive Officer and Chief Financial Officer, evaluated the effectiveness of the design and operation of our disclosure controls and procedures as of March 31, 2022. Based on the foregoing, our Chief Executive Officer and Chief Financial Officer concluded that our disclosure controls and procedures were effective.</w:t>
      </w:r>
    </w:p>
    <w:p>
      <w:pPr>
        <w:spacing w:after="0" w:line="6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Changes in Internal Control over Financial Reporting</w:t>
      </w:r>
    </w:p>
    <w:p>
      <w:pPr>
        <w:spacing w:after="0" w:line="121" w:lineRule="exact"/>
        <w:rPr>
          <w:sz w:val="20"/>
          <w:szCs w:val="20"/>
          <w:color w:val="auto"/>
        </w:rPr>
      </w:pPr>
    </w:p>
    <w:p>
      <w:pPr>
        <w:jc w:val="both"/>
        <w:ind w:firstLine="405"/>
        <w:spacing w:after="0" w:line="282" w:lineRule="auto"/>
        <w:rPr>
          <w:sz w:val="20"/>
          <w:szCs w:val="20"/>
          <w:color w:val="auto"/>
        </w:rPr>
      </w:pPr>
      <w:r>
        <w:rPr>
          <w:rFonts w:ascii="Times New Roman" w:cs="Times New Roman" w:eastAsia="Times New Roman" w:hAnsi="Times New Roman"/>
          <w:sz w:val="18"/>
          <w:szCs w:val="18"/>
          <w:color w:val="auto"/>
        </w:rPr>
        <w:t>There have been no changes in our "internal control over financial reporting" (as defined in Rule 13a-15(f) of the Exchange Act) that occurred during the last fiscal quarter that have materially affected, or are reasonably likely to materially affect, our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45" w:name="page46"/>
    <w:bookmarkEnd w:id="45"/>
    <w:p>
      <w:pPr>
        <w:jc w:val="center"/>
        <w:spacing w:after="0"/>
        <w:rPr>
          <w:sz w:val="20"/>
          <w:szCs w:val="20"/>
          <w:color w:val="auto"/>
        </w:rPr>
      </w:pPr>
      <w:r>
        <w:rPr>
          <w:rFonts w:ascii="Times New Roman" w:cs="Times New Roman" w:eastAsia="Times New Roman" w:hAnsi="Times New Roman"/>
          <w:sz w:val="18"/>
          <w:szCs w:val="18"/>
          <w:b w:val="1"/>
          <w:bCs w:val="1"/>
          <w:color w:val="auto"/>
        </w:rPr>
        <w:t>PART II. OTHER INFORMATION</w:t>
      </w:r>
    </w:p>
    <w:p>
      <w:pPr>
        <w:spacing w:after="0" w:line="1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1. </w:t>
      </w:r>
      <w:r>
        <w:rPr>
          <w:rFonts w:ascii="Times New Roman" w:cs="Times New Roman" w:eastAsia="Times New Roman" w:hAnsi="Times New Roman"/>
          <w:sz w:val="18"/>
          <w:szCs w:val="18"/>
          <w:b w:val="1"/>
          <w:bCs w:val="1"/>
          <w:i w:val="1"/>
          <w:iCs w:val="1"/>
          <w:color w:val="auto"/>
        </w:rPr>
        <w:t>Legal Proceedings</w:t>
      </w:r>
    </w:p>
    <w:p>
      <w:pPr>
        <w:spacing w:after="0" w:line="121" w:lineRule="exact"/>
        <w:rPr>
          <w:sz w:val="20"/>
          <w:szCs w:val="20"/>
          <w:color w:val="auto"/>
        </w:rPr>
      </w:pPr>
    </w:p>
    <w:p>
      <w:pPr>
        <w:jc w:val="both"/>
        <w:ind w:firstLine="445"/>
        <w:spacing w:after="0" w:line="266" w:lineRule="auto"/>
        <w:rPr>
          <w:sz w:val="20"/>
          <w:szCs w:val="20"/>
          <w:color w:val="auto"/>
        </w:rPr>
      </w:pPr>
      <w:r>
        <w:rPr>
          <w:rFonts w:ascii="Times New Roman" w:cs="Times New Roman" w:eastAsia="Times New Roman" w:hAnsi="Times New Roman"/>
          <w:sz w:val="18"/>
          <w:szCs w:val="18"/>
          <w:color w:val="auto"/>
        </w:rPr>
        <w:t>Neither we, nor any of our consolidated subsidiaries, are currently subject to any material litigation nor, to our knowledge, is any material litigation threatened against us or any consolidated subsidiary, other than routine litigation and administrative proceedings arising in the ordinary course of business. Such proceedings are not expected to have a material adverse effect on the business, financial conditions, or results of our operations.</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1A. </w:t>
      </w:r>
      <w:r>
        <w:rPr>
          <w:rFonts w:ascii="Times New Roman" w:cs="Times New Roman" w:eastAsia="Times New Roman" w:hAnsi="Times New Roman"/>
          <w:sz w:val="18"/>
          <w:szCs w:val="18"/>
          <w:b w:val="1"/>
          <w:bCs w:val="1"/>
          <w:i w:val="1"/>
          <w:iCs w:val="1"/>
          <w:color w:val="auto"/>
        </w:rPr>
        <w:t>Risk Factors</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There have been no material changes to the risk factors previously disclosed in our Annual Report on Form 10-K for the year ended December 31,</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2021.</w:t>
      </w:r>
    </w:p>
    <w:p>
      <w:pPr>
        <w:spacing w:after="0" w:line="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2. </w:t>
      </w:r>
      <w:r>
        <w:rPr>
          <w:rFonts w:ascii="Times New Roman" w:cs="Times New Roman" w:eastAsia="Times New Roman" w:hAnsi="Times New Roman"/>
          <w:sz w:val="18"/>
          <w:szCs w:val="18"/>
          <w:b w:val="1"/>
          <w:bCs w:val="1"/>
          <w:i w:val="1"/>
          <w:iCs w:val="1"/>
          <w:color w:val="auto"/>
        </w:rPr>
        <w:t>Unregistered Sales of Equity Securities and Use of Proceeds</w:t>
      </w:r>
    </w:p>
    <w:p>
      <w:pPr>
        <w:spacing w:after="0" w:line="108"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None.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3. </w:t>
      </w:r>
      <w:r>
        <w:rPr>
          <w:rFonts w:ascii="Times New Roman" w:cs="Times New Roman" w:eastAsia="Times New Roman" w:hAnsi="Times New Roman"/>
          <w:sz w:val="18"/>
          <w:szCs w:val="18"/>
          <w:b w:val="1"/>
          <w:bCs w:val="1"/>
          <w:i w:val="1"/>
          <w:iCs w:val="1"/>
          <w:color w:val="auto"/>
        </w:rPr>
        <w:t>Defaults upon Senior Securities</w:t>
      </w:r>
    </w:p>
    <w:p>
      <w:pPr>
        <w:spacing w:after="0" w:line="94"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None.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4. </w:t>
      </w:r>
      <w:r>
        <w:rPr>
          <w:rFonts w:ascii="Times New Roman" w:cs="Times New Roman" w:eastAsia="Times New Roman" w:hAnsi="Times New Roman"/>
          <w:sz w:val="18"/>
          <w:szCs w:val="18"/>
          <w:b w:val="1"/>
          <w:bCs w:val="1"/>
          <w:i w:val="1"/>
          <w:iCs w:val="1"/>
          <w:color w:val="auto"/>
        </w:rPr>
        <w:t>Mine Safety Disclosures</w:t>
      </w:r>
    </w:p>
    <w:p>
      <w:pPr>
        <w:spacing w:after="0" w:line="121"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18"/>
          <w:szCs w:val="18"/>
          <w:color w:val="auto"/>
        </w:rPr>
        <w:t>Not applicable.</w:t>
      </w:r>
    </w:p>
    <w:p>
      <w:pPr>
        <w:spacing w:after="0" w:line="1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 xml:space="preserve">Item 5. </w:t>
      </w:r>
      <w:r>
        <w:rPr>
          <w:rFonts w:ascii="Times New Roman" w:cs="Times New Roman" w:eastAsia="Times New Roman" w:hAnsi="Times New Roman"/>
          <w:sz w:val="18"/>
          <w:szCs w:val="18"/>
          <w:b w:val="1"/>
          <w:bCs w:val="1"/>
          <w:i w:val="1"/>
          <w:iCs w:val="1"/>
          <w:color w:val="auto"/>
        </w:rPr>
        <w:t>Other Information</w:t>
      </w:r>
    </w:p>
    <w:p>
      <w:pPr>
        <w:spacing w:after="0" w:line="121"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18"/>
          <w:szCs w:val="18"/>
          <w:color w:val="auto"/>
        </w:rPr>
        <w:t>None.</w:t>
      </w:r>
    </w:p>
    <w:p>
      <w:pPr>
        <w:spacing w:after="0" w:line="113" w:lineRule="exact"/>
        <w:rPr>
          <w:sz w:val="20"/>
          <w:szCs w:val="20"/>
          <w:color w:val="auto"/>
        </w:rPr>
      </w:pPr>
    </w:p>
    <w:p>
      <w:pPr>
        <w:spacing w:after="0"/>
        <w:tabs>
          <w:tab w:leader="none" w:pos="76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7"/>
          <w:szCs w:val="17"/>
          <w:b w:val="1"/>
          <w:bCs w:val="1"/>
          <w:i w:val="1"/>
          <w:iCs w:val="1"/>
          <w:color w:val="auto"/>
        </w:rPr>
        <w:t>Exhibits and Financial Statement Schedules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Exhibit Index</w:t>
      </w:r>
    </w:p>
    <w:p>
      <w:pPr>
        <w:spacing w:after="0" w:line="165" w:lineRule="exact"/>
        <w:rPr>
          <w:sz w:val="20"/>
          <w:szCs w:val="20"/>
          <w:color w:val="auto"/>
        </w:rPr>
      </w:pPr>
    </w:p>
    <w:p>
      <w:pPr>
        <w:spacing w:after="0"/>
        <w:tabs>
          <w:tab w:leader="none" w:pos="840" w:val="left"/>
        </w:tabs>
        <w:rPr>
          <w:sz w:val="20"/>
          <w:szCs w:val="20"/>
          <w:color w:val="auto"/>
        </w:rPr>
      </w:pPr>
      <w:r>
        <w:rPr>
          <w:rFonts w:ascii="Times New Roman" w:cs="Times New Roman" w:eastAsia="Times New Roman" w:hAnsi="Times New Roman"/>
          <w:sz w:val="14"/>
          <w:szCs w:val="14"/>
          <w:b w:val="1"/>
          <w:bCs w:val="1"/>
          <w:u w:val="single" w:color="auto"/>
          <w:color w:val="auto"/>
        </w:rPr>
        <w:t>Exhibit No.</w:t>
        <w:tab/>
        <w:t>Description</w:t>
      </w:r>
    </w:p>
    <w:p>
      <w:pPr>
        <w:spacing w:after="0" w:line="183" w:lineRule="exact"/>
        <w:rPr>
          <w:sz w:val="20"/>
          <w:szCs w:val="20"/>
          <w:color w:val="auto"/>
        </w:rPr>
      </w:pPr>
    </w:p>
    <w:p>
      <w:pPr>
        <w:jc w:val="both"/>
        <w:ind w:left="500" w:right="20" w:hanging="1295"/>
        <w:spacing w:after="0" w:line="282" w:lineRule="auto"/>
        <w:tabs>
          <w:tab w:leader="none" w:pos="480" w:val="left"/>
        </w:tabs>
        <w:rPr>
          <w:rFonts w:ascii="Times New Roman" w:cs="Times New Roman" w:eastAsia="Times New Roman" w:hAnsi="Times New Roman"/>
          <w:sz w:val="18"/>
          <w:szCs w:val="18"/>
          <w:color w:val="auto"/>
        </w:rPr>
      </w:pPr>
      <w:hyperlink r:id="rId63">
        <w:r>
          <w:rPr>
            <w:rFonts w:ascii="Times New Roman" w:cs="Times New Roman" w:eastAsia="Times New Roman" w:hAnsi="Times New Roman"/>
            <w:sz w:val="18"/>
            <w:szCs w:val="18"/>
            <w:color w:val="auto"/>
          </w:rPr>
          <w:t>*3.1</w:t>
        </w:r>
      </w:hyperlink>
      <w:r>
        <w:rPr>
          <w:rFonts w:ascii="Times New Roman" w:cs="Times New Roman" w:eastAsia="Times New Roman" w:hAnsi="Times New Roman"/>
          <w:sz w:val="18"/>
          <w:szCs w:val="18"/>
          <w:color w:val="auto"/>
        </w:rPr>
        <w:tab/>
      </w:r>
      <w:hyperlink r:id="rId63">
        <w:r>
          <w:rPr>
            <w:rFonts w:ascii="Times New Roman" w:cs="Times New Roman" w:eastAsia="Times New Roman" w:hAnsi="Times New Roman"/>
            <w:sz w:val="18"/>
            <w:szCs w:val="18"/>
            <w:color w:val="auto"/>
          </w:rPr>
          <w:t>AGNC Investment Corp. Amended and Restated Certificate of Incorporation, as amended, incorporated by reference from Exhibit 3.1 of Form 10-K</w:t>
        </w:r>
      </w:hyperlink>
      <w:r>
        <w:rPr>
          <w:rFonts w:ascii="Times New Roman" w:cs="Times New Roman" w:eastAsia="Times New Roman" w:hAnsi="Times New Roman"/>
          <w:sz w:val="18"/>
          <w:szCs w:val="18"/>
          <w:color w:val="auto"/>
        </w:rPr>
        <w:t xml:space="preserve"> </w:t>
      </w:r>
      <w:hyperlink r:id="rId63">
        <w:r>
          <w:rPr>
            <w:rFonts w:ascii="Times New Roman" w:cs="Times New Roman" w:eastAsia="Times New Roman" w:hAnsi="Times New Roman"/>
            <w:sz w:val="18"/>
            <w:szCs w:val="18"/>
            <w:color w:val="auto"/>
          </w:rPr>
          <w:t>for the year ended December 31, 2021 (File No. 001-34057), filed February 23, 2022.</w:t>
        </w:r>
      </w:hyperlink>
    </w:p>
    <w:p>
      <w:pPr>
        <w:spacing w:after="0" w:line="108" w:lineRule="exact"/>
        <w:rPr>
          <w:rFonts w:ascii="Times New Roman" w:cs="Times New Roman" w:eastAsia="Times New Roman" w:hAnsi="Times New Roman"/>
          <w:sz w:val="18"/>
          <w:szCs w:val="18"/>
          <w:color w:val="auto"/>
        </w:rPr>
      </w:pPr>
    </w:p>
    <w:p>
      <w:pPr>
        <w:spacing w:after="0"/>
        <w:tabs>
          <w:tab w:leader="none" w:pos="480" w:val="left"/>
        </w:tabs>
        <w:rPr>
          <w:rFonts w:ascii="Times New Roman" w:cs="Times New Roman" w:eastAsia="Times New Roman" w:hAnsi="Times New Roman"/>
          <w:sz w:val="18"/>
          <w:szCs w:val="18"/>
          <w:color w:val="auto"/>
        </w:rPr>
      </w:pPr>
      <w:hyperlink r:id="rId64">
        <w:r>
          <w:rPr>
            <w:rFonts w:ascii="Times New Roman" w:cs="Times New Roman" w:eastAsia="Times New Roman" w:hAnsi="Times New Roman"/>
            <w:sz w:val="18"/>
            <w:szCs w:val="18"/>
            <w:color w:val="auto"/>
          </w:rPr>
          <w:t>*3.2</w:t>
        </w:r>
      </w:hyperlink>
      <w:r>
        <w:rPr>
          <w:rFonts w:ascii="Times New Roman" w:cs="Times New Roman" w:eastAsia="Times New Roman" w:hAnsi="Times New Roman"/>
          <w:sz w:val="18"/>
          <w:szCs w:val="18"/>
          <w:color w:val="auto"/>
        </w:rPr>
        <w:tab/>
      </w:r>
      <w:hyperlink r:id="rId64">
        <w:r>
          <w:rPr>
            <w:rFonts w:ascii="Times New Roman" w:cs="Times New Roman" w:eastAsia="Times New Roman" w:hAnsi="Times New Roman"/>
            <w:sz w:val="18"/>
            <w:szCs w:val="18"/>
            <w:color w:val="auto"/>
          </w:rPr>
          <w:t>AGNC Investment Corp. Fourth Amended and Restated Bylaws, as amended, incorporated herein by reference to Exhibit 3.1 of Form 8-K (File No.</w:t>
        </w:r>
      </w:hyperlink>
    </w:p>
    <w:p>
      <w:pPr>
        <w:spacing w:after="0" w:line="27" w:lineRule="exact"/>
        <w:rPr>
          <w:sz w:val="20"/>
          <w:szCs w:val="20"/>
          <w:color w:val="auto"/>
        </w:rPr>
      </w:pPr>
    </w:p>
    <w:p>
      <w:pPr>
        <w:ind w:left="1300"/>
        <w:spacing w:after="0"/>
        <w:rPr>
          <w:rFonts w:ascii="Times New Roman" w:cs="Times New Roman" w:eastAsia="Times New Roman" w:hAnsi="Times New Roman"/>
          <w:sz w:val="18"/>
          <w:szCs w:val="18"/>
          <w:color w:val="auto"/>
        </w:rPr>
      </w:pPr>
      <w:hyperlink r:id="rId64">
        <w:r>
          <w:rPr>
            <w:rFonts w:ascii="Times New Roman" w:cs="Times New Roman" w:eastAsia="Times New Roman" w:hAnsi="Times New Roman"/>
            <w:sz w:val="18"/>
            <w:szCs w:val="18"/>
            <w:color w:val="auto"/>
          </w:rPr>
          <w:t>001-34057), filed March 11, 2021.</w:t>
        </w:r>
      </w:hyperlink>
    </w:p>
    <w:p>
      <w:pPr>
        <w:spacing w:after="0" w:line="153" w:lineRule="exact"/>
        <w:rPr>
          <w:sz w:val="20"/>
          <w:szCs w:val="20"/>
          <w:color w:val="auto"/>
        </w:rPr>
      </w:pPr>
    </w:p>
    <w:p>
      <w:pPr>
        <w:jc w:val="both"/>
        <w:ind w:left="520" w:hanging="1295"/>
        <w:spacing w:after="0" w:line="282" w:lineRule="auto"/>
        <w:tabs>
          <w:tab w:leader="none" w:pos="500" w:val="left"/>
        </w:tabs>
        <w:rPr>
          <w:rFonts w:ascii="Times New Roman" w:cs="Times New Roman" w:eastAsia="Times New Roman" w:hAnsi="Times New Roman"/>
          <w:sz w:val="18"/>
          <w:szCs w:val="18"/>
          <w:color w:val="auto"/>
        </w:rPr>
      </w:pPr>
      <w:hyperlink r:id="rId65">
        <w:r>
          <w:rPr>
            <w:rFonts w:ascii="Times New Roman" w:cs="Times New Roman" w:eastAsia="Times New Roman" w:hAnsi="Times New Roman"/>
            <w:sz w:val="18"/>
            <w:szCs w:val="18"/>
            <w:color w:val="auto"/>
          </w:rPr>
          <w:t>*3.3</w:t>
        </w:r>
      </w:hyperlink>
      <w:r>
        <w:rPr>
          <w:rFonts w:ascii="Times New Roman" w:cs="Times New Roman" w:eastAsia="Times New Roman" w:hAnsi="Times New Roman"/>
          <w:sz w:val="18"/>
          <w:szCs w:val="18"/>
          <w:color w:val="auto"/>
        </w:rPr>
        <w:tab/>
      </w:r>
      <w:hyperlink r:id="rId65">
        <w:r>
          <w:rPr>
            <w:rFonts w:ascii="Times New Roman" w:cs="Times New Roman" w:eastAsia="Times New Roman" w:hAnsi="Times New Roman"/>
            <w:sz w:val="18"/>
            <w:szCs w:val="18"/>
            <w:color w:val="auto"/>
          </w:rPr>
          <w:t>Certificate of Designations of 7.00% Series C Fixed-to-Floating Rate Cumulative Redeemable Preferred Stock, incorporated herein by reference to</w:t>
        </w:r>
      </w:hyperlink>
      <w:r>
        <w:rPr>
          <w:rFonts w:ascii="Times New Roman" w:cs="Times New Roman" w:eastAsia="Times New Roman" w:hAnsi="Times New Roman"/>
          <w:sz w:val="18"/>
          <w:szCs w:val="18"/>
          <w:color w:val="auto"/>
        </w:rPr>
        <w:t xml:space="preserve"> </w:t>
      </w:r>
      <w:hyperlink r:id="rId65">
        <w:r>
          <w:rPr>
            <w:rFonts w:ascii="Times New Roman" w:cs="Times New Roman" w:eastAsia="Times New Roman" w:hAnsi="Times New Roman"/>
            <w:sz w:val="18"/>
            <w:szCs w:val="18"/>
            <w:color w:val="auto"/>
          </w:rPr>
          <w:t>Exhibit 3.5 of Form 8-A (File No. 001-34057), filed August 18, 2017.</w:t>
        </w:r>
      </w:hyperlink>
    </w:p>
    <w:p>
      <w:pPr>
        <w:spacing w:after="0" w:line="108" w:lineRule="exact"/>
        <w:rPr>
          <w:rFonts w:ascii="Times New Roman" w:cs="Times New Roman" w:eastAsia="Times New Roman" w:hAnsi="Times New Roman"/>
          <w:sz w:val="18"/>
          <w:szCs w:val="18"/>
          <w:color w:val="auto"/>
        </w:rPr>
      </w:pPr>
    </w:p>
    <w:p>
      <w:pPr>
        <w:jc w:val="both"/>
        <w:ind w:left="500" w:hanging="1295"/>
        <w:spacing w:after="0" w:line="282" w:lineRule="auto"/>
        <w:tabs>
          <w:tab w:leader="none" w:pos="480" w:val="left"/>
        </w:tabs>
        <w:rPr>
          <w:rFonts w:ascii="Times New Roman" w:cs="Times New Roman" w:eastAsia="Times New Roman" w:hAnsi="Times New Roman"/>
          <w:sz w:val="18"/>
          <w:szCs w:val="18"/>
          <w:color w:val="auto"/>
        </w:rPr>
      </w:pPr>
      <w:hyperlink r:id="rId66">
        <w:r>
          <w:rPr>
            <w:rFonts w:ascii="Times New Roman" w:cs="Times New Roman" w:eastAsia="Times New Roman" w:hAnsi="Times New Roman"/>
            <w:sz w:val="18"/>
            <w:szCs w:val="18"/>
            <w:color w:val="auto"/>
          </w:rPr>
          <w:t>*3.4</w:t>
        </w:r>
      </w:hyperlink>
      <w:r>
        <w:rPr>
          <w:rFonts w:ascii="Times New Roman" w:cs="Times New Roman" w:eastAsia="Times New Roman" w:hAnsi="Times New Roman"/>
          <w:sz w:val="18"/>
          <w:szCs w:val="18"/>
          <w:color w:val="auto"/>
        </w:rPr>
        <w:tab/>
      </w:r>
      <w:hyperlink r:id="rId66">
        <w:r>
          <w:rPr>
            <w:rFonts w:ascii="Times New Roman" w:cs="Times New Roman" w:eastAsia="Times New Roman" w:hAnsi="Times New Roman"/>
            <w:sz w:val="18"/>
            <w:szCs w:val="18"/>
            <w:color w:val="auto"/>
          </w:rPr>
          <w:t>Certificate of Elimination of 8.000% Series A Cumulative Redeemable Preferred Stock, incorporated herein by reference to Exhibit 3.1 of Form 8-K</w:t>
        </w:r>
      </w:hyperlink>
      <w:r>
        <w:rPr>
          <w:rFonts w:ascii="Times New Roman" w:cs="Times New Roman" w:eastAsia="Times New Roman" w:hAnsi="Times New Roman"/>
          <w:sz w:val="18"/>
          <w:szCs w:val="18"/>
          <w:color w:val="auto"/>
        </w:rPr>
        <w:t xml:space="preserve"> </w:t>
      </w:r>
      <w:hyperlink r:id="rId66">
        <w:r>
          <w:rPr>
            <w:rFonts w:ascii="Times New Roman" w:cs="Times New Roman" w:eastAsia="Times New Roman" w:hAnsi="Times New Roman"/>
            <w:sz w:val="18"/>
            <w:szCs w:val="18"/>
            <w:color w:val="auto"/>
          </w:rPr>
          <w:t>(File No 001-34057), filed October 26, 2017.</w:t>
        </w:r>
      </w:hyperlink>
    </w:p>
    <w:p>
      <w:pPr>
        <w:spacing w:after="0" w:line="108" w:lineRule="exact"/>
        <w:rPr>
          <w:rFonts w:ascii="Times New Roman" w:cs="Times New Roman" w:eastAsia="Times New Roman" w:hAnsi="Times New Roman"/>
          <w:sz w:val="18"/>
          <w:szCs w:val="18"/>
          <w:color w:val="auto"/>
        </w:rPr>
      </w:pPr>
    </w:p>
    <w:p>
      <w:pPr>
        <w:jc w:val="both"/>
        <w:ind w:left="500" w:hanging="1295"/>
        <w:spacing w:after="0" w:line="282" w:lineRule="auto"/>
        <w:tabs>
          <w:tab w:leader="none" w:pos="480" w:val="left"/>
        </w:tabs>
        <w:rPr>
          <w:rFonts w:ascii="Times New Roman" w:cs="Times New Roman" w:eastAsia="Times New Roman" w:hAnsi="Times New Roman"/>
          <w:sz w:val="18"/>
          <w:szCs w:val="18"/>
          <w:color w:val="auto"/>
        </w:rPr>
      </w:pPr>
      <w:hyperlink r:id="rId67">
        <w:r>
          <w:rPr>
            <w:rFonts w:ascii="Times New Roman" w:cs="Times New Roman" w:eastAsia="Times New Roman" w:hAnsi="Times New Roman"/>
            <w:sz w:val="18"/>
            <w:szCs w:val="18"/>
            <w:color w:val="auto"/>
          </w:rPr>
          <w:t>*3.5</w:t>
        </w:r>
      </w:hyperlink>
      <w:r>
        <w:rPr>
          <w:rFonts w:ascii="Times New Roman" w:cs="Times New Roman" w:eastAsia="Times New Roman" w:hAnsi="Times New Roman"/>
          <w:sz w:val="18"/>
          <w:szCs w:val="18"/>
          <w:color w:val="auto"/>
        </w:rPr>
        <w:tab/>
      </w:r>
      <w:hyperlink r:id="rId67">
        <w:r>
          <w:rPr>
            <w:rFonts w:ascii="Times New Roman" w:cs="Times New Roman" w:eastAsia="Times New Roman" w:hAnsi="Times New Roman"/>
            <w:sz w:val="18"/>
            <w:szCs w:val="18"/>
            <w:color w:val="auto"/>
          </w:rPr>
          <w:t>Certificate of Designations of 6.875% Series D Fixed-to-Floating Rate Cumulative Redeemable Preferred Stock, incorporated herein by reference to</w:t>
        </w:r>
      </w:hyperlink>
      <w:r>
        <w:rPr>
          <w:rFonts w:ascii="Times New Roman" w:cs="Times New Roman" w:eastAsia="Times New Roman" w:hAnsi="Times New Roman"/>
          <w:sz w:val="18"/>
          <w:szCs w:val="18"/>
          <w:color w:val="auto"/>
        </w:rPr>
        <w:t xml:space="preserve"> </w:t>
      </w:r>
      <w:hyperlink r:id="rId67">
        <w:r>
          <w:rPr>
            <w:rFonts w:ascii="Times New Roman" w:cs="Times New Roman" w:eastAsia="Times New Roman" w:hAnsi="Times New Roman"/>
            <w:sz w:val="18"/>
            <w:szCs w:val="18"/>
            <w:color w:val="auto"/>
          </w:rPr>
          <w:t>Exhibit 3.5 of Form 8-A (File No 001-34057), filed March 6, 2019.</w:t>
        </w:r>
      </w:hyperlink>
    </w:p>
    <w:p>
      <w:pPr>
        <w:spacing w:after="0" w:line="108" w:lineRule="exact"/>
        <w:rPr>
          <w:rFonts w:ascii="Times New Roman" w:cs="Times New Roman" w:eastAsia="Times New Roman" w:hAnsi="Times New Roman"/>
          <w:sz w:val="18"/>
          <w:szCs w:val="18"/>
          <w:color w:val="auto"/>
        </w:rPr>
      </w:pPr>
    </w:p>
    <w:p>
      <w:pPr>
        <w:jc w:val="both"/>
        <w:ind w:left="520" w:right="20" w:hanging="1295"/>
        <w:spacing w:after="0" w:line="282" w:lineRule="auto"/>
        <w:tabs>
          <w:tab w:leader="none" w:pos="500" w:val="left"/>
        </w:tabs>
        <w:rPr>
          <w:rFonts w:ascii="Times New Roman" w:cs="Times New Roman" w:eastAsia="Times New Roman" w:hAnsi="Times New Roman"/>
          <w:sz w:val="18"/>
          <w:szCs w:val="18"/>
          <w:color w:val="auto"/>
        </w:rPr>
      </w:pPr>
      <w:hyperlink r:id="rId68">
        <w:r>
          <w:rPr>
            <w:rFonts w:ascii="Times New Roman" w:cs="Times New Roman" w:eastAsia="Times New Roman" w:hAnsi="Times New Roman"/>
            <w:sz w:val="18"/>
            <w:szCs w:val="18"/>
            <w:color w:val="auto"/>
          </w:rPr>
          <w:t>*3.6</w:t>
        </w:r>
      </w:hyperlink>
      <w:r>
        <w:rPr>
          <w:rFonts w:ascii="Times New Roman" w:cs="Times New Roman" w:eastAsia="Times New Roman" w:hAnsi="Times New Roman"/>
          <w:sz w:val="18"/>
          <w:szCs w:val="18"/>
          <w:color w:val="auto"/>
        </w:rPr>
        <w:tab/>
      </w:r>
      <w:hyperlink r:id="rId68">
        <w:r>
          <w:rPr>
            <w:rFonts w:ascii="Times New Roman" w:cs="Times New Roman" w:eastAsia="Times New Roman" w:hAnsi="Times New Roman"/>
            <w:sz w:val="18"/>
            <w:szCs w:val="18"/>
            <w:color w:val="auto"/>
          </w:rPr>
          <w:t>Certificate of Designations of 6.50% Series E Fixed-to-Floating Rate Cumulative Redeemable Preferred Stock, incorporated herein by reference to</w:t>
        </w:r>
      </w:hyperlink>
      <w:r>
        <w:rPr>
          <w:rFonts w:ascii="Times New Roman" w:cs="Times New Roman" w:eastAsia="Times New Roman" w:hAnsi="Times New Roman"/>
          <w:sz w:val="18"/>
          <w:szCs w:val="18"/>
          <w:color w:val="auto"/>
        </w:rPr>
        <w:t xml:space="preserve"> </w:t>
      </w:r>
      <w:hyperlink r:id="rId68">
        <w:r>
          <w:rPr>
            <w:rFonts w:ascii="Times New Roman" w:cs="Times New Roman" w:eastAsia="Times New Roman" w:hAnsi="Times New Roman"/>
            <w:sz w:val="18"/>
            <w:szCs w:val="18"/>
            <w:color w:val="auto"/>
          </w:rPr>
          <w:t>Exhibit 3.6 of Form 8-A (File No 001-34057), filed October 3, 2019.</w:t>
        </w:r>
      </w:hyperlink>
    </w:p>
    <w:p>
      <w:pPr>
        <w:spacing w:after="0" w:line="108" w:lineRule="exact"/>
        <w:rPr>
          <w:rFonts w:ascii="Times New Roman" w:cs="Times New Roman" w:eastAsia="Times New Roman" w:hAnsi="Times New Roman"/>
          <w:sz w:val="18"/>
          <w:szCs w:val="18"/>
          <w:color w:val="auto"/>
        </w:rPr>
      </w:pPr>
    </w:p>
    <w:p>
      <w:pPr>
        <w:jc w:val="both"/>
        <w:ind w:left="500" w:right="20" w:hanging="1295"/>
        <w:spacing w:after="0" w:line="282" w:lineRule="auto"/>
        <w:tabs>
          <w:tab w:leader="none" w:pos="480" w:val="left"/>
        </w:tabs>
        <w:rPr>
          <w:rFonts w:ascii="Times New Roman" w:cs="Times New Roman" w:eastAsia="Times New Roman" w:hAnsi="Times New Roman"/>
          <w:sz w:val="18"/>
          <w:szCs w:val="18"/>
          <w:color w:val="auto"/>
        </w:rPr>
      </w:pPr>
      <w:hyperlink r:id="rId69">
        <w:r>
          <w:rPr>
            <w:rFonts w:ascii="Times New Roman" w:cs="Times New Roman" w:eastAsia="Times New Roman" w:hAnsi="Times New Roman"/>
            <w:sz w:val="18"/>
            <w:szCs w:val="18"/>
            <w:color w:val="auto"/>
          </w:rPr>
          <w:t>*3.7</w:t>
        </w:r>
      </w:hyperlink>
      <w:r>
        <w:rPr>
          <w:rFonts w:ascii="Times New Roman" w:cs="Times New Roman" w:eastAsia="Times New Roman" w:hAnsi="Times New Roman"/>
          <w:sz w:val="18"/>
          <w:szCs w:val="18"/>
          <w:color w:val="auto"/>
        </w:rPr>
        <w:tab/>
      </w:r>
      <w:hyperlink r:id="rId69">
        <w:r>
          <w:rPr>
            <w:rFonts w:ascii="Times New Roman" w:cs="Times New Roman" w:eastAsia="Times New Roman" w:hAnsi="Times New Roman"/>
            <w:sz w:val="18"/>
            <w:szCs w:val="18"/>
            <w:color w:val="auto"/>
          </w:rPr>
          <w:t>Certificate of Elimination of 7.750% Series B Cumulative Redeemable Preferred Stock, incorporated herein by reference to Exhibit 3.1 of Form 8-K</w:t>
        </w:r>
      </w:hyperlink>
      <w:r>
        <w:rPr>
          <w:rFonts w:ascii="Times New Roman" w:cs="Times New Roman" w:eastAsia="Times New Roman" w:hAnsi="Times New Roman"/>
          <w:sz w:val="18"/>
          <w:szCs w:val="18"/>
          <w:color w:val="auto"/>
        </w:rPr>
        <w:t xml:space="preserve"> </w:t>
      </w:r>
      <w:hyperlink r:id="rId69">
        <w:r>
          <w:rPr>
            <w:rFonts w:ascii="Times New Roman" w:cs="Times New Roman" w:eastAsia="Times New Roman" w:hAnsi="Times New Roman"/>
            <w:sz w:val="18"/>
            <w:szCs w:val="18"/>
            <w:color w:val="auto"/>
          </w:rPr>
          <w:t>(File No 001-34057), filed December 13, 2019.</w:t>
        </w:r>
      </w:hyperlink>
    </w:p>
    <w:p>
      <w:pPr>
        <w:spacing w:after="0" w:line="108" w:lineRule="exact"/>
        <w:rPr>
          <w:rFonts w:ascii="Times New Roman" w:cs="Times New Roman" w:eastAsia="Times New Roman" w:hAnsi="Times New Roman"/>
          <w:sz w:val="18"/>
          <w:szCs w:val="18"/>
          <w:color w:val="auto"/>
        </w:rPr>
      </w:pPr>
    </w:p>
    <w:p>
      <w:pPr>
        <w:jc w:val="both"/>
        <w:ind w:left="520" w:right="20" w:hanging="1295"/>
        <w:spacing w:after="0" w:line="282" w:lineRule="auto"/>
        <w:tabs>
          <w:tab w:leader="none" w:pos="500" w:val="left"/>
        </w:tabs>
        <w:rPr>
          <w:rFonts w:ascii="Times New Roman" w:cs="Times New Roman" w:eastAsia="Times New Roman" w:hAnsi="Times New Roman"/>
          <w:sz w:val="18"/>
          <w:szCs w:val="18"/>
          <w:color w:val="auto"/>
        </w:rPr>
      </w:pPr>
      <w:hyperlink r:id="rId70">
        <w:r>
          <w:rPr>
            <w:rFonts w:ascii="Times New Roman" w:cs="Times New Roman" w:eastAsia="Times New Roman" w:hAnsi="Times New Roman"/>
            <w:sz w:val="18"/>
            <w:szCs w:val="18"/>
            <w:color w:val="auto"/>
          </w:rPr>
          <w:t>*3.8</w:t>
        </w:r>
      </w:hyperlink>
      <w:r>
        <w:rPr>
          <w:rFonts w:ascii="Times New Roman" w:cs="Times New Roman" w:eastAsia="Times New Roman" w:hAnsi="Times New Roman"/>
          <w:sz w:val="18"/>
          <w:szCs w:val="18"/>
          <w:color w:val="auto"/>
        </w:rPr>
        <w:tab/>
      </w:r>
      <w:hyperlink r:id="rId70">
        <w:r>
          <w:rPr>
            <w:rFonts w:ascii="Times New Roman" w:cs="Times New Roman" w:eastAsia="Times New Roman" w:hAnsi="Times New Roman"/>
            <w:sz w:val="18"/>
            <w:szCs w:val="18"/>
            <w:color w:val="auto"/>
          </w:rPr>
          <w:t>Certificate of Designations of 6.125% Series F Fixed-to-Floating Rate Cumulative Redeemable Preferred Stock, incorporated herein by reference to</w:t>
        </w:r>
      </w:hyperlink>
      <w:r>
        <w:rPr>
          <w:rFonts w:ascii="Times New Roman" w:cs="Times New Roman" w:eastAsia="Times New Roman" w:hAnsi="Times New Roman"/>
          <w:sz w:val="18"/>
          <w:szCs w:val="18"/>
          <w:color w:val="auto"/>
        </w:rPr>
        <w:t xml:space="preserve"> </w:t>
      </w:r>
      <w:hyperlink r:id="rId70">
        <w:r>
          <w:rPr>
            <w:rFonts w:ascii="Times New Roman" w:cs="Times New Roman" w:eastAsia="Times New Roman" w:hAnsi="Times New Roman"/>
            <w:sz w:val="18"/>
            <w:szCs w:val="18"/>
            <w:color w:val="auto"/>
          </w:rPr>
          <w:t>Exhibit 3.6 of Form 8-A (File No 001-34057), filed February 11, 2020.</w:t>
        </w:r>
      </w:hyperlink>
    </w:p>
    <w:p>
      <w:pPr>
        <w:spacing w:after="0" w:line="108" w:lineRule="exact"/>
        <w:rPr>
          <w:rFonts w:ascii="Times New Roman" w:cs="Times New Roman" w:eastAsia="Times New Roman" w:hAnsi="Times New Roman"/>
          <w:sz w:val="18"/>
          <w:szCs w:val="18"/>
          <w:color w:val="auto"/>
        </w:rPr>
      </w:pPr>
    </w:p>
    <w:p>
      <w:pPr>
        <w:jc w:val="both"/>
        <w:ind w:left="580" w:hanging="1295"/>
        <w:spacing w:after="0" w:line="275" w:lineRule="auto"/>
        <w:tabs>
          <w:tab w:leader="none" w:pos="560" w:val="left"/>
        </w:tabs>
        <w:rPr>
          <w:rFonts w:ascii="Times New Roman" w:cs="Times New Roman" w:eastAsia="Times New Roman" w:hAnsi="Times New Roman"/>
          <w:sz w:val="18"/>
          <w:szCs w:val="18"/>
          <w:color w:val="auto"/>
        </w:rPr>
      </w:pPr>
      <w:hyperlink r:id="rId63">
        <w:r>
          <w:rPr>
            <w:rFonts w:ascii="Times New Roman" w:cs="Times New Roman" w:eastAsia="Times New Roman" w:hAnsi="Times New Roman"/>
            <w:sz w:val="18"/>
            <w:szCs w:val="18"/>
            <w:color w:val="auto"/>
          </w:rPr>
          <w:t>*4.1</w:t>
        </w:r>
      </w:hyperlink>
      <w:r>
        <w:rPr>
          <w:rFonts w:ascii="Times New Roman" w:cs="Times New Roman" w:eastAsia="Times New Roman" w:hAnsi="Times New Roman"/>
          <w:sz w:val="18"/>
          <w:szCs w:val="18"/>
          <w:color w:val="auto"/>
        </w:rPr>
        <w:tab/>
      </w:r>
      <w:hyperlink r:id="rId63">
        <w:r>
          <w:rPr>
            <w:rFonts w:ascii="Times New Roman" w:cs="Times New Roman" w:eastAsia="Times New Roman" w:hAnsi="Times New Roman"/>
            <w:sz w:val="18"/>
            <w:szCs w:val="18"/>
            <w:color w:val="auto"/>
          </w:rPr>
          <w:t>Instruments defining the rights of holders of securities: See Article IV of our Amended and Restated Certificate of Incorporation, as amended,</w:t>
        </w:r>
      </w:hyperlink>
      <w:r>
        <w:rPr>
          <w:rFonts w:ascii="Times New Roman" w:cs="Times New Roman" w:eastAsia="Times New Roman" w:hAnsi="Times New Roman"/>
          <w:sz w:val="18"/>
          <w:szCs w:val="18"/>
          <w:color w:val="auto"/>
        </w:rPr>
        <w:t xml:space="preserve"> </w:t>
      </w:r>
      <w:hyperlink r:id="rId63">
        <w:r>
          <w:rPr>
            <w:rFonts w:ascii="Times New Roman" w:cs="Times New Roman" w:eastAsia="Times New Roman" w:hAnsi="Times New Roman"/>
            <w:sz w:val="18"/>
            <w:szCs w:val="18"/>
            <w:color w:val="auto"/>
          </w:rPr>
          <w:t>incorporated herein by reference to Exhibit 3.1 of Form 10-K for the year ended December 31, 2021 (File No. 001-34057), filed February</w:t>
        </w:r>
      </w:hyperlink>
      <w:r>
        <w:rPr>
          <w:rFonts w:ascii="Times New Roman" w:cs="Times New Roman" w:eastAsia="Times New Roman" w:hAnsi="Times New Roman"/>
          <w:sz w:val="18"/>
          <w:szCs w:val="18"/>
          <w:color w:val="auto"/>
        </w:rPr>
        <w:t xml:space="preserve"> </w:t>
      </w:r>
      <w:hyperlink r:id="rId63">
        <w:r>
          <w:rPr>
            <w:rFonts w:ascii="Times New Roman" w:cs="Times New Roman" w:eastAsia="Times New Roman" w:hAnsi="Times New Roman"/>
            <w:sz w:val="18"/>
            <w:szCs w:val="18"/>
            <w:color w:val="auto"/>
          </w:rPr>
          <w:t>23, 2022.</w:t>
        </w:r>
      </w:hyperlink>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327" w:lineRule="exact"/>
        <w:rPr>
          <w:rFonts w:ascii="Times New Roman" w:cs="Times New Roman" w:eastAsia="Times New Roman" w:hAnsi="Times New Roman"/>
          <w:sz w:val="18"/>
          <w:szCs w:val="18"/>
          <w:color w:val="auto"/>
        </w:rPr>
      </w:pPr>
    </w:p>
    <w:p>
      <w:pPr>
        <w:jc w:val="center"/>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7" w:right="339" w:bottom="1440" w:gutter="0" w:footer="0" w:header="0"/>
        </w:sectPr>
      </w:pPr>
    </w:p>
    <w:bookmarkStart w:id="46" w:name="page47"/>
    <w:bookmarkEnd w:id="46"/>
    <w:p>
      <w:pPr>
        <w:jc w:val="both"/>
        <w:ind w:left="580" w:hanging="1295"/>
        <w:spacing w:after="0" w:line="282" w:lineRule="auto"/>
        <w:tabs>
          <w:tab w:leader="none" w:pos="560" w:val="left"/>
        </w:tabs>
        <w:rPr>
          <w:rFonts w:ascii="Times New Roman" w:cs="Times New Roman" w:eastAsia="Times New Roman" w:hAnsi="Times New Roman"/>
          <w:sz w:val="18"/>
          <w:szCs w:val="18"/>
          <w:color w:val="auto"/>
        </w:rPr>
      </w:pPr>
      <w:hyperlink r:id="rId64">
        <w:r>
          <w:rPr>
            <w:rFonts w:ascii="Times New Roman" w:cs="Times New Roman" w:eastAsia="Times New Roman" w:hAnsi="Times New Roman"/>
            <w:sz w:val="18"/>
            <w:szCs w:val="18"/>
            <w:color w:val="auto"/>
          </w:rPr>
          <w:t>*4.2</w:t>
        </w:r>
      </w:hyperlink>
      <w:r>
        <w:rPr>
          <w:rFonts w:ascii="Times New Roman" w:cs="Times New Roman" w:eastAsia="Times New Roman" w:hAnsi="Times New Roman"/>
          <w:sz w:val="18"/>
          <w:szCs w:val="18"/>
          <w:color w:val="auto"/>
        </w:rPr>
        <w:tab/>
      </w:r>
      <w:hyperlink r:id="rId64">
        <w:r>
          <w:rPr>
            <w:rFonts w:ascii="Times New Roman" w:cs="Times New Roman" w:eastAsia="Times New Roman" w:hAnsi="Times New Roman"/>
            <w:sz w:val="18"/>
            <w:szCs w:val="18"/>
            <w:color w:val="auto"/>
          </w:rPr>
          <w:t>Instruments defining the rights of holders of securities: See Article VI of our Fourth Amended and Restated Bylaws, as amended, incorporated</w:t>
        </w:r>
      </w:hyperlink>
      <w:r>
        <w:rPr>
          <w:rFonts w:ascii="Times New Roman" w:cs="Times New Roman" w:eastAsia="Times New Roman" w:hAnsi="Times New Roman"/>
          <w:sz w:val="18"/>
          <w:szCs w:val="18"/>
          <w:color w:val="auto"/>
        </w:rPr>
        <w:t xml:space="preserve"> </w:t>
      </w:r>
      <w:hyperlink r:id="rId64">
        <w:r>
          <w:rPr>
            <w:rFonts w:ascii="Times New Roman" w:cs="Times New Roman" w:eastAsia="Times New Roman" w:hAnsi="Times New Roman"/>
            <w:sz w:val="18"/>
            <w:szCs w:val="18"/>
            <w:color w:val="auto"/>
          </w:rPr>
          <w:t>herein by reference to Exhibit 3.1 of Form 8-K, filed March 11, 2021.</w:t>
        </w:r>
      </w:hyperlink>
    </w:p>
    <w:p>
      <w:pPr>
        <w:spacing w:after="0" w:line="108" w:lineRule="exact"/>
        <w:rPr>
          <w:rFonts w:ascii="Times New Roman" w:cs="Times New Roman" w:eastAsia="Times New Roman" w:hAnsi="Times New Roman"/>
          <w:sz w:val="18"/>
          <w:szCs w:val="18"/>
          <w:color w:val="auto"/>
        </w:rPr>
      </w:pPr>
    </w:p>
    <w:p>
      <w:pPr>
        <w:jc w:val="both"/>
        <w:ind w:left="560" w:hanging="1295"/>
        <w:spacing w:after="0" w:line="282" w:lineRule="auto"/>
        <w:tabs>
          <w:tab w:leader="none" w:pos="540" w:val="left"/>
        </w:tabs>
        <w:rPr>
          <w:rFonts w:ascii="Times New Roman" w:cs="Times New Roman" w:eastAsia="Times New Roman" w:hAnsi="Times New Roman"/>
          <w:sz w:val="18"/>
          <w:szCs w:val="18"/>
          <w:color w:val="auto"/>
        </w:rPr>
      </w:pPr>
      <w:hyperlink r:id="rId72">
        <w:r>
          <w:rPr>
            <w:rFonts w:ascii="Times New Roman" w:cs="Times New Roman" w:eastAsia="Times New Roman" w:hAnsi="Times New Roman"/>
            <w:sz w:val="18"/>
            <w:szCs w:val="18"/>
            <w:color w:val="auto"/>
          </w:rPr>
          <w:t>*4.3</w:t>
        </w:r>
      </w:hyperlink>
      <w:r>
        <w:rPr>
          <w:rFonts w:ascii="Times New Roman" w:cs="Times New Roman" w:eastAsia="Times New Roman" w:hAnsi="Times New Roman"/>
          <w:sz w:val="18"/>
          <w:szCs w:val="18"/>
          <w:color w:val="auto"/>
        </w:rPr>
        <w:tab/>
      </w:r>
      <w:hyperlink r:id="rId72">
        <w:r>
          <w:rPr>
            <w:rFonts w:ascii="Times New Roman" w:cs="Times New Roman" w:eastAsia="Times New Roman" w:hAnsi="Times New Roman"/>
            <w:sz w:val="18"/>
            <w:szCs w:val="18"/>
            <w:color w:val="auto"/>
          </w:rPr>
          <w:t>Form of Certificate for Common Stock, incorporated herein by reference to Exhibit 4.3 of Form 10-Q for the quarter ended September 30, 2016</w:t>
        </w:r>
      </w:hyperlink>
      <w:r>
        <w:rPr>
          <w:rFonts w:ascii="Times New Roman" w:cs="Times New Roman" w:eastAsia="Times New Roman" w:hAnsi="Times New Roman"/>
          <w:sz w:val="18"/>
          <w:szCs w:val="18"/>
          <w:color w:val="auto"/>
        </w:rPr>
        <w:t xml:space="preserve"> </w:t>
      </w:r>
      <w:hyperlink r:id="rId72">
        <w:r>
          <w:rPr>
            <w:rFonts w:ascii="Times New Roman" w:cs="Times New Roman" w:eastAsia="Times New Roman" w:hAnsi="Times New Roman"/>
            <w:sz w:val="18"/>
            <w:szCs w:val="18"/>
            <w:color w:val="auto"/>
          </w:rPr>
          <w:t>(File No. 001-34057), filed November 7, 2016.</w:t>
        </w:r>
      </w:hyperlink>
    </w:p>
    <w:p>
      <w:pPr>
        <w:spacing w:after="0" w:line="108" w:lineRule="exact"/>
        <w:rPr>
          <w:rFonts w:ascii="Times New Roman" w:cs="Times New Roman" w:eastAsia="Times New Roman" w:hAnsi="Times New Roman"/>
          <w:sz w:val="18"/>
          <w:szCs w:val="18"/>
          <w:color w:val="auto"/>
        </w:rPr>
      </w:pPr>
    </w:p>
    <w:p>
      <w:pPr>
        <w:spacing w:after="0"/>
        <w:tabs>
          <w:tab w:leader="none" w:pos="500" w:val="left"/>
        </w:tabs>
        <w:rPr>
          <w:rFonts w:ascii="Times New Roman" w:cs="Times New Roman" w:eastAsia="Times New Roman" w:hAnsi="Times New Roman"/>
          <w:sz w:val="18"/>
          <w:szCs w:val="18"/>
          <w:color w:val="auto"/>
        </w:rPr>
      </w:pPr>
      <w:hyperlink r:id="rId73">
        <w:r>
          <w:rPr>
            <w:rFonts w:ascii="Times New Roman" w:cs="Times New Roman" w:eastAsia="Times New Roman" w:hAnsi="Times New Roman"/>
            <w:sz w:val="18"/>
            <w:szCs w:val="18"/>
            <w:color w:val="auto"/>
          </w:rPr>
          <w:t>*4.4</w:t>
        </w:r>
      </w:hyperlink>
      <w:r>
        <w:rPr>
          <w:rFonts w:ascii="Times New Roman" w:cs="Times New Roman" w:eastAsia="Times New Roman" w:hAnsi="Times New Roman"/>
          <w:sz w:val="18"/>
          <w:szCs w:val="18"/>
          <w:color w:val="auto"/>
        </w:rPr>
        <w:tab/>
      </w:r>
      <w:hyperlink r:id="rId73">
        <w:r>
          <w:rPr>
            <w:rFonts w:ascii="Times New Roman" w:cs="Times New Roman" w:eastAsia="Times New Roman" w:hAnsi="Times New Roman"/>
            <w:sz w:val="18"/>
            <w:szCs w:val="18"/>
            <w:color w:val="auto"/>
          </w:rPr>
          <w:t>Specimen 7.00% Series C Fixed-to-Floating Rate Cumulative Redeemable Preferred Stock Certificate, incorporated herein by reference to Exhibit</w:t>
        </w:r>
      </w:hyperlink>
    </w:p>
    <w:p>
      <w:pPr>
        <w:spacing w:after="0" w:line="27" w:lineRule="exact"/>
        <w:rPr>
          <w:sz w:val="20"/>
          <w:szCs w:val="20"/>
          <w:color w:val="auto"/>
        </w:rPr>
      </w:pPr>
    </w:p>
    <w:p>
      <w:pPr>
        <w:ind w:left="1300"/>
        <w:spacing w:after="0"/>
        <w:rPr>
          <w:rFonts w:ascii="Times New Roman" w:cs="Times New Roman" w:eastAsia="Times New Roman" w:hAnsi="Times New Roman"/>
          <w:sz w:val="18"/>
          <w:szCs w:val="18"/>
          <w:color w:val="auto"/>
        </w:rPr>
      </w:pPr>
      <w:hyperlink r:id="rId73">
        <w:r>
          <w:rPr>
            <w:rFonts w:ascii="Times New Roman" w:cs="Times New Roman" w:eastAsia="Times New Roman" w:hAnsi="Times New Roman"/>
            <w:sz w:val="18"/>
            <w:szCs w:val="18"/>
            <w:color w:val="auto"/>
          </w:rPr>
          <w:t>4.1 of Form 8-A (File No. 001-34057), filed August 18, 2017.</w:t>
        </w:r>
      </w:hyperlink>
    </w:p>
    <w:p>
      <w:pPr>
        <w:spacing w:after="0" w:line="153" w:lineRule="exact"/>
        <w:rPr>
          <w:sz w:val="20"/>
          <w:szCs w:val="20"/>
          <w:color w:val="auto"/>
        </w:rPr>
      </w:pPr>
    </w:p>
    <w:p>
      <w:pPr>
        <w:spacing w:after="0"/>
        <w:tabs>
          <w:tab w:leader="none" w:pos="500" w:val="left"/>
        </w:tabs>
        <w:rPr>
          <w:rFonts w:ascii="Times New Roman" w:cs="Times New Roman" w:eastAsia="Times New Roman" w:hAnsi="Times New Roman"/>
          <w:sz w:val="18"/>
          <w:szCs w:val="18"/>
          <w:color w:val="auto"/>
        </w:rPr>
      </w:pPr>
      <w:hyperlink r:id="rId74">
        <w:r>
          <w:rPr>
            <w:rFonts w:ascii="Times New Roman" w:cs="Times New Roman" w:eastAsia="Times New Roman" w:hAnsi="Times New Roman"/>
            <w:sz w:val="18"/>
            <w:szCs w:val="18"/>
            <w:color w:val="auto"/>
          </w:rPr>
          <w:t>*4.5</w:t>
        </w:r>
      </w:hyperlink>
      <w:r>
        <w:rPr>
          <w:rFonts w:ascii="Times New Roman" w:cs="Times New Roman" w:eastAsia="Times New Roman" w:hAnsi="Times New Roman"/>
          <w:sz w:val="18"/>
          <w:szCs w:val="18"/>
          <w:color w:val="auto"/>
        </w:rPr>
        <w:tab/>
      </w:r>
      <w:hyperlink r:id="rId74">
        <w:r>
          <w:rPr>
            <w:rFonts w:ascii="Times New Roman" w:cs="Times New Roman" w:eastAsia="Times New Roman" w:hAnsi="Times New Roman"/>
            <w:sz w:val="18"/>
            <w:szCs w:val="18"/>
            <w:color w:val="auto"/>
          </w:rPr>
          <w:t>Specimen 6.875% Series D Fixed-to-Floating Rate Cumulative Redeemable Preferred Stock Certificate, incorporated herein by reference to Exhibit</w:t>
        </w:r>
      </w:hyperlink>
    </w:p>
    <w:p>
      <w:pPr>
        <w:spacing w:after="0" w:line="27" w:lineRule="exact"/>
        <w:rPr>
          <w:sz w:val="20"/>
          <w:szCs w:val="20"/>
          <w:color w:val="auto"/>
        </w:rPr>
      </w:pPr>
    </w:p>
    <w:p>
      <w:pPr>
        <w:ind w:left="1300"/>
        <w:spacing w:after="0"/>
        <w:rPr>
          <w:rFonts w:ascii="Times New Roman" w:cs="Times New Roman" w:eastAsia="Times New Roman" w:hAnsi="Times New Roman"/>
          <w:sz w:val="18"/>
          <w:szCs w:val="18"/>
          <w:color w:val="auto"/>
        </w:rPr>
      </w:pPr>
      <w:hyperlink r:id="rId74">
        <w:r>
          <w:rPr>
            <w:rFonts w:ascii="Times New Roman" w:cs="Times New Roman" w:eastAsia="Times New Roman" w:hAnsi="Times New Roman"/>
            <w:sz w:val="18"/>
            <w:szCs w:val="18"/>
            <w:color w:val="auto"/>
          </w:rPr>
          <w:t>4.1 of Form 8-A (File No. 001-34057), filed March 6, 2019.</w:t>
        </w:r>
      </w:hyperlink>
    </w:p>
    <w:p>
      <w:pPr>
        <w:spacing w:after="0" w:line="153" w:lineRule="exact"/>
        <w:rPr>
          <w:sz w:val="20"/>
          <w:szCs w:val="20"/>
          <w:color w:val="auto"/>
        </w:rPr>
      </w:pPr>
    </w:p>
    <w:p>
      <w:pPr>
        <w:spacing w:after="0"/>
        <w:tabs>
          <w:tab w:leader="none" w:pos="520" w:val="left"/>
        </w:tabs>
        <w:rPr>
          <w:rFonts w:ascii="Times New Roman" w:cs="Times New Roman" w:eastAsia="Times New Roman" w:hAnsi="Times New Roman"/>
          <w:sz w:val="18"/>
          <w:szCs w:val="18"/>
          <w:color w:val="auto"/>
        </w:rPr>
      </w:pPr>
      <w:hyperlink r:id="rId75">
        <w:r>
          <w:rPr>
            <w:rFonts w:ascii="Times New Roman" w:cs="Times New Roman" w:eastAsia="Times New Roman" w:hAnsi="Times New Roman"/>
            <w:sz w:val="18"/>
            <w:szCs w:val="18"/>
            <w:color w:val="auto"/>
          </w:rPr>
          <w:t>*4.6</w:t>
        </w:r>
      </w:hyperlink>
      <w:r>
        <w:rPr>
          <w:rFonts w:ascii="Times New Roman" w:cs="Times New Roman" w:eastAsia="Times New Roman" w:hAnsi="Times New Roman"/>
          <w:sz w:val="18"/>
          <w:szCs w:val="18"/>
          <w:color w:val="auto"/>
        </w:rPr>
        <w:tab/>
      </w:r>
      <w:hyperlink r:id="rId75">
        <w:r>
          <w:rPr>
            <w:rFonts w:ascii="Times New Roman" w:cs="Times New Roman" w:eastAsia="Times New Roman" w:hAnsi="Times New Roman"/>
            <w:sz w:val="18"/>
            <w:szCs w:val="18"/>
            <w:color w:val="auto"/>
          </w:rPr>
          <w:t>Specimen 6.50% Series E Fixed-to-Floating Rate Cumulative Redeemable Preferred Stock Certificate, incorporated herein by reference to Exhibit</w:t>
        </w:r>
      </w:hyperlink>
    </w:p>
    <w:p>
      <w:pPr>
        <w:spacing w:after="0" w:line="27" w:lineRule="exact"/>
        <w:rPr>
          <w:sz w:val="20"/>
          <w:szCs w:val="20"/>
          <w:color w:val="auto"/>
        </w:rPr>
      </w:pPr>
    </w:p>
    <w:p>
      <w:pPr>
        <w:ind w:left="1300"/>
        <w:spacing w:after="0"/>
        <w:rPr>
          <w:rFonts w:ascii="Times New Roman" w:cs="Times New Roman" w:eastAsia="Times New Roman" w:hAnsi="Times New Roman"/>
          <w:sz w:val="18"/>
          <w:szCs w:val="18"/>
          <w:color w:val="auto"/>
        </w:rPr>
      </w:pPr>
      <w:hyperlink r:id="rId75">
        <w:r>
          <w:rPr>
            <w:rFonts w:ascii="Times New Roman" w:cs="Times New Roman" w:eastAsia="Times New Roman" w:hAnsi="Times New Roman"/>
            <w:sz w:val="18"/>
            <w:szCs w:val="18"/>
            <w:color w:val="auto"/>
          </w:rPr>
          <w:t>4.1 of Form 8-A (File No. 001-34057), filed October 3, 2019.</w:t>
        </w:r>
      </w:hyperlink>
    </w:p>
    <w:p>
      <w:pPr>
        <w:spacing w:after="0" w:line="153" w:lineRule="exact"/>
        <w:rPr>
          <w:sz w:val="20"/>
          <w:szCs w:val="20"/>
          <w:color w:val="auto"/>
        </w:rPr>
      </w:pPr>
    </w:p>
    <w:p>
      <w:pPr>
        <w:spacing w:after="0"/>
        <w:tabs>
          <w:tab w:leader="none" w:pos="500" w:val="left"/>
        </w:tabs>
        <w:rPr>
          <w:rFonts w:ascii="Times New Roman" w:cs="Times New Roman" w:eastAsia="Times New Roman" w:hAnsi="Times New Roman"/>
          <w:sz w:val="18"/>
          <w:szCs w:val="18"/>
          <w:color w:val="auto"/>
        </w:rPr>
      </w:pPr>
      <w:hyperlink r:id="rId76">
        <w:r>
          <w:rPr>
            <w:rFonts w:ascii="Times New Roman" w:cs="Times New Roman" w:eastAsia="Times New Roman" w:hAnsi="Times New Roman"/>
            <w:sz w:val="18"/>
            <w:szCs w:val="18"/>
            <w:color w:val="auto"/>
          </w:rPr>
          <w:t>*4.7</w:t>
        </w:r>
      </w:hyperlink>
      <w:r>
        <w:rPr>
          <w:rFonts w:ascii="Times New Roman" w:cs="Times New Roman" w:eastAsia="Times New Roman" w:hAnsi="Times New Roman"/>
          <w:sz w:val="18"/>
          <w:szCs w:val="18"/>
          <w:color w:val="auto"/>
        </w:rPr>
        <w:tab/>
      </w:r>
      <w:hyperlink r:id="rId76">
        <w:r>
          <w:rPr>
            <w:rFonts w:ascii="Times New Roman" w:cs="Times New Roman" w:eastAsia="Times New Roman" w:hAnsi="Times New Roman"/>
            <w:sz w:val="18"/>
            <w:szCs w:val="18"/>
            <w:color w:val="auto"/>
          </w:rPr>
          <w:t>Specimen 6.125% Series F Fixed-to-Floating Rate Cumulative Redeemable Preferred Stock Certificate, incorporated herein by reference to Exhibit</w:t>
        </w:r>
      </w:hyperlink>
    </w:p>
    <w:p>
      <w:pPr>
        <w:spacing w:after="0" w:line="27" w:lineRule="exact"/>
        <w:rPr>
          <w:sz w:val="20"/>
          <w:szCs w:val="20"/>
          <w:color w:val="auto"/>
        </w:rPr>
      </w:pPr>
    </w:p>
    <w:p>
      <w:pPr>
        <w:ind w:left="1300"/>
        <w:spacing w:after="0"/>
        <w:rPr>
          <w:rFonts w:ascii="Times New Roman" w:cs="Times New Roman" w:eastAsia="Times New Roman" w:hAnsi="Times New Roman"/>
          <w:sz w:val="18"/>
          <w:szCs w:val="18"/>
          <w:color w:val="auto"/>
        </w:rPr>
      </w:pPr>
      <w:hyperlink r:id="rId76">
        <w:r>
          <w:rPr>
            <w:rFonts w:ascii="Times New Roman" w:cs="Times New Roman" w:eastAsia="Times New Roman" w:hAnsi="Times New Roman"/>
            <w:sz w:val="18"/>
            <w:szCs w:val="18"/>
            <w:color w:val="auto"/>
          </w:rPr>
          <w:t>4.1 of Form 8-A (File No 001-34057), filed February 11, 2020.</w:t>
        </w:r>
      </w:hyperlink>
    </w:p>
    <w:p>
      <w:pPr>
        <w:spacing w:after="0" w:line="153" w:lineRule="exact"/>
        <w:rPr>
          <w:sz w:val="20"/>
          <w:szCs w:val="20"/>
          <w:color w:val="auto"/>
        </w:rPr>
      </w:pPr>
    </w:p>
    <w:p>
      <w:pPr>
        <w:jc w:val="both"/>
        <w:ind w:left="580" w:hanging="1295"/>
        <w:spacing w:after="0" w:line="266" w:lineRule="auto"/>
        <w:tabs>
          <w:tab w:leader="none" w:pos="560" w:val="left"/>
        </w:tabs>
        <w:rPr>
          <w:rFonts w:ascii="Times New Roman" w:cs="Times New Roman" w:eastAsia="Times New Roman" w:hAnsi="Times New Roman"/>
          <w:sz w:val="18"/>
          <w:szCs w:val="18"/>
          <w:color w:val="auto"/>
        </w:rPr>
      </w:pPr>
      <w:hyperlink r:id="rId77">
        <w:r>
          <w:rPr>
            <w:rFonts w:ascii="Times New Roman" w:cs="Times New Roman" w:eastAsia="Times New Roman" w:hAnsi="Times New Roman"/>
            <w:sz w:val="18"/>
            <w:szCs w:val="18"/>
            <w:color w:val="auto"/>
          </w:rPr>
          <w:t>*4.8</w:t>
        </w:r>
      </w:hyperlink>
      <w:r>
        <w:rPr>
          <w:rFonts w:ascii="Times New Roman" w:cs="Times New Roman" w:eastAsia="Times New Roman" w:hAnsi="Times New Roman"/>
          <w:sz w:val="18"/>
          <w:szCs w:val="18"/>
          <w:color w:val="auto"/>
        </w:rPr>
        <w:tab/>
      </w:r>
      <w:hyperlink r:id="rId77">
        <w:r>
          <w:rPr>
            <w:rFonts w:ascii="Times New Roman" w:cs="Times New Roman" w:eastAsia="Times New Roman" w:hAnsi="Times New Roman"/>
            <w:sz w:val="18"/>
            <w:szCs w:val="18"/>
            <w:color w:val="auto"/>
          </w:rPr>
          <w:t>Deposit Agreement relating to 7.00% Series C Fixed-to-Floating Rate Cumulative Redeemable Preferred Stock, dated August 22, 2017, among</w:t>
        </w:r>
      </w:hyperlink>
      <w:r>
        <w:rPr>
          <w:rFonts w:ascii="Times New Roman" w:cs="Times New Roman" w:eastAsia="Times New Roman" w:hAnsi="Times New Roman"/>
          <w:sz w:val="18"/>
          <w:szCs w:val="18"/>
          <w:color w:val="auto"/>
        </w:rPr>
        <w:t xml:space="preserve"> </w:t>
      </w:r>
      <w:hyperlink r:id="rId77">
        <w:r>
          <w:rPr>
            <w:rFonts w:ascii="Times New Roman" w:cs="Times New Roman" w:eastAsia="Times New Roman" w:hAnsi="Times New Roman"/>
            <w:sz w:val="18"/>
            <w:szCs w:val="18"/>
            <w:color w:val="auto"/>
          </w:rPr>
          <w:t>AGNC Investment Corp., Computershare Inc. and Computershare Trust Company, N.A., jointly as depositary, incorporated herein by</w:t>
        </w:r>
      </w:hyperlink>
      <w:r>
        <w:rPr>
          <w:rFonts w:ascii="Times New Roman" w:cs="Times New Roman" w:eastAsia="Times New Roman" w:hAnsi="Times New Roman"/>
          <w:sz w:val="18"/>
          <w:szCs w:val="18"/>
          <w:color w:val="auto"/>
        </w:rPr>
        <w:t xml:space="preserve"> </w:t>
      </w:r>
      <w:hyperlink r:id="rId77">
        <w:r>
          <w:rPr>
            <w:rFonts w:ascii="Times New Roman" w:cs="Times New Roman" w:eastAsia="Times New Roman" w:hAnsi="Times New Roman"/>
            <w:sz w:val="18"/>
            <w:szCs w:val="18"/>
            <w:color w:val="auto"/>
          </w:rPr>
          <w:t>reference to Exhibit 4.2 of Form 8-K (File No. 001-34057) filed August 22, 2017.</w:t>
        </w:r>
      </w:hyperlink>
    </w:p>
    <w:p>
      <w:pPr>
        <w:spacing w:after="0" w:line="122" w:lineRule="exact"/>
        <w:rPr>
          <w:rFonts w:ascii="Times New Roman" w:cs="Times New Roman" w:eastAsia="Times New Roman" w:hAnsi="Times New Roman"/>
          <w:sz w:val="18"/>
          <w:szCs w:val="18"/>
          <w:color w:val="auto"/>
        </w:rPr>
      </w:pPr>
    </w:p>
    <w:p>
      <w:pPr>
        <w:jc w:val="both"/>
        <w:ind w:left="540" w:hanging="1295"/>
        <w:spacing w:after="0" w:line="266" w:lineRule="auto"/>
        <w:tabs>
          <w:tab w:leader="none" w:pos="520" w:val="left"/>
        </w:tabs>
        <w:rPr>
          <w:rFonts w:ascii="Times New Roman" w:cs="Times New Roman" w:eastAsia="Times New Roman" w:hAnsi="Times New Roman"/>
          <w:sz w:val="18"/>
          <w:szCs w:val="18"/>
          <w:color w:val="auto"/>
        </w:rPr>
      </w:pPr>
      <w:hyperlink r:id="rId77">
        <w:r>
          <w:rPr>
            <w:rFonts w:ascii="Times New Roman" w:cs="Times New Roman" w:eastAsia="Times New Roman" w:hAnsi="Times New Roman"/>
            <w:sz w:val="18"/>
            <w:szCs w:val="18"/>
            <w:color w:val="auto"/>
          </w:rPr>
          <w:t>*4.9</w:t>
        </w:r>
      </w:hyperlink>
      <w:r>
        <w:rPr>
          <w:rFonts w:ascii="Times New Roman" w:cs="Times New Roman" w:eastAsia="Times New Roman" w:hAnsi="Times New Roman"/>
          <w:sz w:val="18"/>
          <w:szCs w:val="18"/>
          <w:color w:val="auto"/>
        </w:rPr>
        <w:tab/>
      </w:r>
      <w:hyperlink r:id="rId77">
        <w:r>
          <w:rPr>
            <w:rFonts w:ascii="Times New Roman" w:cs="Times New Roman" w:eastAsia="Times New Roman" w:hAnsi="Times New Roman"/>
            <w:sz w:val="18"/>
            <w:szCs w:val="18"/>
            <w:color w:val="auto"/>
          </w:rPr>
          <w:t>Form of Depositary Receipt representing 1/1,000th of a share of 7.00% Series C Fixed-to-Floating Rate Cumulative Redeemable Preferred Stock</w:t>
        </w:r>
      </w:hyperlink>
      <w:r>
        <w:rPr>
          <w:rFonts w:ascii="Times New Roman" w:cs="Times New Roman" w:eastAsia="Times New Roman" w:hAnsi="Times New Roman"/>
          <w:sz w:val="18"/>
          <w:szCs w:val="18"/>
          <w:color w:val="auto"/>
        </w:rPr>
        <w:t xml:space="preserve"> </w:t>
      </w:r>
      <w:hyperlink r:id="rId77">
        <w:r>
          <w:rPr>
            <w:rFonts w:ascii="Times New Roman" w:cs="Times New Roman" w:eastAsia="Times New Roman" w:hAnsi="Times New Roman"/>
            <w:sz w:val="18"/>
            <w:szCs w:val="18"/>
            <w:color w:val="auto"/>
          </w:rPr>
          <w:t>(included as part of Exhibit 4.8), incorporated herein by reference to Exhibit A of Exhibit 4.2 of Form 8-K (File No. 001-34057) filed</w:t>
        </w:r>
      </w:hyperlink>
      <w:r>
        <w:rPr>
          <w:rFonts w:ascii="Times New Roman" w:cs="Times New Roman" w:eastAsia="Times New Roman" w:hAnsi="Times New Roman"/>
          <w:sz w:val="18"/>
          <w:szCs w:val="18"/>
          <w:color w:val="auto"/>
        </w:rPr>
        <w:t xml:space="preserve"> </w:t>
      </w:r>
      <w:hyperlink r:id="rId77">
        <w:r>
          <w:rPr>
            <w:rFonts w:ascii="Times New Roman" w:cs="Times New Roman" w:eastAsia="Times New Roman" w:hAnsi="Times New Roman"/>
            <w:sz w:val="18"/>
            <w:szCs w:val="18"/>
            <w:color w:val="auto"/>
          </w:rPr>
          <w:t>August 22, 2017.</w:t>
        </w:r>
      </w:hyperlink>
    </w:p>
    <w:p>
      <w:pPr>
        <w:spacing w:after="0" w:line="122" w:lineRule="exact"/>
        <w:rPr>
          <w:rFonts w:ascii="Times New Roman" w:cs="Times New Roman" w:eastAsia="Times New Roman" w:hAnsi="Times New Roman"/>
          <w:sz w:val="18"/>
          <w:szCs w:val="18"/>
          <w:color w:val="auto"/>
        </w:rPr>
      </w:pPr>
    </w:p>
    <w:p>
      <w:pPr>
        <w:jc w:val="both"/>
        <w:ind w:left="660" w:hanging="1295"/>
        <w:spacing w:after="0" w:line="266" w:lineRule="auto"/>
        <w:tabs>
          <w:tab w:leader="none" w:pos="640" w:val="left"/>
        </w:tabs>
        <w:rPr>
          <w:rFonts w:ascii="Times New Roman" w:cs="Times New Roman" w:eastAsia="Times New Roman" w:hAnsi="Times New Roman"/>
          <w:sz w:val="18"/>
          <w:szCs w:val="18"/>
          <w:color w:val="auto"/>
        </w:rPr>
      </w:pPr>
      <w:hyperlink r:id="rId78">
        <w:r>
          <w:rPr>
            <w:rFonts w:ascii="Times New Roman" w:cs="Times New Roman" w:eastAsia="Times New Roman" w:hAnsi="Times New Roman"/>
            <w:sz w:val="18"/>
            <w:szCs w:val="18"/>
            <w:color w:val="auto"/>
          </w:rPr>
          <w:t>*4.10</w:t>
        </w:r>
      </w:hyperlink>
      <w:r>
        <w:rPr>
          <w:rFonts w:ascii="Times New Roman" w:cs="Times New Roman" w:eastAsia="Times New Roman" w:hAnsi="Times New Roman"/>
          <w:sz w:val="18"/>
          <w:szCs w:val="18"/>
          <w:color w:val="auto"/>
        </w:rPr>
        <w:tab/>
      </w:r>
      <w:hyperlink r:id="rId78">
        <w:r>
          <w:rPr>
            <w:rFonts w:ascii="Times New Roman" w:cs="Times New Roman" w:eastAsia="Times New Roman" w:hAnsi="Times New Roman"/>
            <w:sz w:val="18"/>
            <w:szCs w:val="18"/>
            <w:color w:val="auto"/>
          </w:rPr>
          <w:t>Deposit Agreement relating to 6.875% Series D Fixed-to-Floating Rate Cumulative Redeemable Preferred Stock, dated March 6, 2019, among</w:t>
        </w:r>
      </w:hyperlink>
      <w:r>
        <w:rPr>
          <w:rFonts w:ascii="Times New Roman" w:cs="Times New Roman" w:eastAsia="Times New Roman" w:hAnsi="Times New Roman"/>
          <w:sz w:val="18"/>
          <w:szCs w:val="18"/>
          <w:color w:val="auto"/>
        </w:rPr>
        <w:t xml:space="preserve"> </w:t>
      </w:r>
      <w:hyperlink r:id="rId78">
        <w:r>
          <w:rPr>
            <w:rFonts w:ascii="Times New Roman" w:cs="Times New Roman" w:eastAsia="Times New Roman" w:hAnsi="Times New Roman"/>
            <w:sz w:val="18"/>
            <w:szCs w:val="18"/>
            <w:color w:val="auto"/>
          </w:rPr>
          <w:t>AGNC Investment Corp., Computershare Inc. and Computershare Trust Company, N.A., jointly as depositary, incorporated herein by</w:t>
        </w:r>
      </w:hyperlink>
      <w:r>
        <w:rPr>
          <w:rFonts w:ascii="Times New Roman" w:cs="Times New Roman" w:eastAsia="Times New Roman" w:hAnsi="Times New Roman"/>
          <w:sz w:val="18"/>
          <w:szCs w:val="18"/>
          <w:color w:val="auto"/>
        </w:rPr>
        <w:t xml:space="preserve"> </w:t>
      </w:r>
      <w:hyperlink r:id="rId78">
        <w:r>
          <w:rPr>
            <w:rFonts w:ascii="Times New Roman" w:cs="Times New Roman" w:eastAsia="Times New Roman" w:hAnsi="Times New Roman"/>
            <w:sz w:val="18"/>
            <w:szCs w:val="18"/>
            <w:color w:val="auto"/>
          </w:rPr>
          <w:t>reference to Exhibit 4.2 of Form 8-K (File No. 001-34057) filed March 6, 2019.</w:t>
        </w:r>
      </w:hyperlink>
    </w:p>
    <w:p>
      <w:pPr>
        <w:spacing w:after="0" w:line="122" w:lineRule="exact"/>
        <w:rPr>
          <w:rFonts w:ascii="Times New Roman" w:cs="Times New Roman" w:eastAsia="Times New Roman" w:hAnsi="Times New Roman"/>
          <w:sz w:val="18"/>
          <w:szCs w:val="18"/>
          <w:color w:val="auto"/>
        </w:rPr>
      </w:pPr>
    </w:p>
    <w:p>
      <w:pPr>
        <w:jc w:val="both"/>
        <w:ind w:left="600" w:hanging="1295"/>
        <w:spacing w:after="0" w:line="266" w:lineRule="auto"/>
        <w:tabs>
          <w:tab w:leader="none" w:pos="580" w:val="left"/>
        </w:tabs>
        <w:rPr>
          <w:rFonts w:ascii="Times New Roman" w:cs="Times New Roman" w:eastAsia="Times New Roman" w:hAnsi="Times New Roman"/>
          <w:sz w:val="18"/>
          <w:szCs w:val="18"/>
          <w:color w:val="auto"/>
        </w:rPr>
      </w:pPr>
      <w:hyperlink r:id="rId78">
        <w:r>
          <w:rPr>
            <w:rFonts w:ascii="Times New Roman" w:cs="Times New Roman" w:eastAsia="Times New Roman" w:hAnsi="Times New Roman"/>
            <w:sz w:val="18"/>
            <w:szCs w:val="18"/>
            <w:color w:val="auto"/>
          </w:rPr>
          <w:t>*4.11</w:t>
        </w:r>
      </w:hyperlink>
      <w:r>
        <w:rPr>
          <w:rFonts w:ascii="Times New Roman" w:cs="Times New Roman" w:eastAsia="Times New Roman" w:hAnsi="Times New Roman"/>
          <w:sz w:val="18"/>
          <w:szCs w:val="18"/>
          <w:color w:val="auto"/>
        </w:rPr>
        <w:tab/>
      </w:r>
      <w:hyperlink r:id="rId78">
        <w:r>
          <w:rPr>
            <w:rFonts w:ascii="Times New Roman" w:cs="Times New Roman" w:eastAsia="Times New Roman" w:hAnsi="Times New Roman"/>
            <w:sz w:val="18"/>
            <w:szCs w:val="18"/>
            <w:color w:val="auto"/>
          </w:rPr>
          <w:t>Form of Depositary Receipt representing 1/1,000th of a share of 6.875% Series D Fixed-to-Floating Rate Cumulative Redeemable Preferred Stock</w:t>
        </w:r>
      </w:hyperlink>
      <w:r>
        <w:rPr>
          <w:rFonts w:ascii="Times New Roman" w:cs="Times New Roman" w:eastAsia="Times New Roman" w:hAnsi="Times New Roman"/>
          <w:sz w:val="18"/>
          <w:szCs w:val="18"/>
          <w:color w:val="auto"/>
        </w:rPr>
        <w:t xml:space="preserve"> </w:t>
      </w:r>
      <w:hyperlink r:id="rId78">
        <w:r>
          <w:rPr>
            <w:rFonts w:ascii="Times New Roman" w:cs="Times New Roman" w:eastAsia="Times New Roman" w:hAnsi="Times New Roman"/>
            <w:sz w:val="18"/>
            <w:szCs w:val="18"/>
            <w:color w:val="auto"/>
          </w:rPr>
          <w:t>(included as part of Exhibit 4.10), incorporated herein by reference to Exhibit A of Exhibit 4.2 of Form 8-K (File No. 001-34057) filed</w:t>
        </w:r>
      </w:hyperlink>
      <w:r>
        <w:rPr>
          <w:rFonts w:ascii="Times New Roman" w:cs="Times New Roman" w:eastAsia="Times New Roman" w:hAnsi="Times New Roman"/>
          <w:sz w:val="18"/>
          <w:szCs w:val="18"/>
          <w:color w:val="auto"/>
        </w:rPr>
        <w:t xml:space="preserve"> </w:t>
      </w:r>
      <w:hyperlink r:id="rId78">
        <w:r>
          <w:rPr>
            <w:rFonts w:ascii="Times New Roman" w:cs="Times New Roman" w:eastAsia="Times New Roman" w:hAnsi="Times New Roman"/>
            <w:sz w:val="18"/>
            <w:szCs w:val="18"/>
            <w:color w:val="auto"/>
          </w:rPr>
          <w:t>March 6, 2019.</w:t>
        </w:r>
      </w:hyperlink>
    </w:p>
    <w:p>
      <w:pPr>
        <w:spacing w:after="0" w:line="122" w:lineRule="exact"/>
        <w:rPr>
          <w:rFonts w:ascii="Times New Roman" w:cs="Times New Roman" w:eastAsia="Times New Roman" w:hAnsi="Times New Roman"/>
          <w:sz w:val="18"/>
          <w:szCs w:val="18"/>
          <w:color w:val="auto"/>
        </w:rPr>
      </w:pPr>
    </w:p>
    <w:p>
      <w:pPr>
        <w:jc w:val="both"/>
        <w:ind w:left="600" w:right="320" w:hanging="1295"/>
        <w:spacing w:after="0" w:line="266" w:lineRule="auto"/>
        <w:tabs>
          <w:tab w:leader="none" w:pos="580" w:val="left"/>
        </w:tabs>
        <w:rPr>
          <w:rFonts w:ascii="Times New Roman" w:cs="Times New Roman" w:eastAsia="Times New Roman" w:hAnsi="Times New Roman"/>
          <w:sz w:val="18"/>
          <w:szCs w:val="18"/>
          <w:color w:val="auto"/>
        </w:rPr>
      </w:pPr>
      <w:hyperlink r:id="rId79">
        <w:r>
          <w:rPr>
            <w:rFonts w:ascii="Times New Roman" w:cs="Times New Roman" w:eastAsia="Times New Roman" w:hAnsi="Times New Roman"/>
            <w:sz w:val="18"/>
            <w:szCs w:val="18"/>
            <w:color w:val="auto"/>
          </w:rPr>
          <w:t>*4.12</w:t>
        </w:r>
      </w:hyperlink>
      <w:r>
        <w:rPr>
          <w:rFonts w:ascii="Times New Roman" w:cs="Times New Roman" w:eastAsia="Times New Roman" w:hAnsi="Times New Roman"/>
          <w:sz w:val="18"/>
          <w:szCs w:val="18"/>
          <w:color w:val="auto"/>
        </w:rPr>
        <w:tab/>
      </w:r>
      <w:hyperlink r:id="rId79">
        <w:r>
          <w:rPr>
            <w:rFonts w:ascii="Times New Roman" w:cs="Times New Roman" w:eastAsia="Times New Roman" w:hAnsi="Times New Roman"/>
            <w:sz w:val="18"/>
            <w:szCs w:val="18"/>
            <w:color w:val="auto"/>
          </w:rPr>
          <w:t>Deposit Agreement relating to 6.50% Series E Fixed-to-Floating Rate Cumulative Redeemable Preferred Stock, dated October 3, 2019, among</w:t>
        </w:r>
      </w:hyperlink>
      <w:r>
        <w:rPr>
          <w:rFonts w:ascii="Times New Roman" w:cs="Times New Roman" w:eastAsia="Times New Roman" w:hAnsi="Times New Roman"/>
          <w:sz w:val="18"/>
          <w:szCs w:val="18"/>
          <w:color w:val="auto"/>
        </w:rPr>
        <w:t xml:space="preserve"> </w:t>
      </w:r>
      <w:hyperlink r:id="rId79">
        <w:r>
          <w:rPr>
            <w:rFonts w:ascii="Times New Roman" w:cs="Times New Roman" w:eastAsia="Times New Roman" w:hAnsi="Times New Roman"/>
            <w:sz w:val="18"/>
            <w:szCs w:val="18"/>
            <w:color w:val="auto"/>
          </w:rPr>
          <w:t>AGNC Investment Corp., Computershare Inc. and Computershare Trust Company, N.A., jointly as depositary, incorporated herein by</w:t>
        </w:r>
      </w:hyperlink>
      <w:r>
        <w:rPr>
          <w:rFonts w:ascii="Times New Roman" w:cs="Times New Roman" w:eastAsia="Times New Roman" w:hAnsi="Times New Roman"/>
          <w:sz w:val="18"/>
          <w:szCs w:val="18"/>
          <w:color w:val="auto"/>
        </w:rPr>
        <w:t xml:space="preserve"> </w:t>
      </w:r>
      <w:hyperlink r:id="rId79">
        <w:r>
          <w:rPr>
            <w:rFonts w:ascii="Times New Roman" w:cs="Times New Roman" w:eastAsia="Times New Roman" w:hAnsi="Times New Roman"/>
            <w:sz w:val="18"/>
            <w:szCs w:val="18"/>
            <w:color w:val="auto"/>
          </w:rPr>
          <w:t>reference to Exhibit 4.2 of Form 8-K (File No. 001-34057) filed October 3, 2019.</w:t>
        </w:r>
      </w:hyperlink>
    </w:p>
    <w:p>
      <w:pPr>
        <w:spacing w:after="0" w:line="122" w:lineRule="exact"/>
        <w:rPr>
          <w:rFonts w:ascii="Times New Roman" w:cs="Times New Roman" w:eastAsia="Times New Roman" w:hAnsi="Times New Roman"/>
          <w:sz w:val="18"/>
          <w:szCs w:val="18"/>
          <w:color w:val="auto"/>
        </w:rPr>
      </w:pPr>
    </w:p>
    <w:p>
      <w:pPr>
        <w:jc w:val="both"/>
        <w:ind w:left="600" w:right="200" w:hanging="1295"/>
        <w:spacing w:after="0" w:line="266" w:lineRule="auto"/>
        <w:tabs>
          <w:tab w:leader="none" w:pos="580" w:val="left"/>
        </w:tabs>
        <w:rPr>
          <w:rFonts w:ascii="Times New Roman" w:cs="Times New Roman" w:eastAsia="Times New Roman" w:hAnsi="Times New Roman"/>
          <w:sz w:val="18"/>
          <w:szCs w:val="18"/>
          <w:color w:val="auto"/>
        </w:rPr>
      </w:pPr>
      <w:hyperlink r:id="rId79">
        <w:r>
          <w:rPr>
            <w:rFonts w:ascii="Times New Roman" w:cs="Times New Roman" w:eastAsia="Times New Roman" w:hAnsi="Times New Roman"/>
            <w:sz w:val="18"/>
            <w:szCs w:val="18"/>
            <w:color w:val="auto"/>
          </w:rPr>
          <w:t>*4.13</w:t>
        </w:r>
      </w:hyperlink>
      <w:r>
        <w:rPr>
          <w:rFonts w:ascii="Times New Roman" w:cs="Times New Roman" w:eastAsia="Times New Roman" w:hAnsi="Times New Roman"/>
          <w:sz w:val="18"/>
          <w:szCs w:val="18"/>
          <w:color w:val="auto"/>
        </w:rPr>
        <w:tab/>
      </w:r>
      <w:hyperlink r:id="rId79">
        <w:r>
          <w:rPr>
            <w:rFonts w:ascii="Times New Roman" w:cs="Times New Roman" w:eastAsia="Times New Roman" w:hAnsi="Times New Roman"/>
            <w:sz w:val="18"/>
            <w:szCs w:val="18"/>
            <w:color w:val="auto"/>
          </w:rPr>
          <w:t>Form of Depositary Receipt representing 1/1,000th of a share of 6.50% Series E Fixed-to-Floating Rate Cumulative Redeemable Preferred Stock</w:t>
        </w:r>
      </w:hyperlink>
      <w:r>
        <w:rPr>
          <w:rFonts w:ascii="Times New Roman" w:cs="Times New Roman" w:eastAsia="Times New Roman" w:hAnsi="Times New Roman"/>
          <w:sz w:val="18"/>
          <w:szCs w:val="18"/>
          <w:color w:val="auto"/>
        </w:rPr>
        <w:t xml:space="preserve"> </w:t>
      </w:r>
      <w:hyperlink r:id="rId79">
        <w:r>
          <w:rPr>
            <w:rFonts w:ascii="Times New Roman" w:cs="Times New Roman" w:eastAsia="Times New Roman" w:hAnsi="Times New Roman"/>
            <w:sz w:val="18"/>
            <w:szCs w:val="18"/>
            <w:color w:val="auto"/>
          </w:rPr>
          <w:t>(included as part of Exhibit 4.12), incorporated herein by reference to Exhibit A of Exhibit 4.2 of Form 8-K (File No. 001-34057) filed</w:t>
        </w:r>
      </w:hyperlink>
      <w:r>
        <w:rPr>
          <w:rFonts w:ascii="Times New Roman" w:cs="Times New Roman" w:eastAsia="Times New Roman" w:hAnsi="Times New Roman"/>
          <w:sz w:val="18"/>
          <w:szCs w:val="18"/>
          <w:color w:val="auto"/>
        </w:rPr>
        <w:t xml:space="preserve"> </w:t>
      </w:r>
      <w:hyperlink r:id="rId79">
        <w:r>
          <w:rPr>
            <w:rFonts w:ascii="Times New Roman" w:cs="Times New Roman" w:eastAsia="Times New Roman" w:hAnsi="Times New Roman"/>
            <w:sz w:val="18"/>
            <w:szCs w:val="18"/>
            <w:color w:val="auto"/>
          </w:rPr>
          <w:t>October 3, 2019.</w:t>
        </w:r>
      </w:hyperlink>
    </w:p>
    <w:p>
      <w:pPr>
        <w:spacing w:after="0" w:line="122" w:lineRule="exact"/>
        <w:rPr>
          <w:rFonts w:ascii="Times New Roman" w:cs="Times New Roman" w:eastAsia="Times New Roman" w:hAnsi="Times New Roman"/>
          <w:sz w:val="18"/>
          <w:szCs w:val="18"/>
          <w:color w:val="auto"/>
        </w:rPr>
      </w:pPr>
    </w:p>
    <w:p>
      <w:pPr>
        <w:ind w:left="600" w:right="140" w:hanging="1295"/>
        <w:spacing w:after="0" w:line="266" w:lineRule="auto"/>
        <w:tabs>
          <w:tab w:leader="none" w:pos="580" w:val="left"/>
        </w:tabs>
        <w:rPr>
          <w:rFonts w:ascii="Times New Roman" w:cs="Times New Roman" w:eastAsia="Times New Roman" w:hAnsi="Times New Roman"/>
          <w:sz w:val="18"/>
          <w:szCs w:val="18"/>
          <w:color w:val="auto"/>
        </w:rPr>
      </w:pPr>
      <w:hyperlink r:id="rId80">
        <w:r>
          <w:rPr>
            <w:rFonts w:ascii="Times New Roman" w:cs="Times New Roman" w:eastAsia="Times New Roman" w:hAnsi="Times New Roman"/>
            <w:sz w:val="18"/>
            <w:szCs w:val="18"/>
            <w:color w:val="auto"/>
          </w:rPr>
          <w:t>*4.14</w:t>
        </w:r>
      </w:hyperlink>
      <w:r>
        <w:rPr>
          <w:rFonts w:ascii="Times New Roman" w:cs="Times New Roman" w:eastAsia="Times New Roman" w:hAnsi="Times New Roman"/>
          <w:sz w:val="18"/>
          <w:szCs w:val="18"/>
          <w:color w:val="auto"/>
        </w:rPr>
        <w:tab/>
      </w:r>
      <w:hyperlink r:id="rId80">
        <w:r>
          <w:rPr>
            <w:rFonts w:ascii="Times New Roman" w:cs="Times New Roman" w:eastAsia="Times New Roman" w:hAnsi="Times New Roman"/>
            <w:sz w:val="18"/>
            <w:szCs w:val="18"/>
            <w:color w:val="auto"/>
          </w:rPr>
          <w:t>Deposit Agreement relating to 6.125% Series F Fixed-to-Floating Rate Cumulative Redeemable Preferred Stock, dated February 11, 2020, among</w:t>
        </w:r>
      </w:hyperlink>
      <w:r>
        <w:rPr>
          <w:rFonts w:ascii="Times New Roman" w:cs="Times New Roman" w:eastAsia="Times New Roman" w:hAnsi="Times New Roman"/>
          <w:sz w:val="18"/>
          <w:szCs w:val="18"/>
          <w:color w:val="auto"/>
        </w:rPr>
        <w:t xml:space="preserve"> </w:t>
      </w:r>
      <w:hyperlink r:id="rId80">
        <w:r>
          <w:rPr>
            <w:rFonts w:ascii="Times New Roman" w:cs="Times New Roman" w:eastAsia="Times New Roman" w:hAnsi="Times New Roman"/>
            <w:sz w:val="18"/>
            <w:szCs w:val="18"/>
            <w:color w:val="auto"/>
          </w:rPr>
          <w:t>AGNC Investment Corp., Computershare Inc. and Computershare Trust Company, N.A., jointly as depositary, incorporated herein by</w:t>
        </w:r>
      </w:hyperlink>
      <w:r>
        <w:rPr>
          <w:rFonts w:ascii="Times New Roman" w:cs="Times New Roman" w:eastAsia="Times New Roman" w:hAnsi="Times New Roman"/>
          <w:sz w:val="18"/>
          <w:szCs w:val="18"/>
          <w:color w:val="auto"/>
        </w:rPr>
        <w:t xml:space="preserve"> </w:t>
      </w:r>
      <w:hyperlink r:id="rId80">
        <w:r>
          <w:rPr>
            <w:rFonts w:ascii="Times New Roman" w:cs="Times New Roman" w:eastAsia="Times New Roman" w:hAnsi="Times New Roman"/>
            <w:sz w:val="18"/>
            <w:szCs w:val="18"/>
            <w:color w:val="auto"/>
          </w:rPr>
          <w:t>reference to Exhibit 4.1 of Form 8-K (File No. 001-34057) filed February 11, 2020.</w:t>
        </w:r>
      </w:hyperlink>
    </w:p>
    <w:p>
      <w:pPr>
        <w:spacing w:after="0" w:line="122" w:lineRule="exact"/>
        <w:rPr>
          <w:rFonts w:ascii="Times New Roman" w:cs="Times New Roman" w:eastAsia="Times New Roman" w:hAnsi="Times New Roman"/>
          <w:sz w:val="18"/>
          <w:szCs w:val="18"/>
          <w:color w:val="auto"/>
        </w:rPr>
      </w:pPr>
    </w:p>
    <w:p>
      <w:pPr>
        <w:ind w:left="600" w:right="120" w:hanging="1295"/>
        <w:spacing w:after="0" w:line="266" w:lineRule="auto"/>
        <w:tabs>
          <w:tab w:leader="none" w:pos="580" w:val="left"/>
        </w:tabs>
        <w:rPr>
          <w:rFonts w:ascii="Times New Roman" w:cs="Times New Roman" w:eastAsia="Times New Roman" w:hAnsi="Times New Roman"/>
          <w:sz w:val="18"/>
          <w:szCs w:val="18"/>
          <w:color w:val="auto"/>
        </w:rPr>
      </w:pPr>
      <w:hyperlink r:id="rId80">
        <w:r>
          <w:rPr>
            <w:rFonts w:ascii="Times New Roman" w:cs="Times New Roman" w:eastAsia="Times New Roman" w:hAnsi="Times New Roman"/>
            <w:sz w:val="18"/>
            <w:szCs w:val="18"/>
            <w:color w:val="auto"/>
          </w:rPr>
          <w:t>*4.15</w:t>
        </w:r>
      </w:hyperlink>
      <w:r>
        <w:rPr>
          <w:rFonts w:ascii="Times New Roman" w:cs="Times New Roman" w:eastAsia="Times New Roman" w:hAnsi="Times New Roman"/>
          <w:sz w:val="18"/>
          <w:szCs w:val="18"/>
          <w:color w:val="auto"/>
        </w:rPr>
        <w:tab/>
      </w:r>
      <w:hyperlink r:id="rId80">
        <w:r>
          <w:rPr>
            <w:rFonts w:ascii="Times New Roman" w:cs="Times New Roman" w:eastAsia="Times New Roman" w:hAnsi="Times New Roman"/>
            <w:sz w:val="18"/>
            <w:szCs w:val="18"/>
            <w:color w:val="auto"/>
          </w:rPr>
          <w:t>Form of Depositary Receipt representing 1/1,000th of a share of 6.125% Series F Fixed-to-Floating Rate Cumulative Redeemable Preferred Stock</w:t>
        </w:r>
      </w:hyperlink>
      <w:r>
        <w:rPr>
          <w:rFonts w:ascii="Times New Roman" w:cs="Times New Roman" w:eastAsia="Times New Roman" w:hAnsi="Times New Roman"/>
          <w:sz w:val="18"/>
          <w:szCs w:val="18"/>
          <w:color w:val="auto"/>
        </w:rPr>
        <w:t xml:space="preserve"> </w:t>
      </w:r>
      <w:hyperlink r:id="rId80">
        <w:r>
          <w:rPr>
            <w:rFonts w:ascii="Times New Roman" w:cs="Times New Roman" w:eastAsia="Times New Roman" w:hAnsi="Times New Roman"/>
            <w:sz w:val="18"/>
            <w:szCs w:val="18"/>
            <w:color w:val="auto"/>
          </w:rPr>
          <w:t>(included as part of Exhibit 4.14), incorporated herein by reference to Exhibit A of Exhibit 4.1 of Form 8-K (File No. 001-34057) filed</w:t>
        </w:r>
      </w:hyperlink>
      <w:r>
        <w:rPr>
          <w:rFonts w:ascii="Times New Roman" w:cs="Times New Roman" w:eastAsia="Times New Roman" w:hAnsi="Times New Roman"/>
          <w:sz w:val="18"/>
          <w:szCs w:val="18"/>
          <w:color w:val="auto"/>
        </w:rPr>
        <w:t xml:space="preserve"> </w:t>
      </w:r>
      <w:hyperlink r:id="rId80">
        <w:r>
          <w:rPr>
            <w:rFonts w:ascii="Times New Roman" w:cs="Times New Roman" w:eastAsia="Times New Roman" w:hAnsi="Times New Roman"/>
            <w:sz w:val="18"/>
            <w:szCs w:val="18"/>
            <w:color w:val="auto"/>
          </w:rPr>
          <w:t>February 11, 2020.</w:t>
        </w:r>
      </w:hyperlink>
    </w:p>
    <w:p>
      <w:pPr>
        <w:spacing w:after="0" w:line="122" w:lineRule="exact"/>
        <w:rPr>
          <w:rFonts w:ascii="Times New Roman" w:cs="Times New Roman" w:eastAsia="Times New Roman" w:hAnsi="Times New Roman"/>
          <w:sz w:val="18"/>
          <w:szCs w:val="18"/>
          <w:color w:val="auto"/>
        </w:rPr>
      </w:pPr>
    </w:p>
    <w:p>
      <w:pPr>
        <w:spacing w:after="0"/>
        <w:tabs>
          <w:tab w:leader="none" w:pos="480" w:val="left"/>
        </w:tabs>
        <w:rPr>
          <w:sz w:val="20"/>
          <w:szCs w:val="20"/>
          <w:color w:val="auto"/>
        </w:rPr>
      </w:pPr>
      <w:r>
        <w:rPr>
          <w:rFonts w:ascii="Times New Roman" w:cs="Times New Roman" w:eastAsia="Times New Roman" w:hAnsi="Times New Roman"/>
          <w:sz w:val="18"/>
          <w:szCs w:val="18"/>
          <w:color w:val="auto"/>
        </w:rPr>
        <w:t>31.1</w:t>
        <w:tab/>
        <w:t>Certification of CEO Pursuant to Section 302(a) of the Sarbanes-Oxley Act of 2002.</w:t>
      </w:r>
    </w:p>
    <w:p>
      <w:pPr>
        <w:spacing w:after="0" w:line="171" w:lineRule="exact"/>
        <w:rPr>
          <w:rFonts w:ascii="Times New Roman" w:cs="Times New Roman" w:eastAsia="Times New Roman" w:hAnsi="Times New Roman"/>
          <w:sz w:val="18"/>
          <w:szCs w:val="18"/>
          <w:color w:val="auto"/>
        </w:rPr>
      </w:pPr>
    </w:p>
    <w:p>
      <w:pPr>
        <w:spacing w:after="0"/>
        <w:tabs>
          <w:tab w:leader="none" w:pos="480" w:val="left"/>
        </w:tabs>
        <w:rPr>
          <w:sz w:val="20"/>
          <w:szCs w:val="20"/>
          <w:color w:val="auto"/>
        </w:rPr>
      </w:pPr>
      <w:r>
        <w:rPr>
          <w:rFonts w:ascii="Times New Roman" w:cs="Times New Roman" w:eastAsia="Times New Roman" w:hAnsi="Times New Roman"/>
          <w:sz w:val="18"/>
          <w:szCs w:val="18"/>
          <w:color w:val="auto"/>
        </w:rPr>
        <w:t>31.2</w:t>
      </w:r>
      <w:r>
        <w:rPr>
          <w:sz w:val="20"/>
          <w:szCs w:val="20"/>
          <w:color w:val="auto"/>
        </w:rPr>
        <w:tab/>
      </w:r>
      <w:r>
        <w:rPr>
          <w:rFonts w:ascii="Times New Roman" w:cs="Times New Roman" w:eastAsia="Times New Roman" w:hAnsi="Times New Roman"/>
          <w:sz w:val="17"/>
          <w:szCs w:val="17"/>
          <w:color w:val="auto"/>
        </w:rPr>
        <w:t>Certification of CFO Pursuant to Section 302(a) of the Sarbanes-Oxley Act of 2002.</w:t>
      </w:r>
    </w:p>
    <w:p>
      <w:pPr>
        <w:spacing w:after="0" w:line="171" w:lineRule="exact"/>
        <w:rPr>
          <w:rFonts w:ascii="Times New Roman" w:cs="Times New Roman" w:eastAsia="Times New Roman" w:hAnsi="Times New Roman"/>
          <w:sz w:val="18"/>
          <w:szCs w:val="18"/>
          <w:color w:val="auto"/>
        </w:rPr>
      </w:pPr>
    </w:p>
    <w:p>
      <w:pPr>
        <w:spacing w:after="0"/>
        <w:tabs>
          <w:tab w:leader="none" w:pos="340" w:val="left"/>
        </w:tabs>
        <w:rPr>
          <w:sz w:val="20"/>
          <w:szCs w:val="20"/>
          <w:color w:val="auto"/>
        </w:rPr>
      </w:pPr>
      <w:r>
        <w:rPr>
          <w:rFonts w:ascii="Times New Roman" w:cs="Times New Roman" w:eastAsia="Times New Roman" w:hAnsi="Times New Roman"/>
          <w:sz w:val="18"/>
          <w:szCs w:val="18"/>
          <w:color w:val="auto"/>
        </w:rPr>
        <w:t>32</w:t>
        <w:tab/>
        <w:t>Certification of CEO and CFO Pursuant to Section 906 of the Sarbanes-Oxley Act of 2002.</w:t>
      </w:r>
    </w:p>
    <w:p>
      <w:pPr>
        <w:spacing w:after="0" w:line="171" w:lineRule="exact"/>
        <w:rPr>
          <w:rFonts w:ascii="Times New Roman" w:cs="Times New Roman" w:eastAsia="Times New Roman" w:hAnsi="Times New Roman"/>
          <w:sz w:val="18"/>
          <w:szCs w:val="18"/>
          <w:color w:val="auto"/>
        </w:rPr>
      </w:pPr>
    </w:p>
    <w:p>
      <w:pPr>
        <w:spacing w:after="0"/>
        <w:tabs>
          <w:tab w:leader="none" w:pos="940" w:val="left"/>
        </w:tabs>
        <w:rPr>
          <w:sz w:val="20"/>
          <w:szCs w:val="20"/>
          <w:color w:val="auto"/>
        </w:rPr>
      </w:pPr>
      <w:r>
        <w:rPr>
          <w:rFonts w:ascii="Times New Roman" w:cs="Times New Roman" w:eastAsia="Times New Roman" w:hAnsi="Times New Roman"/>
          <w:sz w:val="18"/>
          <w:szCs w:val="18"/>
          <w:color w:val="auto"/>
        </w:rPr>
        <w:t>101.INS**</w:t>
        <w:tab/>
        <w:t>The instance document does not appear in the interactive data file because its XBRL tags are embedded within the inline XBRL document</w:t>
      </w:r>
    </w:p>
    <w:p>
      <w:pPr>
        <w:spacing w:after="0" w:line="200" w:lineRule="exact"/>
        <w:rPr>
          <w:rFonts w:ascii="Times New Roman" w:cs="Times New Roman" w:eastAsia="Times New Roman" w:hAnsi="Times New Roman"/>
          <w:sz w:val="18"/>
          <w:szCs w:val="18"/>
          <w:color w:val="auto"/>
        </w:rPr>
      </w:pPr>
    </w:p>
    <w:p>
      <w:pPr>
        <w:spacing w:after="0" w:line="363" w:lineRule="exact"/>
        <w:rPr>
          <w:rFonts w:ascii="Times New Roman" w:cs="Times New Roman" w:eastAsia="Times New Roman" w:hAnsi="Times New Roman"/>
          <w:sz w:val="18"/>
          <w:szCs w:val="18"/>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3" w:right="339" w:bottom="1440" w:gutter="0" w:footer="0" w:header="0"/>
        </w:sectPr>
      </w:pPr>
    </w:p>
    <w:bookmarkStart w:id="47" w:name="page48"/>
    <w:bookmarkEnd w:id="47"/>
    <w:p>
      <w:pPr>
        <w:spacing w:after="0"/>
        <w:tabs>
          <w:tab w:leader="none" w:pos="1020" w:val="left"/>
        </w:tabs>
        <w:rPr>
          <w:sz w:val="20"/>
          <w:szCs w:val="20"/>
          <w:color w:val="auto"/>
        </w:rPr>
      </w:pPr>
      <w:r>
        <w:rPr>
          <w:rFonts w:ascii="Times New Roman" w:cs="Times New Roman" w:eastAsia="Times New Roman" w:hAnsi="Times New Roman"/>
          <w:sz w:val="18"/>
          <w:szCs w:val="18"/>
          <w:color w:val="auto"/>
        </w:rPr>
        <w:t>101.SCH**</w:t>
      </w:r>
      <w:r>
        <w:rPr>
          <w:sz w:val="20"/>
          <w:szCs w:val="20"/>
          <w:color w:val="auto"/>
        </w:rPr>
        <w:tab/>
      </w:r>
      <w:r>
        <w:rPr>
          <w:rFonts w:ascii="Times New Roman" w:cs="Times New Roman" w:eastAsia="Times New Roman" w:hAnsi="Times New Roman"/>
          <w:sz w:val="17"/>
          <w:szCs w:val="17"/>
          <w:color w:val="auto"/>
        </w:rPr>
        <w:t>XBRL Taxonomy Extension Schema Document</w:t>
      </w:r>
    </w:p>
    <w:p>
      <w:pPr>
        <w:spacing w:after="0" w:line="171"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18"/>
          <w:szCs w:val="18"/>
          <w:color w:val="auto"/>
        </w:rPr>
        <w:t>101.CAL**</w:t>
      </w:r>
      <w:r>
        <w:rPr>
          <w:sz w:val="20"/>
          <w:szCs w:val="20"/>
          <w:color w:val="auto"/>
        </w:rPr>
        <w:tab/>
      </w:r>
      <w:r>
        <w:rPr>
          <w:rFonts w:ascii="Times New Roman" w:cs="Times New Roman" w:eastAsia="Times New Roman" w:hAnsi="Times New Roman"/>
          <w:sz w:val="17"/>
          <w:szCs w:val="17"/>
          <w:color w:val="auto"/>
        </w:rPr>
        <w:t>XBRL Taxonomy Extension Calculation Linkbase Document</w:t>
      </w:r>
    </w:p>
    <w:p>
      <w:pPr>
        <w:spacing w:after="0" w:line="171"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18"/>
          <w:szCs w:val="18"/>
          <w:color w:val="auto"/>
        </w:rPr>
        <w:t>101.LAB**</w:t>
      </w:r>
      <w:r>
        <w:rPr>
          <w:sz w:val="20"/>
          <w:szCs w:val="20"/>
          <w:color w:val="auto"/>
        </w:rPr>
        <w:tab/>
      </w:r>
      <w:r>
        <w:rPr>
          <w:rFonts w:ascii="Times New Roman" w:cs="Times New Roman" w:eastAsia="Times New Roman" w:hAnsi="Times New Roman"/>
          <w:sz w:val="17"/>
          <w:szCs w:val="17"/>
          <w:color w:val="auto"/>
        </w:rPr>
        <w:t>XBRL Taxonomy Extension Labels Linkbase Document</w:t>
      </w:r>
    </w:p>
    <w:p>
      <w:pPr>
        <w:spacing w:after="0" w:line="171" w:lineRule="exact"/>
        <w:rPr>
          <w:sz w:val="20"/>
          <w:szCs w:val="20"/>
          <w:color w:val="auto"/>
        </w:rPr>
      </w:pPr>
    </w:p>
    <w:p>
      <w:pPr>
        <w:spacing w:after="0"/>
        <w:tabs>
          <w:tab w:leader="none" w:pos="1000" w:val="left"/>
        </w:tabs>
        <w:rPr>
          <w:sz w:val="20"/>
          <w:szCs w:val="20"/>
          <w:color w:val="auto"/>
        </w:rPr>
      </w:pPr>
      <w:r>
        <w:rPr>
          <w:rFonts w:ascii="Times New Roman" w:cs="Times New Roman" w:eastAsia="Times New Roman" w:hAnsi="Times New Roman"/>
          <w:sz w:val="18"/>
          <w:szCs w:val="18"/>
          <w:color w:val="auto"/>
        </w:rPr>
        <w:t>101.PRE**</w:t>
      </w:r>
      <w:r>
        <w:rPr>
          <w:sz w:val="20"/>
          <w:szCs w:val="20"/>
          <w:color w:val="auto"/>
        </w:rPr>
        <w:tab/>
      </w:r>
      <w:r>
        <w:rPr>
          <w:rFonts w:ascii="Times New Roman" w:cs="Times New Roman" w:eastAsia="Times New Roman" w:hAnsi="Times New Roman"/>
          <w:sz w:val="17"/>
          <w:szCs w:val="17"/>
          <w:color w:val="auto"/>
        </w:rPr>
        <w:t>XBRL Taxonomy Extension Presentation Linkbase Document</w:t>
      </w:r>
    </w:p>
    <w:p>
      <w:pPr>
        <w:spacing w:after="0" w:line="171" w:lineRule="exact"/>
        <w:rPr>
          <w:sz w:val="20"/>
          <w:szCs w:val="20"/>
          <w:color w:val="auto"/>
        </w:rPr>
      </w:pPr>
    </w:p>
    <w:p>
      <w:pPr>
        <w:spacing w:after="0"/>
        <w:tabs>
          <w:tab w:leader="none" w:pos="1000" w:val="left"/>
        </w:tabs>
        <w:rPr>
          <w:sz w:val="20"/>
          <w:szCs w:val="20"/>
          <w:color w:val="auto"/>
        </w:rPr>
      </w:pPr>
      <w:r>
        <w:rPr>
          <w:rFonts w:ascii="Times New Roman" w:cs="Times New Roman" w:eastAsia="Times New Roman" w:hAnsi="Times New Roman"/>
          <w:sz w:val="18"/>
          <w:szCs w:val="18"/>
          <w:color w:val="auto"/>
        </w:rPr>
        <w:t>101.DEF**</w:t>
      </w:r>
      <w:r>
        <w:rPr>
          <w:sz w:val="20"/>
          <w:szCs w:val="20"/>
          <w:color w:val="auto"/>
        </w:rPr>
        <w:tab/>
      </w:r>
      <w:r>
        <w:rPr>
          <w:rFonts w:ascii="Times New Roman" w:cs="Times New Roman" w:eastAsia="Times New Roman" w:hAnsi="Times New Roman"/>
          <w:sz w:val="17"/>
          <w:szCs w:val="17"/>
          <w:color w:val="auto"/>
        </w:rPr>
        <w:t>XBRL Taxonomy Extension Definition Linkbase Document</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11"/>
          <w:szCs w:val="11"/>
          <w:color w:val="auto"/>
        </w:rPr>
        <w:t>________________________________</w:t>
      </w:r>
    </w:p>
    <w:p>
      <w:pPr>
        <w:spacing w:after="0" w:line="2" w:lineRule="exact"/>
        <w:rPr>
          <w:sz w:val="20"/>
          <w:szCs w:val="20"/>
          <w:color w:val="auto"/>
        </w:rPr>
      </w:pPr>
    </w:p>
    <w:p>
      <w:pPr>
        <w:spacing w:after="0"/>
        <w:tabs>
          <w:tab w:leader="none" w:pos="26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7"/>
          <w:szCs w:val="17"/>
          <w:color w:val="auto"/>
        </w:rPr>
        <w:t>Previously filed</w:t>
      </w:r>
    </w:p>
    <w:p>
      <w:pPr>
        <w:spacing w:after="0" w:line="18" w:lineRule="exact"/>
        <w:rPr>
          <w:sz w:val="20"/>
          <w:szCs w:val="20"/>
          <w:color w:val="auto"/>
        </w:rPr>
      </w:pPr>
    </w:p>
    <w:p>
      <w:pPr>
        <w:ind w:left="660" w:hanging="652"/>
        <w:spacing w:after="0" w:line="260" w:lineRule="auto"/>
        <w:tabs>
          <w:tab w:leader="none" w:pos="369"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This exhibit is being furnished rather than filed, and shall not be deemed incorporated by reference into any filing, in accordance with Item 601 of Regulation S-K</w:t>
      </w:r>
    </w:p>
    <w:p>
      <w:pPr>
        <w:spacing w:after="0" w:line="208" w:lineRule="exact"/>
        <w:rPr>
          <w:sz w:val="20"/>
          <w:szCs w:val="20"/>
          <w:color w:val="auto"/>
        </w:rPr>
      </w:pPr>
    </w:p>
    <w:p>
      <w:pPr>
        <w:ind w:left="460"/>
        <w:spacing w:after="0"/>
        <w:tabs>
          <w:tab w:leader="none" w:pos="820" w:val="left"/>
        </w:tabs>
        <w:rPr>
          <w:sz w:val="20"/>
          <w:szCs w:val="20"/>
          <w:color w:val="auto"/>
        </w:rPr>
      </w:pPr>
      <w:r>
        <w:rPr>
          <w:rFonts w:ascii="Times New Roman" w:cs="Times New Roman" w:eastAsia="Times New Roman" w:hAnsi="Times New Roman"/>
          <w:sz w:val="18"/>
          <w:szCs w:val="18"/>
          <w:color w:val="auto"/>
        </w:rPr>
        <w:t>(b)</w:t>
      </w:r>
      <w:r>
        <w:rPr>
          <w:sz w:val="20"/>
          <w:szCs w:val="20"/>
          <w:color w:val="auto"/>
        </w:rPr>
        <w:tab/>
      </w:r>
      <w:r>
        <w:rPr>
          <w:rFonts w:ascii="Times New Roman" w:cs="Times New Roman" w:eastAsia="Times New Roman" w:hAnsi="Times New Roman"/>
          <w:sz w:val="17"/>
          <w:szCs w:val="17"/>
          <w:color w:val="auto"/>
        </w:rPr>
        <w:t>Exhibits</w:t>
      </w:r>
    </w:p>
    <w:p>
      <w:pPr>
        <w:spacing w:after="0" w:line="2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18"/>
          <w:szCs w:val="18"/>
          <w:color w:val="auto"/>
        </w:rPr>
        <w:t>See the exhibits filed herewith.</w:t>
      </w:r>
    </w:p>
    <w:p>
      <w:pPr>
        <w:spacing w:after="0" w:line="207" w:lineRule="exact"/>
        <w:rPr>
          <w:sz w:val="20"/>
          <w:szCs w:val="20"/>
          <w:color w:val="auto"/>
        </w:rPr>
      </w:pPr>
    </w:p>
    <w:p>
      <w:pPr>
        <w:ind w:left="680" w:right="7140" w:hanging="227"/>
        <w:spacing w:after="0" w:line="282" w:lineRule="auto"/>
        <w:tabs>
          <w:tab w:leader="none" w:pos="825"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Additional financial statement schedules None.</w:t>
      </w:r>
    </w:p>
    <w:p>
      <w:pPr>
        <w:spacing w:after="0" w:line="200" w:lineRule="exact"/>
        <w:rPr>
          <w:sz w:val="20"/>
          <w:szCs w:val="20"/>
          <w:color w:val="auto"/>
        </w:rPr>
      </w:pPr>
    </w:p>
    <w:p>
      <w:pPr>
        <w:spacing w:after="0" w:line="299" w:lineRule="exact"/>
        <w:rPr>
          <w:sz w:val="20"/>
          <w:szCs w:val="20"/>
          <w:color w:val="auto"/>
        </w:rPr>
      </w:pPr>
    </w:p>
    <w:p>
      <w:pPr>
        <w:jc w:val="center"/>
        <w:ind w:right="-379"/>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73025</wp:posOffset>
            </wp:positionV>
            <wp:extent cx="71577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80"/>
          </w:cols>
          <w:pgMar w:left="320" w:top="1053" w:right="699" w:bottom="1440" w:gutter="0" w:footer="0" w:header="0"/>
        </w:sectPr>
      </w:pPr>
    </w:p>
    <w:bookmarkStart w:id="48" w:name="page49"/>
    <w:bookmarkEnd w:id="48"/>
    <w:p>
      <w:pPr>
        <w:jc w:val="center"/>
        <w:ind w:right="-5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175" w:lineRule="exact"/>
        <w:rPr>
          <w:sz w:val="20"/>
          <w:szCs w:val="20"/>
          <w:color w:val="auto"/>
        </w:rPr>
      </w:pPr>
    </w:p>
    <w:p>
      <w:pPr>
        <w:ind w:firstLine="445"/>
        <w:spacing w:after="0" w:line="282" w:lineRule="auto"/>
        <w:rPr>
          <w:sz w:val="20"/>
          <w:szCs w:val="20"/>
          <w:color w:val="auto"/>
        </w:rPr>
      </w:pPr>
      <w:r>
        <w:rPr>
          <w:rFonts w:ascii="Times New Roman" w:cs="Times New Roman" w:eastAsia="Times New Roman" w:hAnsi="Times New Roman"/>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75" w:lineRule="exact"/>
        <w:rPr>
          <w:sz w:val="20"/>
          <w:szCs w:val="20"/>
          <w:color w:val="auto"/>
        </w:rPr>
      </w:pPr>
    </w:p>
    <w:p>
      <w:pPr>
        <w:ind w:left="5540"/>
        <w:spacing w:after="0"/>
        <w:rPr>
          <w:sz w:val="20"/>
          <w:szCs w:val="20"/>
          <w:color w:val="auto"/>
        </w:rPr>
      </w:pPr>
      <w:r>
        <w:rPr>
          <w:rFonts w:ascii="Times New Roman" w:cs="Times New Roman" w:eastAsia="Times New Roman" w:hAnsi="Times New Roman"/>
          <w:sz w:val="18"/>
          <w:szCs w:val="18"/>
          <w:color w:val="auto"/>
        </w:rPr>
        <w:t>AGNC I</w:t>
      </w:r>
      <w:r>
        <w:rPr>
          <w:rFonts w:ascii="Times New Roman" w:cs="Times New Roman" w:eastAsia="Times New Roman" w:hAnsi="Times New Roman"/>
          <w:sz w:val="14"/>
          <w:szCs w:val="14"/>
          <w:color w:val="auto"/>
        </w:rPr>
        <w:t>NVESTMENT</w:t>
      </w:r>
      <w:r>
        <w:rPr>
          <w:rFonts w:ascii="Times New Roman" w:cs="Times New Roman" w:eastAsia="Times New Roman" w:hAnsi="Times New Roman"/>
          <w:sz w:val="18"/>
          <w:szCs w:val="18"/>
          <w:color w:val="auto"/>
        </w:rPr>
        <w:t xml:space="preserve"> C</w:t>
      </w:r>
      <w:r>
        <w:rPr>
          <w:rFonts w:ascii="Times New Roman" w:cs="Times New Roman" w:eastAsia="Times New Roman" w:hAnsi="Times New Roman"/>
          <w:sz w:val="14"/>
          <w:szCs w:val="14"/>
          <w:color w:val="auto"/>
        </w:rPr>
        <w:t>ORP</w:t>
      </w:r>
      <w:r>
        <w:rPr>
          <w:rFonts w:ascii="Times New Roman" w:cs="Times New Roman" w:eastAsia="Times New Roman" w:hAnsi="Times New Roman"/>
          <w:sz w:val="18"/>
          <w:szCs w:val="18"/>
          <w:color w:val="auto"/>
        </w:rPr>
        <w:t>.</w:t>
      </w:r>
    </w:p>
    <w:p>
      <w:pPr>
        <w:spacing w:after="0" w:line="90" w:lineRule="exact"/>
        <w:rPr>
          <w:sz w:val="20"/>
          <w:szCs w:val="20"/>
          <w:color w:val="auto"/>
        </w:rPr>
      </w:pPr>
    </w:p>
    <w:p>
      <w:pPr>
        <w:ind w:left="5540"/>
        <w:spacing w:after="0"/>
        <w:tabs>
          <w:tab w:leader="none" w:pos="7760" w:val="left"/>
          <w:tab w:leader="none" w:pos="810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w:t>
        <w:tab/>
        <w:t>P</w:t>
      </w:r>
      <w:r>
        <w:rPr>
          <w:rFonts w:ascii="Times New Roman" w:cs="Times New Roman" w:eastAsia="Times New Roman" w:hAnsi="Times New Roman"/>
          <w:sz w:val="14"/>
          <w:szCs w:val="14"/>
          <w:color w:val="auto"/>
        </w:rPr>
        <w:t>ETER</w:t>
      </w:r>
      <w:r>
        <w:rPr>
          <w:rFonts w:ascii="Times New Roman" w:cs="Times New Roman" w:eastAsia="Times New Roman" w:hAnsi="Times New Roman"/>
          <w:sz w:val="18"/>
          <w:szCs w:val="18"/>
          <w:color w:val="auto"/>
        </w:rPr>
        <w:t xml:space="preserve"> J. F</w:t>
      </w:r>
      <w:r>
        <w:rPr>
          <w:rFonts w:ascii="Times New Roman" w:cs="Times New Roman" w:eastAsia="Times New Roman" w:hAnsi="Times New Roman"/>
          <w:sz w:val="14"/>
          <w:szCs w:val="14"/>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3853815</wp:posOffset>
            </wp:positionH>
            <wp:positionV relativeFrom="paragraph">
              <wp:posOffset>26035</wp:posOffset>
            </wp:positionV>
            <wp:extent cx="3265805"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3">
                      <a:extLst>
                        <a:ext uri="{28A0092B-C50C-407E-A947-70E740481C1C}"/>
                      </a:extLst>
                    </a:blip>
                    <a:srcRect/>
                    <a:stretch>
                      <a:fillRect/>
                    </a:stretch>
                  </pic:blipFill>
                  <pic:spPr bwMode="auto">
                    <a:xfrm>
                      <a:off x="0" y="0"/>
                      <a:ext cx="3265805" cy="8255"/>
                    </a:xfrm>
                    <a:prstGeom prst="rect">
                      <a:avLst/>
                    </a:prstGeom>
                    <a:noFill/>
                  </pic:spPr>
                </pic:pic>
              </a:graphicData>
            </a:graphic>
          </wp:anchor>
        </w:drawing>
      </w:r>
    </w:p>
    <w:p>
      <w:pPr>
        <w:spacing w:after="0" w:line="23" w:lineRule="exact"/>
        <w:rPr>
          <w:sz w:val="20"/>
          <w:szCs w:val="20"/>
          <w:color w:val="auto"/>
        </w:rPr>
      </w:pPr>
    </w:p>
    <w:p>
      <w:pPr>
        <w:jc w:val="center"/>
        <w:ind w:left="6020"/>
        <w:spacing w:after="0"/>
        <w:rPr>
          <w:sz w:val="20"/>
          <w:szCs w:val="20"/>
          <w:color w:val="auto"/>
        </w:rPr>
      </w:pPr>
      <w:r>
        <w:rPr>
          <w:rFonts w:ascii="Times New Roman" w:cs="Times New Roman" w:eastAsia="Times New Roman" w:hAnsi="Times New Roman"/>
          <w:sz w:val="14"/>
          <w:szCs w:val="14"/>
          <w:b w:val="1"/>
          <w:bCs w:val="1"/>
          <w:color w:val="auto"/>
        </w:rPr>
        <w:t>Peter J. Federico</w:t>
      </w:r>
    </w:p>
    <w:p>
      <w:pPr>
        <w:jc w:val="center"/>
        <w:ind w:left="6020"/>
        <w:spacing w:after="0" w:line="229" w:lineRule="auto"/>
        <w:rPr>
          <w:sz w:val="20"/>
          <w:szCs w:val="20"/>
          <w:color w:val="auto"/>
        </w:rPr>
      </w:pPr>
      <w:r>
        <w:rPr>
          <w:rFonts w:ascii="Times New Roman" w:cs="Times New Roman" w:eastAsia="Times New Roman" w:hAnsi="Times New Roman"/>
          <w:sz w:val="14"/>
          <w:szCs w:val="14"/>
          <w:b w:val="1"/>
          <w:bCs w:val="1"/>
          <w:color w:val="auto"/>
        </w:rPr>
        <w:t>President and</w:t>
      </w:r>
    </w:p>
    <w:p>
      <w:pPr>
        <w:jc w:val="center"/>
        <w:ind w:left="6020"/>
        <w:spacing w:after="0"/>
        <w:rPr>
          <w:sz w:val="20"/>
          <w:szCs w:val="20"/>
          <w:color w:val="auto"/>
        </w:rPr>
      </w:pPr>
      <w:r>
        <w:rPr>
          <w:rFonts w:ascii="Times New Roman" w:cs="Times New Roman" w:eastAsia="Times New Roman" w:hAnsi="Times New Roman"/>
          <w:sz w:val="14"/>
          <w:szCs w:val="14"/>
          <w:b w:val="1"/>
          <w:bCs w:val="1"/>
          <w:color w:val="auto"/>
        </w:rPr>
        <w:t>Chief Executive Officer (Principal Executive Officer)</w:t>
      </w:r>
    </w:p>
    <w:p>
      <w:pPr>
        <w:spacing w:after="0" w:line="16" w:lineRule="exact"/>
        <w:rPr>
          <w:sz w:val="20"/>
          <w:szCs w:val="20"/>
          <w:color w:val="auto"/>
        </w:rPr>
      </w:pPr>
    </w:p>
    <w:p>
      <w:pPr>
        <w:ind w:left="60"/>
        <w:spacing w:after="0"/>
        <w:tabs>
          <w:tab w:leader="none" w:pos="620" w:val="left"/>
        </w:tabs>
        <w:rPr>
          <w:sz w:val="20"/>
          <w:szCs w:val="20"/>
          <w:color w:val="auto"/>
        </w:rPr>
      </w:pPr>
      <w:r>
        <w:rPr>
          <w:rFonts w:ascii="Times New Roman" w:cs="Times New Roman" w:eastAsia="Times New Roman" w:hAnsi="Times New Roman"/>
          <w:sz w:val="18"/>
          <w:szCs w:val="18"/>
          <w:color w:val="auto"/>
        </w:rPr>
        <w:t>Date:</w:t>
        <w:tab/>
        <w:t>May 9, 2022</w:t>
      </w:r>
    </w:p>
    <w:p>
      <w:pPr>
        <w:spacing w:after="0" w:line="293" w:lineRule="exact"/>
        <w:rPr>
          <w:sz w:val="20"/>
          <w:szCs w:val="20"/>
          <w:color w:val="auto"/>
        </w:rPr>
      </w:pPr>
    </w:p>
    <w:p>
      <w:pPr>
        <w:ind w:left="5540"/>
        <w:spacing w:after="0"/>
        <w:tabs>
          <w:tab w:leader="none" w:pos="7820" w:val="left"/>
          <w:tab w:leader="none" w:pos="8160" w:val="left"/>
        </w:tabs>
        <w:rPr>
          <w:sz w:val="20"/>
          <w:szCs w:val="20"/>
          <w:color w:val="auto"/>
        </w:rPr>
      </w:pPr>
      <w:r>
        <w:rPr>
          <w:rFonts w:ascii="Times New Roman" w:cs="Times New Roman" w:eastAsia="Times New Roman" w:hAnsi="Times New Roman"/>
          <w:sz w:val="18"/>
          <w:szCs w:val="18"/>
          <w:color w:val="auto"/>
        </w:rPr>
        <w:t>By:</w:t>
      </w:r>
      <w:r>
        <w:rPr>
          <w:sz w:val="20"/>
          <w:szCs w:val="20"/>
          <w:color w:val="auto"/>
        </w:rPr>
        <w:tab/>
      </w:r>
      <w:r>
        <w:rPr>
          <w:rFonts w:ascii="Times New Roman" w:cs="Times New Roman" w:eastAsia="Times New Roman" w:hAnsi="Times New Roman"/>
          <w:sz w:val="18"/>
          <w:szCs w:val="18"/>
          <w:color w:val="auto"/>
        </w:rPr>
        <w:t>/s/</w:t>
        <w:tab/>
        <w:t>B</w:t>
      </w:r>
      <w:r>
        <w:rPr>
          <w:rFonts w:ascii="Times New Roman" w:cs="Times New Roman" w:eastAsia="Times New Roman" w:hAnsi="Times New Roman"/>
          <w:sz w:val="14"/>
          <w:szCs w:val="14"/>
          <w:color w:val="auto"/>
        </w:rPr>
        <w:t>ERNICE</w:t>
      </w:r>
      <w:r>
        <w:rPr>
          <w:rFonts w:ascii="Times New Roman" w:cs="Times New Roman" w:eastAsia="Times New Roman" w:hAnsi="Times New Roman"/>
          <w:sz w:val="18"/>
          <w:szCs w:val="18"/>
          <w:color w:val="auto"/>
        </w:rPr>
        <w:t xml:space="preserve"> E. B</w:t>
      </w:r>
      <w:r>
        <w:rPr>
          <w:rFonts w:ascii="Times New Roman" w:cs="Times New Roman" w:eastAsia="Times New Roman" w:hAnsi="Times New Roman"/>
          <w:sz w:val="14"/>
          <w:szCs w:val="14"/>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3853815</wp:posOffset>
            </wp:positionH>
            <wp:positionV relativeFrom="paragraph">
              <wp:posOffset>26035</wp:posOffset>
            </wp:positionV>
            <wp:extent cx="3265805"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4">
                      <a:extLst>
                        <a:ext uri="{28A0092B-C50C-407E-A947-70E740481C1C}"/>
                      </a:extLst>
                    </a:blip>
                    <a:srcRect/>
                    <a:stretch>
                      <a:fillRect/>
                    </a:stretch>
                  </pic:blipFill>
                  <pic:spPr bwMode="auto">
                    <a:xfrm>
                      <a:off x="0" y="0"/>
                      <a:ext cx="3265805" cy="8890"/>
                    </a:xfrm>
                    <a:prstGeom prst="rect">
                      <a:avLst/>
                    </a:prstGeom>
                    <a:noFill/>
                  </pic:spPr>
                </pic:pic>
              </a:graphicData>
            </a:graphic>
          </wp:anchor>
        </w:drawing>
      </w:r>
    </w:p>
    <w:p>
      <w:pPr>
        <w:spacing w:after="0" w:line="23" w:lineRule="exact"/>
        <w:rPr>
          <w:sz w:val="20"/>
          <w:szCs w:val="20"/>
          <w:color w:val="auto"/>
        </w:rPr>
      </w:pPr>
    </w:p>
    <w:p>
      <w:pPr>
        <w:ind w:left="8180"/>
        <w:spacing w:after="0"/>
        <w:rPr>
          <w:sz w:val="20"/>
          <w:szCs w:val="20"/>
          <w:color w:val="auto"/>
        </w:rPr>
      </w:pPr>
      <w:r>
        <w:rPr>
          <w:rFonts w:ascii="Times New Roman" w:cs="Times New Roman" w:eastAsia="Times New Roman" w:hAnsi="Times New Roman"/>
          <w:sz w:val="14"/>
          <w:szCs w:val="14"/>
          <w:b w:val="1"/>
          <w:bCs w:val="1"/>
          <w:color w:val="auto"/>
        </w:rPr>
        <w:t>Bernice E. Bell</w:t>
      </w:r>
    </w:p>
    <w:p>
      <w:pPr>
        <w:ind w:left="7740"/>
        <w:spacing w:after="0" w:line="229" w:lineRule="auto"/>
        <w:rPr>
          <w:sz w:val="20"/>
          <w:szCs w:val="20"/>
          <w:color w:val="auto"/>
        </w:rPr>
      </w:pPr>
      <w:r>
        <w:rPr>
          <w:rFonts w:ascii="Times New Roman" w:cs="Times New Roman" w:eastAsia="Times New Roman" w:hAnsi="Times New Roman"/>
          <w:sz w:val="14"/>
          <w:szCs w:val="14"/>
          <w:b w:val="1"/>
          <w:bCs w:val="1"/>
          <w:color w:val="auto"/>
        </w:rPr>
        <w:t>Executive Vice President and</w:t>
      </w:r>
    </w:p>
    <w:p>
      <w:pPr>
        <w:ind w:left="6260"/>
        <w:spacing w:after="0" w:line="201" w:lineRule="auto"/>
        <w:rPr>
          <w:sz w:val="20"/>
          <w:szCs w:val="20"/>
          <w:color w:val="auto"/>
        </w:rPr>
      </w:pPr>
      <w:r>
        <w:rPr>
          <w:rFonts w:ascii="Times New Roman" w:cs="Times New Roman" w:eastAsia="Times New Roman" w:hAnsi="Times New Roman"/>
          <w:sz w:val="14"/>
          <w:szCs w:val="14"/>
          <w:b w:val="1"/>
          <w:bCs w:val="1"/>
          <w:color w:val="auto"/>
        </w:rPr>
        <w:t>Chief Financial Officer (Principal Financial Officer and Principal Accounting</w:t>
      </w:r>
    </w:p>
    <w:p>
      <w:pPr>
        <w:spacing w:after="0" w:line="1" w:lineRule="exact"/>
        <w:rPr>
          <w:sz w:val="20"/>
          <w:szCs w:val="20"/>
          <w:color w:val="auto"/>
        </w:rPr>
      </w:pPr>
    </w:p>
    <w:p>
      <w:pPr>
        <w:ind w:left="8400"/>
        <w:spacing w:after="0"/>
        <w:rPr>
          <w:sz w:val="20"/>
          <w:szCs w:val="20"/>
          <w:color w:val="auto"/>
        </w:rPr>
      </w:pPr>
      <w:r>
        <w:rPr>
          <w:rFonts w:ascii="Times New Roman" w:cs="Times New Roman" w:eastAsia="Times New Roman" w:hAnsi="Times New Roman"/>
          <w:sz w:val="14"/>
          <w:szCs w:val="14"/>
          <w:b w:val="1"/>
          <w:bCs w:val="1"/>
          <w:color w:val="auto"/>
        </w:rPr>
        <w:t>Officer)</w:t>
      </w:r>
    </w:p>
    <w:p>
      <w:pPr>
        <w:spacing w:after="0" w:line="30" w:lineRule="exact"/>
        <w:rPr>
          <w:sz w:val="20"/>
          <w:szCs w:val="20"/>
          <w:color w:val="auto"/>
        </w:rPr>
      </w:pPr>
    </w:p>
    <w:p>
      <w:pPr>
        <w:ind w:left="60"/>
        <w:spacing w:after="0"/>
        <w:tabs>
          <w:tab w:leader="none" w:pos="620" w:val="left"/>
        </w:tabs>
        <w:rPr>
          <w:sz w:val="20"/>
          <w:szCs w:val="20"/>
          <w:color w:val="auto"/>
        </w:rPr>
      </w:pPr>
      <w:r>
        <w:rPr>
          <w:rFonts w:ascii="Times New Roman" w:cs="Times New Roman" w:eastAsia="Times New Roman" w:hAnsi="Times New Roman"/>
          <w:sz w:val="18"/>
          <w:szCs w:val="18"/>
          <w:color w:val="auto"/>
        </w:rPr>
        <w:t>Date:</w:t>
        <w:tab/>
        <w:t>May 9,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48</w:t>
      </w:r>
    </w:p>
    <w:p>
      <w:pPr>
        <w:sectPr>
          <w:pgSz w:w="11900" w:h="16838" w:orient="portrait"/>
          <w:cols w:equalWidth="0" w:num="1">
            <w:col w:w="11180"/>
          </w:cols>
          <w:pgMar w:left="320" w:top="887" w:right="399" w:bottom="1440" w:gutter="0" w:footer="0" w:header="0"/>
        </w:sectPr>
      </w:pPr>
    </w:p>
    <w:bookmarkStart w:id="49" w:name="page50"/>
    <w:bookmarkEnd w:id="49"/>
    <w:p>
      <w:pPr>
        <w:jc w:val="right"/>
        <w:spacing w:after="0"/>
        <w:rPr>
          <w:sz w:val="20"/>
          <w:szCs w:val="20"/>
          <w:color w:val="auto"/>
        </w:rPr>
      </w:pPr>
      <w:r>
        <w:rPr>
          <w:rFonts w:ascii="Times New Roman" w:cs="Times New Roman" w:eastAsia="Times New Roman" w:hAnsi="Times New Roman"/>
          <w:sz w:val="18"/>
          <w:szCs w:val="18"/>
          <w:color w:val="auto"/>
        </w:rPr>
        <w:t>Exhibit 31.1</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Peter J. Federico, certify that:</w:t>
      </w:r>
    </w:p>
    <w:p>
      <w:pPr>
        <w:spacing w:after="0" w:line="158" w:lineRule="exact"/>
        <w:rPr>
          <w:sz w:val="20"/>
          <w:szCs w:val="20"/>
          <w:color w:val="auto"/>
        </w:rPr>
      </w:pPr>
    </w:p>
    <w:p>
      <w:pPr>
        <w:ind w:left="760" w:hanging="307"/>
        <w:spacing w:after="0"/>
        <w:tabs>
          <w:tab w:leader="none" w:pos="7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AGNC Investment Corp.;</w:t>
      </w:r>
    </w:p>
    <w:p>
      <w:pPr>
        <w:spacing w:after="0" w:line="157" w:lineRule="exact"/>
        <w:rPr>
          <w:rFonts w:ascii="Times New Roman" w:cs="Times New Roman" w:eastAsia="Times New Roman" w:hAnsi="Times New Roman"/>
          <w:sz w:val="18"/>
          <w:szCs w:val="18"/>
          <w:color w:val="auto"/>
        </w:rPr>
      </w:pPr>
    </w:p>
    <w:p>
      <w:pPr>
        <w:ind w:left="860" w:hanging="407"/>
        <w:spacing w:after="0" w:line="266" w:lineRule="auto"/>
        <w:tabs>
          <w:tab w:leader="none" w:pos="77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1" w:lineRule="exact"/>
        <w:rPr>
          <w:rFonts w:ascii="Times New Roman" w:cs="Times New Roman" w:eastAsia="Times New Roman" w:hAnsi="Times New Roman"/>
          <w:sz w:val="18"/>
          <w:szCs w:val="18"/>
          <w:color w:val="auto"/>
        </w:rPr>
      </w:pPr>
    </w:p>
    <w:p>
      <w:pPr>
        <w:ind w:left="860" w:hanging="407"/>
        <w:spacing w:after="0" w:line="282" w:lineRule="auto"/>
        <w:tabs>
          <w:tab w:leader="none" w:pos="808"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4" w:lineRule="exact"/>
        <w:rPr>
          <w:rFonts w:ascii="Times New Roman" w:cs="Times New Roman" w:eastAsia="Times New Roman" w:hAnsi="Times New Roman"/>
          <w:sz w:val="18"/>
          <w:szCs w:val="18"/>
          <w:color w:val="auto"/>
        </w:rPr>
      </w:pPr>
    </w:p>
    <w:p>
      <w:pPr>
        <w:jc w:val="both"/>
        <w:ind w:left="860" w:hanging="407"/>
        <w:spacing w:after="0" w:line="261" w:lineRule="auto"/>
        <w:tabs>
          <w:tab w:leader="none" w:pos="804"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8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15d-15(f)) for the registrant and have:</w:t>
      </w:r>
    </w:p>
    <w:p>
      <w:pPr>
        <w:spacing w:after="0" w:line="139" w:lineRule="exact"/>
        <w:rPr>
          <w:rFonts w:ascii="Times New Roman" w:cs="Times New Roman" w:eastAsia="Times New Roman" w:hAnsi="Times New Roman"/>
          <w:sz w:val="18"/>
          <w:szCs w:val="18"/>
          <w:color w:val="auto"/>
        </w:rPr>
      </w:pPr>
    </w:p>
    <w:p>
      <w:pPr>
        <w:jc w:val="both"/>
        <w:ind w:left="1420" w:hanging="400"/>
        <w:spacing w:after="0" w:line="266" w:lineRule="auto"/>
        <w:tabs>
          <w:tab w:leader="none" w:pos="1534"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108" w:lineRule="exact"/>
        <w:rPr>
          <w:rFonts w:ascii="Times New Roman" w:cs="Times New Roman" w:eastAsia="Times New Roman" w:hAnsi="Times New Roman"/>
          <w:sz w:val="18"/>
          <w:szCs w:val="18"/>
          <w:color w:val="auto"/>
        </w:rPr>
      </w:pPr>
    </w:p>
    <w:p>
      <w:pPr>
        <w:jc w:val="both"/>
        <w:ind w:left="1420" w:hanging="400"/>
        <w:spacing w:after="0" w:line="266" w:lineRule="auto"/>
        <w:tabs>
          <w:tab w:leader="none" w:pos="1407"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8" w:lineRule="exact"/>
        <w:rPr>
          <w:rFonts w:ascii="Times New Roman" w:cs="Times New Roman" w:eastAsia="Times New Roman" w:hAnsi="Times New Roman"/>
          <w:sz w:val="18"/>
          <w:szCs w:val="18"/>
          <w:color w:val="auto"/>
        </w:rPr>
      </w:pPr>
    </w:p>
    <w:p>
      <w:pPr>
        <w:ind w:left="1420" w:hanging="400"/>
        <w:spacing w:after="0" w:line="282" w:lineRule="auto"/>
        <w:tabs>
          <w:tab w:leader="none" w:pos="1422"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07" w:lineRule="exact"/>
        <w:rPr>
          <w:rFonts w:ascii="Times New Roman" w:cs="Times New Roman" w:eastAsia="Times New Roman" w:hAnsi="Times New Roman"/>
          <w:sz w:val="18"/>
          <w:szCs w:val="18"/>
          <w:color w:val="auto"/>
        </w:rPr>
      </w:pPr>
    </w:p>
    <w:p>
      <w:pPr>
        <w:jc w:val="both"/>
        <w:ind w:left="1420" w:hanging="400"/>
        <w:spacing w:after="0" w:line="266" w:lineRule="auto"/>
        <w:tabs>
          <w:tab w:leader="none" w:pos="1428"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08" w:lineRule="exact"/>
        <w:rPr>
          <w:rFonts w:ascii="Times New Roman" w:cs="Times New Roman" w:eastAsia="Times New Roman" w:hAnsi="Times New Roman"/>
          <w:sz w:val="18"/>
          <w:szCs w:val="18"/>
          <w:color w:val="auto"/>
        </w:rPr>
      </w:pPr>
    </w:p>
    <w:p>
      <w:pPr>
        <w:ind w:left="860" w:hanging="407"/>
        <w:spacing w:after="0" w:line="282" w:lineRule="auto"/>
        <w:tabs>
          <w:tab w:leader="none" w:pos="795"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94" w:lineRule="exact"/>
        <w:rPr>
          <w:rFonts w:ascii="Times New Roman" w:cs="Times New Roman" w:eastAsia="Times New Roman" w:hAnsi="Times New Roman"/>
          <w:sz w:val="18"/>
          <w:szCs w:val="18"/>
          <w:color w:val="auto"/>
        </w:rPr>
      </w:pPr>
    </w:p>
    <w:p>
      <w:pPr>
        <w:ind w:left="1420" w:hanging="400"/>
        <w:spacing w:after="0" w:line="282" w:lineRule="auto"/>
        <w:tabs>
          <w:tab w:leader="none" w:pos="1451"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94" w:lineRule="exact"/>
        <w:rPr>
          <w:rFonts w:ascii="Times New Roman" w:cs="Times New Roman" w:eastAsia="Times New Roman" w:hAnsi="Times New Roman"/>
          <w:sz w:val="18"/>
          <w:szCs w:val="18"/>
          <w:color w:val="auto"/>
        </w:rPr>
      </w:pPr>
    </w:p>
    <w:p>
      <w:pPr>
        <w:ind w:left="1420" w:right="20" w:hanging="400"/>
        <w:spacing w:after="0" w:line="282" w:lineRule="auto"/>
        <w:tabs>
          <w:tab w:leader="none" w:pos="1404" w:val="left"/>
        </w:tabs>
        <w:numPr>
          <w:ilvl w:val="1"/>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45" w:lineRule="exact"/>
        <w:rPr>
          <w:sz w:val="20"/>
          <w:szCs w:val="20"/>
          <w:color w:val="auto"/>
        </w:rPr>
      </w:pPr>
    </w:p>
    <w:p>
      <w:pPr>
        <w:ind w:left="20"/>
        <w:spacing w:after="0"/>
        <w:tabs>
          <w:tab w:leader="none" w:pos="600" w:val="left"/>
        </w:tabs>
        <w:rPr>
          <w:sz w:val="20"/>
          <w:szCs w:val="20"/>
          <w:color w:val="auto"/>
        </w:rPr>
      </w:pPr>
      <w:r>
        <w:rPr>
          <w:rFonts w:ascii="Times New Roman" w:cs="Times New Roman" w:eastAsia="Times New Roman" w:hAnsi="Times New Roman"/>
          <w:sz w:val="18"/>
          <w:szCs w:val="18"/>
          <w:color w:val="auto"/>
        </w:rPr>
        <w:t>Date:</w:t>
        <w:tab/>
        <w:t>May 9, 2022</w:t>
      </w:r>
    </w:p>
    <w:p>
      <w:pPr>
        <w:spacing w:after="0" w:line="225" w:lineRule="exact"/>
        <w:rPr>
          <w:sz w:val="20"/>
          <w:szCs w:val="20"/>
          <w:color w:val="auto"/>
        </w:rPr>
      </w:pPr>
    </w:p>
    <w:p>
      <w:pPr>
        <w:ind w:left="620"/>
        <w:spacing w:after="0"/>
        <w:tabs>
          <w:tab w:leader="none" w:pos="940" w:val="left"/>
        </w:tabs>
        <w:rPr>
          <w:sz w:val="20"/>
          <w:szCs w:val="20"/>
          <w:color w:val="auto"/>
        </w:rPr>
      </w:pPr>
      <w:r>
        <w:rPr>
          <w:rFonts w:ascii="Times New Roman" w:cs="Times New Roman" w:eastAsia="Times New Roman" w:hAnsi="Times New Roman"/>
          <w:sz w:val="18"/>
          <w:szCs w:val="18"/>
          <w:color w:val="auto"/>
        </w:rPr>
        <w:t>/s/</w:t>
        <w:tab/>
        <w:t>P</w:t>
      </w:r>
      <w:r>
        <w:rPr>
          <w:rFonts w:ascii="Times New Roman" w:cs="Times New Roman" w:eastAsia="Times New Roman" w:hAnsi="Times New Roman"/>
          <w:sz w:val="14"/>
          <w:szCs w:val="14"/>
          <w:color w:val="auto"/>
        </w:rPr>
        <w:t>ETER</w:t>
      </w:r>
      <w:r>
        <w:rPr>
          <w:rFonts w:ascii="Times New Roman" w:cs="Times New Roman" w:eastAsia="Times New Roman" w:hAnsi="Times New Roman"/>
          <w:sz w:val="18"/>
          <w:szCs w:val="18"/>
          <w:color w:val="auto"/>
        </w:rPr>
        <w:t xml:space="preserve"> J. F</w:t>
      </w:r>
      <w:r>
        <w:rPr>
          <w:rFonts w:ascii="Times New Roman" w:cs="Times New Roman" w:eastAsia="Times New Roman" w:hAnsi="Times New Roman"/>
          <w:sz w:val="14"/>
          <w:szCs w:val="14"/>
          <w:color w:val="auto"/>
        </w:rPr>
        <w:t>EDERICO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26035</wp:posOffset>
            </wp:positionV>
            <wp:extent cx="2348865"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5">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30"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Peter J. Federico</w:t>
      </w:r>
    </w:p>
    <w:p>
      <w:pPr>
        <w:spacing w:after="0" w:line="25"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President and Chief Executive Officer (Principal</w:t>
      </w:r>
    </w:p>
    <w:p>
      <w:pPr>
        <w:ind w:left="620"/>
        <w:spacing w:after="0"/>
        <w:rPr>
          <w:sz w:val="20"/>
          <w:szCs w:val="20"/>
          <w:color w:val="auto"/>
        </w:rPr>
      </w:pPr>
      <w:r>
        <w:rPr>
          <w:rFonts w:ascii="Times New Roman" w:cs="Times New Roman" w:eastAsia="Times New Roman" w:hAnsi="Times New Roman"/>
          <w:sz w:val="18"/>
          <w:szCs w:val="18"/>
          <w:color w:val="auto"/>
        </w:rPr>
        <w:t>Executive Officer)</w:t>
      </w:r>
    </w:p>
    <w:p>
      <w:pPr>
        <w:sectPr>
          <w:pgSz w:w="11900" w:h="16838" w:orient="portrait"/>
          <w:cols w:equalWidth="0" w:num="1">
            <w:col w:w="11240"/>
          </w:cols>
          <w:pgMar w:left="320" w:top="891" w:right="339" w:bottom="1440" w:gutter="0" w:footer="0" w:header="0"/>
        </w:sectPr>
      </w:pPr>
    </w:p>
    <w:bookmarkStart w:id="50" w:name="page51"/>
    <w:bookmarkEnd w:id="50"/>
    <w:p>
      <w:pPr>
        <w:jc w:val="right"/>
        <w:spacing w:after="0"/>
        <w:rPr>
          <w:sz w:val="20"/>
          <w:szCs w:val="20"/>
          <w:color w:val="auto"/>
        </w:rPr>
      </w:pPr>
      <w:r>
        <w:rPr>
          <w:rFonts w:ascii="Times New Roman" w:cs="Times New Roman" w:eastAsia="Times New Roman" w:hAnsi="Times New Roman"/>
          <w:sz w:val="18"/>
          <w:szCs w:val="18"/>
          <w:color w:val="auto"/>
        </w:rPr>
        <w:t>Exhibit 31.2</w:t>
      </w:r>
    </w:p>
    <w:p>
      <w:pPr>
        <w:spacing w:after="0" w:line="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Pursuant to Section 302(a)</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of the Sarbanes-Oxley Act of 2002</w:t>
      </w: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 Bernice E. Bell, certify that:</w:t>
      </w:r>
    </w:p>
    <w:p>
      <w:pPr>
        <w:spacing w:after="0" w:line="158" w:lineRule="exact"/>
        <w:rPr>
          <w:sz w:val="20"/>
          <w:szCs w:val="20"/>
          <w:color w:val="auto"/>
        </w:rPr>
      </w:pPr>
    </w:p>
    <w:p>
      <w:pPr>
        <w:ind w:left="760" w:hanging="307"/>
        <w:spacing w:after="0"/>
        <w:tabs>
          <w:tab w:leader="none" w:pos="7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Quarterly Report on Form 10-Q of AGNC Investment Corp;</w:t>
      </w:r>
    </w:p>
    <w:p>
      <w:pPr>
        <w:spacing w:after="0" w:line="157" w:lineRule="exact"/>
        <w:rPr>
          <w:rFonts w:ascii="Times New Roman" w:cs="Times New Roman" w:eastAsia="Times New Roman" w:hAnsi="Times New Roman"/>
          <w:sz w:val="18"/>
          <w:szCs w:val="18"/>
          <w:color w:val="auto"/>
        </w:rPr>
      </w:pPr>
    </w:p>
    <w:p>
      <w:pPr>
        <w:ind w:left="860" w:hanging="407"/>
        <w:spacing w:after="0" w:line="266" w:lineRule="auto"/>
        <w:tabs>
          <w:tab w:leader="none" w:pos="77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121" w:lineRule="exact"/>
        <w:rPr>
          <w:rFonts w:ascii="Times New Roman" w:cs="Times New Roman" w:eastAsia="Times New Roman" w:hAnsi="Times New Roman"/>
          <w:sz w:val="18"/>
          <w:szCs w:val="18"/>
          <w:color w:val="auto"/>
        </w:rPr>
      </w:pPr>
    </w:p>
    <w:p>
      <w:pPr>
        <w:ind w:left="860" w:hanging="407"/>
        <w:spacing w:after="0" w:line="282" w:lineRule="auto"/>
        <w:tabs>
          <w:tab w:leader="none" w:pos="808"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94" w:lineRule="exact"/>
        <w:rPr>
          <w:rFonts w:ascii="Times New Roman" w:cs="Times New Roman" w:eastAsia="Times New Roman" w:hAnsi="Times New Roman"/>
          <w:sz w:val="18"/>
          <w:szCs w:val="18"/>
          <w:color w:val="auto"/>
        </w:rPr>
      </w:pPr>
    </w:p>
    <w:p>
      <w:pPr>
        <w:jc w:val="both"/>
        <w:ind w:left="860" w:hanging="407"/>
        <w:spacing w:after="0" w:line="261" w:lineRule="auto"/>
        <w:tabs>
          <w:tab w:leader="none" w:pos="804"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w:t>
      </w:r>
    </w:p>
    <w:p>
      <w:pPr>
        <w:ind w:left="86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15d-15(f)) for the registrant and have:</w:t>
      </w:r>
    </w:p>
    <w:p>
      <w:pPr>
        <w:spacing w:after="0" w:line="139" w:lineRule="exact"/>
        <w:rPr>
          <w:rFonts w:ascii="Times New Roman" w:cs="Times New Roman" w:eastAsia="Times New Roman" w:hAnsi="Times New Roman"/>
          <w:sz w:val="18"/>
          <w:szCs w:val="18"/>
          <w:color w:val="auto"/>
        </w:rPr>
      </w:pPr>
    </w:p>
    <w:p>
      <w:pPr>
        <w:jc w:val="both"/>
        <w:ind w:left="1420" w:hanging="400"/>
        <w:spacing w:after="0" w:line="266" w:lineRule="auto"/>
        <w:tabs>
          <w:tab w:leader="none" w:pos="1534"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entitles, particularly during the period in which this report is being prepared;</w:t>
      </w:r>
    </w:p>
    <w:p>
      <w:pPr>
        <w:spacing w:after="0" w:line="108" w:lineRule="exact"/>
        <w:rPr>
          <w:rFonts w:ascii="Times New Roman" w:cs="Times New Roman" w:eastAsia="Times New Roman" w:hAnsi="Times New Roman"/>
          <w:sz w:val="18"/>
          <w:szCs w:val="18"/>
          <w:color w:val="auto"/>
        </w:rPr>
      </w:pPr>
    </w:p>
    <w:p>
      <w:pPr>
        <w:jc w:val="both"/>
        <w:ind w:left="1420" w:hanging="400"/>
        <w:spacing w:after="0" w:line="266" w:lineRule="auto"/>
        <w:tabs>
          <w:tab w:leader="none" w:pos="1407"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08" w:lineRule="exact"/>
        <w:rPr>
          <w:rFonts w:ascii="Times New Roman" w:cs="Times New Roman" w:eastAsia="Times New Roman" w:hAnsi="Times New Roman"/>
          <w:sz w:val="18"/>
          <w:szCs w:val="18"/>
          <w:color w:val="auto"/>
        </w:rPr>
      </w:pPr>
    </w:p>
    <w:p>
      <w:pPr>
        <w:ind w:left="1420" w:hanging="400"/>
        <w:spacing w:after="0" w:line="282" w:lineRule="auto"/>
        <w:tabs>
          <w:tab w:leader="none" w:pos="1422"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107" w:lineRule="exact"/>
        <w:rPr>
          <w:rFonts w:ascii="Times New Roman" w:cs="Times New Roman" w:eastAsia="Times New Roman" w:hAnsi="Times New Roman"/>
          <w:sz w:val="18"/>
          <w:szCs w:val="18"/>
          <w:color w:val="auto"/>
        </w:rPr>
      </w:pPr>
    </w:p>
    <w:p>
      <w:pPr>
        <w:jc w:val="both"/>
        <w:ind w:left="1420" w:hanging="400"/>
        <w:spacing w:after="0" w:line="266" w:lineRule="auto"/>
        <w:tabs>
          <w:tab w:leader="none" w:pos="1428"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08" w:lineRule="exact"/>
        <w:rPr>
          <w:rFonts w:ascii="Times New Roman" w:cs="Times New Roman" w:eastAsia="Times New Roman" w:hAnsi="Times New Roman"/>
          <w:sz w:val="18"/>
          <w:szCs w:val="18"/>
          <w:color w:val="auto"/>
        </w:rPr>
      </w:pPr>
    </w:p>
    <w:p>
      <w:pPr>
        <w:ind w:left="860" w:hanging="407"/>
        <w:spacing w:after="0" w:line="282" w:lineRule="auto"/>
        <w:tabs>
          <w:tab w:leader="none" w:pos="795"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w:t>
      </w:r>
    </w:p>
    <w:p>
      <w:pPr>
        <w:spacing w:after="0" w:line="94" w:lineRule="exact"/>
        <w:rPr>
          <w:rFonts w:ascii="Times New Roman" w:cs="Times New Roman" w:eastAsia="Times New Roman" w:hAnsi="Times New Roman"/>
          <w:sz w:val="18"/>
          <w:szCs w:val="18"/>
          <w:color w:val="auto"/>
        </w:rPr>
      </w:pPr>
    </w:p>
    <w:p>
      <w:pPr>
        <w:ind w:left="1420" w:hanging="400"/>
        <w:spacing w:after="0" w:line="282" w:lineRule="auto"/>
        <w:tabs>
          <w:tab w:leader="none" w:pos="1478"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 in the design or operation of internal control over financial reporting which are reasonably likely to adversely affect the registrant's ability to record, process, summarize and report financial information; and</w:t>
      </w:r>
    </w:p>
    <w:p>
      <w:pPr>
        <w:spacing w:after="0" w:line="94" w:lineRule="exact"/>
        <w:rPr>
          <w:rFonts w:ascii="Times New Roman" w:cs="Times New Roman" w:eastAsia="Times New Roman" w:hAnsi="Times New Roman"/>
          <w:sz w:val="18"/>
          <w:szCs w:val="18"/>
          <w:color w:val="auto"/>
        </w:rPr>
      </w:pPr>
    </w:p>
    <w:p>
      <w:pPr>
        <w:ind w:left="1420" w:right="20" w:hanging="400"/>
        <w:spacing w:after="0" w:line="282" w:lineRule="auto"/>
        <w:tabs>
          <w:tab w:leader="none" w:pos="1404" w:val="left"/>
        </w:tabs>
        <w:numPr>
          <w:ilvl w:val="1"/>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29" w:lineRule="exact"/>
        <w:rPr>
          <w:sz w:val="20"/>
          <w:szCs w:val="20"/>
          <w:color w:val="auto"/>
        </w:rPr>
      </w:pPr>
    </w:p>
    <w:p>
      <w:pPr>
        <w:ind w:left="20"/>
        <w:spacing w:after="0"/>
        <w:tabs>
          <w:tab w:leader="none" w:pos="600" w:val="left"/>
        </w:tabs>
        <w:rPr>
          <w:sz w:val="20"/>
          <w:szCs w:val="20"/>
          <w:color w:val="auto"/>
        </w:rPr>
      </w:pPr>
      <w:r>
        <w:rPr>
          <w:rFonts w:ascii="Times New Roman" w:cs="Times New Roman" w:eastAsia="Times New Roman" w:hAnsi="Times New Roman"/>
          <w:sz w:val="18"/>
          <w:szCs w:val="18"/>
          <w:color w:val="auto"/>
        </w:rPr>
        <w:t>Date:</w:t>
        <w:tab/>
        <w:t>May 9, 2022</w:t>
      </w:r>
    </w:p>
    <w:p>
      <w:pPr>
        <w:spacing w:after="0" w:line="225" w:lineRule="exact"/>
        <w:rPr>
          <w:sz w:val="20"/>
          <w:szCs w:val="20"/>
          <w:color w:val="auto"/>
        </w:rPr>
      </w:pPr>
    </w:p>
    <w:p>
      <w:pPr>
        <w:ind w:left="620"/>
        <w:spacing w:after="0"/>
        <w:tabs>
          <w:tab w:leader="none" w:pos="940" w:val="left"/>
        </w:tabs>
        <w:rPr>
          <w:sz w:val="20"/>
          <w:szCs w:val="20"/>
          <w:color w:val="auto"/>
        </w:rPr>
      </w:pPr>
      <w:r>
        <w:rPr>
          <w:rFonts w:ascii="Times New Roman" w:cs="Times New Roman" w:eastAsia="Times New Roman" w:hAnsi="Times New Roman"/>
          <w:sz w:val="18"/>
          <w:szCs w:val="18"/>
          <w:color w:val="auto"/>
        </w:rPr>
        <w:t>/s/</w:t>
        <w:tab/>
        <w:t>B</w:t>
      </w:r>
      <w:r>
        <w:rPr>
          <w:rFonts w:ascii="Times New Roman" w:cs="Times New Roman" w:eastAsia="Times New Roman" w:hAnsi="Times New Roman"/>
          <w:sz w:val="14"/>
          <w:szCs w:val="14"/>
          <w:color w:val="auto"/>
        </w:rPr>
        <w:t>ERNICE</w:t>
      </w:r>
      <w:r>
        <w:rPr>
          <w:rFonts w:ascii="Times New Roman" w:cs="Times New Roman" w:eastAsia="Times New Roman" w:hAnsi="Times New Roman"/>
          <w:sz w:val="18"/>
          <w:szCs w:val="18"/>
          <w:color w:val="auto"/>
        </w:rPr>
        <w:t xml:space="preserve"> E. B</w:t>
      </w:r>
      <w:r>
        <w:rPr>
          <w:rFonts w:ascii="Times New Roman" w:cs="Times New Roman" w:eastAsia="Times New Roman" w:hAnsi="Times New Roman"/>
          <w:sz w:val="14"/>
          <w:szCs w:val="14"/>
          <w:color w:val="auto"/>
        </w:rPr>
        <w:t>ELL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382270</wp:posOffset>
            </wp:positionH>
            <wp:positionV relativeFrom="paragraph">
              <wp:posOffset>26035</wp:posOffset>
            </wp:positionV>
            <wp:extent cx="2348865" cy="82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6">
                      <a:extLst>
                        <a:ext uri="{28A0092B-C50C-407E-A947-70E740481C1C}"/>
                      </a:extLst>
                    </a:blip>
                    <a:srcRect/>
                    <a:stretch>
                      <a:fillRect/>
                    </a:stretch>
                  </pic:blipFill>
                  <pic:spPr bwMode="auto">
                    <a:xfrm>
                      <a:off x="0" y="0"/>
                      <a:ext cx="2348865" cy="8255"/>
                    </a:xfrm>
                    <a:prstGeom prst="rect">
                      <a:avLst/>
                    </a:prstGeom>
                    <a:noFill/>
                  </pic:spPr>
                </pic:pic>
              </a:graphicData>
            </a:graphic>
          </wp:anchor>
        </w:drawing>
      </w:r>
    </w:p>
    <w:p>
      <w:pPr>
        <w:spacing w:after="0" w:line="30"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Bernice E. Bell</w:t>
      </w:r>
    </w:p>
    <w:p>
      <w:pPr>
        <w:spacing w:after="0" w:line="11"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18"/>
          <w:szCs w:val="18"/>
          <w:color w:val="auto"/>
        </w:rPr>
        <w:t>Executive Vice President and Chief Financial</w:t>
      </w:r>
    </w:p>
    <w:p>
      <w:pPr>
        <w:ind w:left="620"/>
        <w:spacing w:after="0"/>
        <w:rPr>
          <w:sz w:val="20"/>
          <w:szCs w:val="20"/>
          <w:color w:val="auto"/>
        </w:rPr>
      </w:pPr>
      <w:r>
        <w:rPr>
          <w:rFonts w:ascii="Times New Roman" w:cs="Times New Roman" w:eastAsia="Times New Roman" w:hAnsi="Times New Roman"/>
          <w:sz w:val="18"/>
          <w:szCs w:val="18"/>
          <w:color w:val="auto"/>
        </w:rPr>
        <w:t>Officer (Principal Financial Officer)</w:t>
      </w:r>
    </w:p>
    <w:p>
      <w:pPr>
        <w:sectPr>
          <w:pgSz w:w="11900" w:h="16838" w:orient="portrait"/>
          <w:cols w:equalWidth="0" w:num="1">
            <w:col w:w="11240"/>
          </w:cols>
          <w:pgMar w:left="320" w:top="891" w:right="339" w:bottom="1440" w:gutter="0" w:footer="0" w:header="0"/>
        </w:sectPr>
      </w:pPr>
    </w:p>
    <w:bookmarkStart w:id="51" w:name="page52"/>
    <w:bookmarkEnd w:id="51"/>
    <w:p>
      <w:pPr>
        <w:jc w:val="right"/>
        <w:spacing w:after="0"/>
        <w:rPr>
          <w:sz w:val="20"/>
          <w:szCs w:val="20"/>
          <w:color w:val="auto"/>
        </w:rPr>
      </w:pPr>
      <w:r>
        <w:rPr>
          <w:rFonts w:ascii="Times New Roman" w:cs="Times New Roman" w:eastAsia="Times New Roman" w:hAnsi="Times New Roman"/>
          <w:sz w:val="18"/>
          <w:szCs w:val="18"/>
          <w:color w:val="auto"/>
        </w:rPr>
        <w:t>Exhibit 32</w:t>
      </w: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AGNC Investment Corp.</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 of CEO and CFO Pursuant to 18 U.S.C. Section 1350,</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as Adopted Pursuant to Section 906 of the Sarbanes-Oxley Act of 2002</w:t>
      </w:r>
    </w:p>
    <w:p>
      <w:pPr>
        <w:spacing w:after="0" w:line="153" w:lineRule="exact"/>
        <w:rPr>
          <w:sz w:val="20"/>
          <w:szCs w:val="20"/>
          <w:color w:val="auto"/>
        </w:rPr>
      </w:pPr>
    </w:p>
    <w:p>
      <w:pPr>
        <w:ind w:right="380" w:firstLine="324"/>
        <w:spacing w:after="0" w:line="282" w:lineRule="auto"/>
        <w:rPr>
          <w:sz w:val="20"/>
          <w:szCs w:val="20"/>
          <w:color w:val="auto"/>
        </w:rPr>
      </w:pPr>
      <w:r>
        <w:rPr>
          <w:rFonts w:ascii="Times New Roman" w:cs="Times New Roman" w:eastAsia="Times New Roman" w:hAnsi="Times New Roman"/>
          <w:sz w:val="18"/>
          <w:szCs w:val="18"/>
          <w:color w:val="auto"/>
        </w:rPr>
        <w:t>We, Peter J. Federico, President and Chief Executive Officer, and Bernice E. Bell, Executive Vice President and Chief Financial Officer of AGNC Investment Corp. (the “Company”), certify pursuant to Section 906 of the Sarbanes-Oxley Act of 2002, 18 U.S.C. Section 1350 that:</w:t>
      </w:r>
    </w:p>
    <w:p>
      <w:pPr>
        <w:spacing w:after="0" w:line="108" w:lineRule="exact"/>
        <w:rPr>
          <w:sz w:val="20"/>
          <w:szCs w:val="20"/>
          <w:color w:val="auto"/>
        </w:rPr>
      </w:pPr>
    </w:p>
    <w:p>
      <w:pPr>
        <w:ind w:left="660" w:right="60" w:hanging="328"/>
        <w:spacing w:after="0" w:line="282"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Quarterly Report on Form 10-Q of the Company for the quarter ended March 31, 2022 (the “Report”) fully complies with the requirements of Section 13(a) of the Securities Exchange Act of 1934 (15 U.S.C. 78m); and</w:t>
      </w:r>
    </w:p>
    <w:p>
      <w:pPr>
        <w:spacing w:after="0" w:line="107" w:lineRule="exact"/>
        <w:rPr>
          <w:rFonts w:ascii="Times New Roman" w:cs="Times New Roman" w:eastAsia="Times New Roman" w:hAnsi="Times New Roman"/>
          <w:sz w:val="18"/>
          <w:szCs w:val="18"/>
          <w:color w:val="auto"/>
        </w:rPr>
      </w:pPr>
    </w:p>
    <w:p>
      <w:pPr>
        <w:ind w:left="660" w:hanging="328"/>
        <w:spacing w:after="0"/>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41" w:lineRule="exact"/>
        <w:rPr>
          <w:sz w:val="20"/>
          <w:szCs w:val="20"/>
          <w:color w:val="auto"/>
        </w:rPr>
      </w:pPr>
    </w:p>
    <w:tbl>
      <w:tblPr>
        <w:tblLayout w:type="fixed"/>
        <w:tblInd w:w="20" w:type="dxa"/>
        <w:tblCellMar>
          <w:top w:w="0" w:type="dxa"/>
          <w:left w:w="0" w:type="dxa"/>
          <w:bottom w:w="0" w:type="dxa"/>
          <w:right w:w="0" w:type="dxa"/>
        </w:tblCellMar>
      </w:tblPr>
      <w:tr>
        <w:trPr>
          <w:trHeight w:val="241"/>
        </w:trPr>
        <w:tc>
          <w:tcPr>
            <w:tcW w:w="700" w:type="dxa"/>
            <w:vAlign w:val="bottom"/>
          </w:tcPr>
          <w:p>
            <w:pPr>
              <w:spacing w:after="0"/>
              <w:rPr>
                <w:sz w:val="20"/>
                <w:szCs w:val="20"/>
                <w:color w:val="auto"/>
              </w:rPr>
            </w:pPr>
          </w:p>
        </w:tc>
        <w:tc>
          <w:tcPr>
            <w:tcW w:w="2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w:t>
            </w:r>
          </w:p>
        </w:tc>
        <w:tc>
          <w:tcPr>
            <w:tcW w:w="59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P</w:t>
            </w:r>
            <w:r>
              <w:rPr>
                <w:rFonts w:ascii="Times New Roman" w:cs="Times New Roman" w:eastAsia="Times New Roman" w:hAnsi="Times New Roman"/>
                <w:sz w:val="14"/>
                <w:szCs w:val="14"/>
                <w:color w:val="auto"/>
              </w:rPr>
              <w:t>ETER</w:t>
            </w:r>
            <w:r>
              <w:rPr>
                <w:rFonts w:ascii="Times New Roman" w:cs="Times New Roman" w:eastAsia="Times New Roman" w:hAnsi="Times New Roman"/>
                <w:sz w:val="18"/>
                <w:szCs w:val="18"/>
                <w:color w:val="auto"/>
              </w:rPr>
              <w:t xml:space="preserve"> J. F</w:t>
            </w:r>
            <w:r>
              <w:rPr>
                <w:rFonts w:ascii="Times New Roman" w:cs="Times New Roman" w:eastAsia="Times New Roman" w:hAnsi="Times New Roman"/>
                <w:sz w:val="14"/>
                <w:szCs w:val="14"/>
                <w:color w:val="auto"/>
              </w:rPr>
              <w:t>EDERICO</w:t>
            </w:r>
          </w:p>
        </w:tc>
      </w:tr>
      <w:tr>
        <w:trPr>
          <w:trHeight w:val="225"/>
        </w:trPr>
        <w:tc>
          <w:tcPr>
            <w:tcW w:w="700" w:type="dxa"/>
            <w:vAlign w:val="bottom"/>
          </w:tcPr>
          <w:p>
            <w:pPr>
              <w:spacing w:after="0"/>
              <w:rPr>
                <w:sz w:val="20"/>
                <w:szCs w:val="20"/>
                <w:color w:val="auto"/>
              </w:rPr>
            </w:pPr>
            <w:r>
              <w:rPr>
                <w:rFonts w:ascii="Times New Roman" w:cs="Times New Roman" w:eastAsia="Times New Roman" w:hAnsi="Times New Roman"/>
                <w:sz w:val="18"/>
                <w:szCs w:val="18"/>
                <w:color w:val="auto"/>
              </w:rPr>
              <w:t>Name:</w:t>
            </w:r>
          </w:p>
        </w:tc>
        <w:tc>
          <w:tcPr>
            <w:tcW w:w="6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Peter J. Federico</w:t>
            </w:r>
          </w:p>
        </w:tc>
      </w:tr>
      <w:tr>
        <w:trPr>
          <w:trHeight w:val="189"/>
        </w:trPr>
        <w:tc>
          <w:tcPr>
            <w:tcW w:w="700" w:type="dxa"/>
            <w:vAlign w:val="bottom"/>
          </w:tcPr>
          <w:p>
            <w:pPr>
              <w:spacing w:after="0" w:line="189" w:lineRule="exact"/>
              <w:rPr>
                <w:sz w:val="20"/>
                <w:szCs w:val="20"/>
                <w:color w:val="auto"/>
              </w:rPr>
            </w:pPr>
            <w:r>
              <w:rPr>
                <w:rFonts w:ascii="Times New Roman" w:cs="Times New Roman" w:eastAsia="Times New Roman" w:hAnsi="Times New Roman"/>
                <w:sz w:val="18"/>
                <w:szCs w:val="18"/>
                <w:color w:val="auto"/>
              </w:rPr>
              <w:t>Title:</w:t>
            </w:r>
          </w:p>
        </w:tc>
        <w:tc>
          <w:tcPr>
            <w:tcW w:w="6240" w:type="dxa"/>
            <w:vAlign w:val="bottom"/>
            <w:gridSpan w:val="2"/>
          </w:tcPr>
          <w:p>
            <w:pPr>
              <w:ind w:left="20"/>
              <w:spacing w:after="0" w:line="189" w:lineRule="exact"/>
              <w:rPr>
                <w:sz w:val="20"/>
                <w:szCs w:val="20"/>
                <w:color w:val="auto"/>
              </w:rPr>
            </w:pPr>
            <w:r>
              <w:rPr>
                <w:rFonts w:ascii="Times New Roman" w:cs="Times New Roman" w:eastAsia="Times New Roman" w:hAnsi="Times New Roman"/>
                <w:sz w:val="18"/>
                <w:szCs w:val="18"/>
                <w:color w:val="auto"/>
              </w:rPr>
              <w:t>President and</w:t>
            </w:r>
          </w:p>
        </w:tc>
      </w:tr>
      <w:tr>
        <w:trPr>
          <w:trHeight w:val="229"/>
        </w:trPr>
        <w:tc>
          <w:tcPr>
            <w:tcW w:w="700" w:type="dxa"/>
            <w:vAlign w:val="bottom"/>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Chief Executive Officer (Principal Executive Officer)</w:t>
            </w:r>
          </w:p>
        </w:tc>
      </w:tr>
      <w:tr>
        <w:trPr>
          <w:trHeight w:val="234"/>
        </w:trPr>
        <w:tc>
          <w:tcPr>
            <w:tcW w:w="700" w:type="dxa"/>
            <w:vAlign w:val="bottom"/>
          </w:tcPr>
          <w:p>
            <w:pPr>
              <w:spacing w:after="0"/>
              <w:rPr>
                <w:sz w:val="20"/>
                <w:szCs w:val="20"/>
                <w:color w:val="auto"/>
              </w:rPr>
            </w:pPr>
            <w:r>
              <w:rPr>
                <w:rFonts w:ascii="Times New Roman" w:cs="Times New Roman" w:eastAsia="Times New Roman" w:hAnsi="Times New Roman"/>
                <w:sz w:val="18"/>
                <w:szCs w:val="18"/>
                <w:color w:val="auto"/>
              </w:rPr>
              <w:t>Date:</w:t>
            </w:r>
          </w:p>
        </w:tc>
        <w:tc>
          <w:tcPr>
            <w:tcW w:w="6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May 9, 2022</w:t>
            </w:r>
          </w:p>
        </w:tc>
      </w:tr>
      <w:tr>
        <w:trPr>
          <w:trHeight w:val="493"/>
        </w:trPr>
        <w:tc>
          <w:tcPr>
            <w:tcW w:w="700" w:type="dxa"/>
            <w:vAlign w:val="bottom"/>
          </w:tcPr>
          <w:p>
            <w:pPr>
              <w:spacing w:after="0"/>
              <w:rPr>
                <w:sz w:val="24"/>
                <w:szCs w:val="24"/>
                <w:color w:val="auto"/>
              </w:rPr>
            </w:pPr>
          </w:p>
        </w:tc>
        <w:tc>
          <w:tcPr>
            <w:tcW w:w="28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18"/>
                <w:szCs w:val="18"/>
                <w:color w:val="auto"/>
              </w:rPr>
              <w:t>/s/</w:t>
            </w:r>
          </w:p>
        </w:tc>
        <w:tc>
          <w:tcPr>
            <w:tcW w:w="596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8"/>
                <w:szCs w:val="18"/>
                <w:color w:val="auto"/>
              </w:rPr>
              <w:t>B</w:t>
            </w:r>
            <w:r>
              <w:rPr>
                <w:rFonts w:ascii="Times New Roman" w:cs="Times New Roman" w:eastAsia="Times New Roman" w:hAnsi="Times New Roman"/>
                <w:sz w:val="14"/>
                <w:szCs w:val="14"/>
                <w:color w:val="auto"/>
              </w:rPr>
              <w:t>ERNICE</w:t>
            </w:r>
            <w:r>
              <w:rPr>
                <w:rFonts w:ascii="Times New Roman" w:cs="Times New Roman" w:eastAsia="Times New Roman" w:hAnsi="Times New Roman"/>
                <w:sz w:val="18"/>
                <w:szCs w:val="18"/>
                <w:color w:val="auto"/>
              </w:rPr>
              <w:t xml:space="preserve"> E. B</w:t>
            </w:r>
            <w:r>
              <w:rPr>
                <w:rFonts w:ascii="Times New Roman" w:cs="Times New Roman" w:eastAsia="Times New Roman" w:hAnsi="Times New Roman"/>
                <w:sz w:val="14"/>
                <w:szCs w:val="14"/>
                <w:color w:val="auto"/>
              </w:rPr>
              <w:t>ELL</w:t>
            </w:r>
          </w:p>
        </w:tc>
      </w:tr>
      <w:tr>
        <w:trPr>
          <w:trHeight w:val="225"/>
        </w:trPr>
        <w:tc>
          <w:tcPr>
            <w:tcW w:w="700" w:type="dxa"/>
            <w:vAlign w:val="bottom"/>
          </w:tcPr>
          <w:p>
            <w:pPr>
              <w:spacing w:after="0"/>
              <w:rPr>
                <w:sz w:val="20"/>
                <w:szCs w:val="20"/>
                <w:color w:val="auto"/>
              </w:rPr>
            </w:pPr>
            <w:r>
              <w:rPr>
                <w:rFonts w:ascii="Times New Roman" w:cs="Times New Roman" w:eastAsia="Times New Roman" w:hAnsi="Times New Roman"/>
                <w:sz w:val="18"/>
                <w:szCs w:val="18"/>
                <w:color w:val="auto"/>
              </w:rPr>
              <w:t>Name:</w:t>
            </w:r>
          </w:p>
        </w:tc>
        <w:tc>
          <w:tcPr>
            <w:tcW w:w="6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Bernice E. Bell</w:t>
            </w:r>
          </w:p>
        </w:tc>
      </w:tr>
      <w:tr>
        <w:trPr>
          <w:trHeight w:val="189"/>
        </w:trPr>
        <w:tc>
          <w:tcPr>
            <w:tcW w:w="700" w:type="dxa"/>
            <w:vAlign w:val="bottom"/>
          </w:tcPr>
          <w:p>
            <w:pPr>
              <w:spacing w:after="0" w:line="189" w:lineRule="exact"/>
              <w:rPr>
                <w:sz w:val="20"/>
                <w:szCs w:val="20"/>
                <w:color w:val="auto"/>
              </w:rPr>
            </w:pPr>
            <w:r>
              <w:rPr>
                <w:rFonts w:ascii="Times New Roman" w:cs="Times New Roman" w:eastAsia="Times New Roman" w:hAnsi="Times New Roman"/>
                <w:sz w:val="18"/>
                <w:szCs w:val="18"/>
                <w:color w:val="auto"/>
              </w:rPr>
              <w:t>Title:</w:t>
            </w:r>
          </w:p>
        </w:tc>
        <w:tc>
          <w:tcPr>
            <w:tcW w:w="6240" w:type="dxa"/>
            <w:vAlign w:val="bottom"/>
            <w:gridSpan w:val="2"/>
          </w:tcPr>
          <w:p>
            <w:pPr>
              <w:ind w:left="20"/>
              <w:spacing w:after="0" w:line="189" w:lineRule="exact"/>
              <w:rPr>
                <w:sz w:val="20"/>
                <w:szCs w:val="20"/>
                <w:color w:val="auto"/>
              </w:rPr>
            </w:pPr>
            <w:r>
              <w:rPr>
                <w:rFonts w:ascii="Times New Roman" w:cs="Times New Roman" w:eastAsia="Times New Roman" w:hAnsi="Times New Roman"/>
                <w:sz w:val="18"/>
                <w:szCs w:val="18"/>
                <w:color w:val="auto"/>
              </w:rPr>
              <w:t>Executive Vice President and</w:t>
            </w:r>
          </w:p>
        </w:tc>
      </w:tr>
      <w:tr>
        <w:trPr>
          <w:trHeight w:val="230"/>
        </w:trPr>
        <w:tc>
          <w:tcPr>
            <w:tcW w:w="700" w:type="dxa"/>
            <w:vAlign w:val="bottom"/>
          </w:tcPr>
          <w:p>
            <w:pPr>
              <w:spacing w:after="0"/>
              <w:rPr>
                <w:sz w:val="19"/>
                <w:szCs w:val="19"/>
                <w:color w:val="auto"/>
              </w:rPr>
            </w:pPr>
          </w:p>
        </w:tc>
        <w:tc>
          <w:tcPr>
            <w:tcW w:w="6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Chief Financial Officer (Principal Financial Officer)</w:t>
            </w:r>
          </w:p>
        </w:tc>
      </w:tr>
      <w:tr>
        <w:trPr>
          <w:trHeight w:val="234"/>
        </w:trPr>
        <w:tc>
          <w:tcPr>
            <w:tcW w:w="700" w:type="dxa"/>
            <w:vAlign w:val="bottom"/>
          </w:tcPr>
          <w:p>
            <w:pPr>
              <w:spacing w:after="0"/>
              <w:rPr>
                <w:sz w:val="20"/>
                <w:szCs w:val="20"/>
                <w:color w:val="auto"/>
              </w:rPr>
            </w:pPr>
            <w:r>
              <w:rPr>
                <w:rFonts w:ascii="Times New Roman" w:cs="Times New Roman" w:eastAsia="Times New Roman" w:hAnsi="Times New Roman"/>
                <w:sz w:val="18"/>
                <w:szCs w:val="18"/>
                <w:color w:val="auto"/>
              </w:rPr>
              <w:t>Date:</w:t>
            </w:r>
          </w:p>
        </w:tc>
        <w:tc>
          <w:tcPr>
            <w:tcW w:w="6240" w:type="dxa"/>
            <w:vAlign w:val="bottom"/>
            <w:gridSpan w:val="2"/>
          </w:tcPr>
          <w:p>
            <w:pPr>
              <w:ind w:left="20"/>
              <w:spacing w:after="0"/>
              <w:rPr>
                <w:sz w:val="20"/>
                <w:szCs w:val="20"/>
                <w:color w:val="auto"/>
              </w:rPr>
            </w:pPr>
            <w:r>
              <w:rPr>
                <w:rFonts w:ascii="Times New Roman" w:cs="Times New Roman" w:eastAsia="Times New Roman" w:hAnsi="Times New Roman"/>
                <w:sz w:val="18"/>
                <w:szCs w:val="18"/>
                <w:color w:val="auto"/>
              </w:rPr>
              <w:t>May 9, 2022</w:t>
            </w:r>
          </w:p>
        </w:tc>
      </w:tr>
    </w:tbl>
    <w:p>
      <w:pPr>
        <w:spacing w:after="0" w:line="90"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A signed original of this written statement required by Section 906 has been provided to the Company and will be retained by the Company and furnished to the Securities and Exchange Commission or its staff upon request.</w:t>
      </w:r>
    </w:p>
    <w:sectPr>
      <w:pgSz w:w="11900" w:h="16838" w:orient="portrait"/>
      <w:cols w:equalWidth="0" w:num="1">
        <w:col w:w="11240"/>
      </w:cols>
      <w:pgMar w:left="320" w:top="89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33AB105"/>
    <w:multiLevelType w:val="hybridMultilevel"/>
    <w:lvl w:ilvl="0">
      <w:lvlJc w:val="left"/>
      <w:lvlText w:val="•"/>
      <w:numFmt w:val="bullet"/>
      <w:start w:val="1"/>
    </w:lvl>
  </w:abstractNum>
  <w:abstractNum w:abstractNumId="1">
    <w:nsid w:val="721DA317"/>
    <w:multiLevelType w:val="hybridMultilevel"/>
    <w:lvl w:ilvl="0">
      <w:lvlJc w:val="left"/>
      <w:lvlText w:val="%1."/>
      <w:numFmt w:val="decimal"/>
      <w:start w:val="1"/>
    </w:lvl>
  </w:abstractNum>
  <w:abstractNum w:abstractNumId="2">
    <w:nsid w:val="2443A858"/>
    <w:multiLevelType w:val="hybridMultilevel"/>
    <w:lvl w:ilvl="0">
      <w:lvlJc w:val="left"/>
      <w:lvlText w:val="%1."/>
      <w:numFmt w:val="decimal"/>
      <w:start w:val="1"/>
    </w:lvl>
  </w:abstractNum>
  <w:abstractNum w:abstractNumId="3">
    <w:nsid w:val="2D1D5AE9"/>
    <w:multiLevelType w:val="hybridMultilevel"/>
    <w:lvl w:ilvl="0">
      <w:lvlJc w:val="left"/>
      <w:lvlText w:val="%1."/>
      <w:numFmt w:val="decimal"/>
      <w:start w:val="1"/>
    </w:lvl>
  </w:abstractNum>
  <w:abstractNum w:abstractNumId="4">
    <w:nsid w:val="6763845E"/>
    <w:multiLevelType w:val="hybridMultilevel"/>
    <w:lvl w:ilvl="0">
      <w:lvlJc w:val="left"/>
      <w:lvlText w:val="%1."/>
      <w:numFmt w:val="decimal"/>
      <w:start w:val="1"/>
    </w:lvl>
  </w:abstractNum>
  <w:abstractNum w:abstractNumId="5">
    <w:nsid w:val="75A2A8D4"/>
    <w:multiLevelType w:val="hybridMultilevel"/>
    <w:lvl w:ilvl="0">
      <w:lvlJc w:val="left"/>
      <w:lvlText w:val="%1."/>
      <w:numFmt w:val="decimal"/>
      <w:start w:val="1"/>
    </w:lvl>
  </w:abstractNum>
  <w:abstractNum w:abstractNumId="6">
    <w:nsid w:val="8EDBDAB"/>
    <w:multiLevelType w:val="hybridMultilevel"/>
    <w:lvl w:ilvl="0">
      <w:lvlJc w:val="left"/>
      <w:lvlText w:val="%1."/>
      <w:numFmt w:val="decimal"/>
      <w:start w:val="1"/>
    </w:lvl>
  </w:abstractNum>
  <w:abstractNum w:abstractNumId="7">
    <w:nsid w:val="79838CB2"/>
    <w:multiLevelType w:val="hybridMultilevel"/>
    <w:lvl w:ilvl="0">
      <w:lvlJc w:val="left"/>
      <w:lvlText w:val="%1."/>
      <w:numFmt w:val="decimal"/>
      <w:start w:val="1"/>
    </w:lvl>
  </w:abstractNum>
  <w:abstractNum w:abstractNumId="8">
    <w:nsid w:val="4353D0CD"/>
    <w:multiLevelType w:val="hybridMultilevel"/>
    <w:lvl w:ilvl="0">
      <w:lvlJc w:val="left"/>
      <w:lvlText w:val="%1."/>
      <w:numFmt w:val="decimal"/>
      <w:start w:val="1"/>
    </w:lvl>
  </w:abstractNum>
  <w:abstractNum w:abstractNumId="9">
    <w:nsid w:val="B03E0C6"/>
    <w:multiLevelType w:val="hybridMultilevel"/>
    <w:lvl w:ilvl="0">
      <w:lvlJc w:val="left"/>
      <w:lvlText w:val="%1."/>
      <w:numFmt w:val="decimal"/>
      <w:start w:val="1"/>
    </w:lvl>
  </w:abstractNum>
  <w:abstractNum w:abstractNumId="10">
    <w:nsid w:val="189A769B"/>
    <w:multiLevelType w:val="hybridMultilevel"/>
    <w:lvl w:ilvl="0">
      <w:lvlJc w:val="left"/>
      <w:lvlText w:val="%1."/>
      <w:numFmt w:val="decimal"/>
      <w:start w:val="1"/>
    </w:lvl>
  </w:abstractNum>
  <w:abstractNum w:abstractNumId="11">
    <w:nsid w:val="54E49EB4"/>
    <w:multiLevelType w:val="hybridMultilevel"/>
    <w:lvl w:ilvl="0">
      <w:lvlJc w:val="left"/>
      <w:lvlText w:val="%1."/>
      <w:numFmt w:val="decimal"/>
      <w:start w:val="1"/>
    </w:lvl>
  </w:abstractNum>
  <w:abstractNum w:abstractNumId="12">
    <w:nsid w:val="71F32454"/>
    <w:multiLevelType w:val="hybridMultilevel"/>
    <w:lvl w:ilvl="0">
      <w:lvlJc w:val="left"/>
      <w:lvlText w:val="%1."/>
      <w:numFmt w:val="decimal"/>
      <w:start w:val="1"/>
    </w:lvl>
  </w:abstractNum>
  <w:abstractNum w:abstractNumId="13">
    <w:nsid w:val="2CA88611"/>
    <w:multiLevelType w:val="hybridMultilevel"/>
    <w:lvl w:ilvl="0">
      <w:lvlJc w:val="left"/>
      <w:lvlText w:val="%1."/>
      <w:numFmt w:val="decimal"/>
      <w:start w:val="1"/>
    </w:lvl>
  </w:abstractNum>
  <w:abstractNum w:abstractNumId="14">
    <w:nsid w:val="836C40E"/>
    <w:multiLevelType w:val="hybridMultilevel"/>
    <w:lvl w:ilvl="0">
      <w:lvlJc w:val="left"/>
      <w:lvlText w:val="%1."/>
      <w:numFmt w:val="decimal"/>
      <w:start w:val="1"/>
    </w:lvl>
  </w:abstractNum>
  <w:abstractNum w:abstractNumId="15">
    <w:nsid w:val="2901D82"/>
    <w:multiLevelType w:val="hybridMultilevel"/>
    <w:lvl w:ilvl="0">
      <w:lvlJc w:val="left"/>
      <w:lvlText w:val="%1."/>
      <w:numFmt w:val="decimal"/>
      <w:start w:val="1"/>
    </w:lvl>
  </w:abstractNum>
  <w:abstractNum w:abstractNumId="16">
    <w:nsid w:val="3A95F874"/>
    <w:multiLevelType w:val="hybridMultilevel"/>
    <w:lvl w:ilvl="0">
      <w:lvlJc w:val="left"/>
      <w:lvlText w:val="%1."/>
      <w:numFmt w:val="decimal"/>
      <w:start w:val="1"/>
    </w:lvl>
  </w:abstractNum>
  <w:abstractNum w:abstractNumId="17">
    <w:nsid w:val="8138641"/>
    <w:multiLevelType w:val="hybridMultilevel"/>
    <w:lvl w:ilvl="0">
      <w:lvlJc w:val="left"/>
      <w:lvlText w:val="•"/>
      <w:numFmt w:val="bullet"/>
      <w:start w:val="1"/>
    </w:lvl>
  </w:abstractNum>
  <w:abstractNum w:abstractNumId="18">
    <w:nsid w:val="1E7FF521"/>
    <w:multiLevelType w:val="hybridMultilevel"/>
    <w:lvl w:ilvl="0">
      <w:lvlJc w:val="left"/>
      <w:lvlText w:val="%1."/>
      <w:numFmt w:val="decimal"/>
      <w:start w:val="1"/>
    </w:lvl>
  </w:abstractNum>
  <w:abstractNum w:abstractNumId="19">
    <w:nsid w:val="7C3DBD3D"/>
    <w:multiLevelType w:val="hybridMultilevel"/>
    <w:lvl w:ilvl="0">
      <w:lvlJc w:val="left"/>
      <w:lvlText w:val="%1."/>
      <w:numFmt w:val="decimal"/>
      <w:start w:val="1"/>
    </w:lvl>
  </w:abstractNum>
  <w:abstractNum w:abstractNumId="20">
    <w:nsid w:val="737B8DDC"/>
    <w:multiLevelType w:val="hybridMultilevel"/>
    <w:lvl w:ilvl="0">
      <w:lvlJc w:val="left"/>
      <w:lvlText w:val="%1."/>
      <w:numFmt w:val="decimal"/>
      <w:start w:val="1"/>
    </w:lvl>
  </w:abstractNum>
  <w:abstractNum w:abstractNumId="21">
    <w:nsid w:val="6CEAF087"/>
    <w:multiLevelType w:val="hybridMultilevel"/>
    <w:lvl w:ilvl="0">
      <w:lvlJc w:val="left"/>
      <w:lvlText w:val="%1."/>
      <w:numFmt w:val="decimal"/>
      <w:start w:val="1"/>
    </w:lvl>
  </w:abstractNum>
  <w:abstractNum w:abstractNumId="22">
    <w:nsid w:val="22221A70"/>
    <w:multiLevelType w:val="hybridMultilevel"/>
    <w:lvl w:ilvl="0">
      <w:lvlJc w:val="left"/>
      <w:lvlText w:val="%1."/>
      <w:numFmt w:val="decimal"/>
      <w:start w:val="1"/>
    </w:lvl>
  </w:abstractNum>
  <w:abstractNum w:abstractNumId="23">
    <w:nsid w:val="4516DDE9"/>
    <w:multiLevelType w:val="hybridMultilevel"/>
    <w:lvl w:ilvl="0">
      <w:lvlJc w:val="left"/>
      <w:lvlText w:val="%1."/>
      <w:numFmt w:val="decimal"/>
      <w:start w:val="1"/>
    </w:lvl>
  </w:abstractNum>
  <w:abstractNum w:abstractNumId="24">
    <w:nsid w:val="3006C83E"/>
    <w:multiLevelType w:val="hybridMultilevel"/>
    <w:lvl w:ilvl="0">
      <w:lvlJc w:val="left"/>
      <w:lvlText w:val="%1."/>
      <w:numFmt w:val="decimal"/>
      <w:start w:val="7"/>
    </w:lvl>
  </w:abstractNum>
  <w:abstractNum w:abstractNumId="25">
    <w:nsid w:val="614FD4A1"/>
    <w:multiLevelType w:val="hybridMultilevel"/>
    <w:lvl w:ilvl="0">
      <w:lvlJc w:val="left"/>
      <w:lvlText w:val="%1."/>
      <w:numFmt w:val="decimal"/>
      <w:start w:val="1"/>
    </w:lvl>
  </w:abstractNum>
  <w:abstractNum w:abstractNumId="26">
    <w:nsid w:val="419AC241"/>
    <w:multiLevelType w:val="hybridMultilevel"/>
    <w:lvl w:ilvl="0">
      <w:lvlJc w:val="left"/>
      <w:lvlText w:val="%1."/>
      <w:numFmt w:val="decimal"/>
      <w:start w:val="1"/>
    </w:lvl>
  </w:abstractNum>
  <w:abstractNum w:abstractNumId="27">
    <w:nsid w:val="5577F8E1"/>
    <w:multiLevelType w:val="hybridMultilevel"/>
    <w:lvl w:ilvl="0">
      <w:lvlJc w:val="left"/>
      <w:lvlText w:val="%1."/>
      <w:numFmt w:val="decimal"/>
      <w:start w:val="1"/>
    </w:lvl>
  </w:abstractNum>
  <w:abstractNum w:abstractNumId="28">
    <w:nsid w:val="440BADFC"/>
    <w:multiLevelType w:val="hybridMultilevel"/>
    <w:lvl w:ilvl="0">
      <w:lvlJc w:val="left"/>
      <w:lvlText w:val="%1."/>
      <w:numFmt w:val="decimal"/>
      <w:start w:val="1"/>
    </w:lvl>
  </w:abstractNum>
  <w:abstractNum w:abstractNumId="29">
    <w:nsid w:val="5072367"/>
    <w:multiLevelType w:val="hybridMultilevel"/>
    <w:lvl w:ilvl="0">
      <w:lvlJc w:val="left"/>
      <w:lvlText w:val="%1."/>
      <w:numFmt w:val="decimal"/>
      <w:start w:val="1"/>
    </w:lvl>
  </w:abstractNum>
  <w:abstractNum w:abstractNumId="30">
    <w:nsid w:val="3804823E"/>
    <w:multiLevelType w:val="hybridMultilevel"/>
    <w:lvl w:ilvl="0">
      <w:lvlJc w:val="left"/>
      <w:lvlText w:val="%1."/>
      <w:numFmt w:val="decimal"/>
      <w:start w:val="3"/>
    </w:lvl>
  </w:abstractNum>
  <w:abstractNum w:abstractNumId="31">
    <w:nsid w:val="77465F01"/>
    <w:multiLevelType w:val="hybridMultilevel"/>
    <w:lvl w:ilvl="0">
      <w:lvlJc w:val="left"/>
      <w:lvlText w:val="%1."/>
      <w:numFmt w:val="decimal"/>
      <w:start w:val="1"/>
    </w:lvl>
  </w:abstractNum>
  <w:abstractNum w:abstractNumId="32">
    <w:nsid w:val="7724C67E"/>
    <w:multiLevelType w:val="hybridMultilevel"/>
    <w:lvl w:ilvl="0">
      <w:lvlJc w:val="left"/>
      <w:lvlText w:val="•"/>
      <w:numFmt w:val="bullet"/>
      <w:start w:val="1"/>
    </w:lvl>
  </w:abstractNum>
  <w:abstractNum w:abstractNumId="33">
    <w:nsid w:val="5C482A97"/>
    <w:multiLevelType w:val="hybridMultilevel"/>
    <w:lvl w:ilvl="0">
      <w:lvlJc w:val="left"/>
      <w:lvlText w:val="•"/>
      <w:numFmt w:val="bullet"/>
      <w:start w:val="1"/>
    </w:lvl>
  </w:abstractNum>
  <w:abstractNum w:abstractNumId="34">
    <w:nsid w:val="2463B9EA"/>
    <w:multiLevelType w:val="hybridMultilevel"/>
    <w:lvl w:ilvl="0">
      <w:lvlJc w:val="left"/>
      <w:lvlText w:val="%1."/>
      <w:numFmt w:val="decimal"/>
      <w:start w:val="1"/>
    </w:lvl>
  </w:abstractNum>
  <w:abstractNum w:abstractNumId="35">
    <w:nsid w:val="5E884ADC"/>
    <w:multiLevelType w:val="hybridMultilevel"/>
    <w:lvl w:ilvl="0">
      <w:lvlJc w:val="left"/>
      <w:lvlText w:val="%1."/>
      <w:numFmt w:val="decimal"/>
      <w:start w:val="1"/>
    </w:lvl>
  </w:abstractNum>
  <w:abstractNum w:abstractNumId="36">
    <w:nsid w:val="51EAD36B"/>
    <w:multiLevelType w:val="hybridMultilevel"/>
    <w:lvl w:ilvl="0">
      <w:lvlJc w:val="left"/>
      <w:lvlText w:val="%1."/>
      <w:numFmt w:val="decimal"/>
      <w:start w:val="1"/>
    </w:lvl>
  </w:abstractNum>
  <w:abstractNum w:abstractNumId="37">
    <w:nsid w:val="2D517796"/>
    <w:multiLevelType w:val="hybridMultilevel"/>
    <w:lvl w:ilvl="0">
      <w:lvlJc w:val="left"/>
      <w:lvlText w:val="**"/>
      <w:numFmt w:val="bullet"/>
      <w:start w:val="1"/>
    </w:lvl>
  </w:abstractNum>
  <w:abstractNum w:abstractNumId="38">
    <w:nsid w:val="580BD78F"/>
    <w:multiLevelType w:val="hybridMultilevel"/>
    <w:lvl w:ilvl="0">
      <w:lvlJc w:val="left"/>
      <w:lvlText w:val="(%1)"/>
      <w:numFmt w:val="lowerLetter"/>
      <w:start w:val="3"/>
    </w:lvl>
  </w:abstractNum>
  <w:abstractNum w:abstractNumId="39">
    <w:nsid w:val="153EA438"/>
    <w:multiLevelType w:val="hybridMultilevel"/>
    <w:lvl w:ilvl="0">
      <w:lvlJc w:val="left"/>
      <w:lvlText w:val="%1."/>
      <w:numFmt w:val="decimal"/>
      <w:start w:val="1"/>
    </w:lvl>
    <w:lvl w:ilvl="1">
      <w:lvlJc w:val="left"/>
      <w:lvlText w:val="(%2)"/>
      <w:numFmt w:val="lowerLetter"/>
      <w:start w:val="1"/>
    </w:lvl>
  </w:abstractNum>
  <w:abstractNum w:abstractNumId="40">
    <w:nsid w:val="3855585C"/>
    <w:multiLevelType w:val="hybridMultilevel"/>
    <w:lvl w:ilvl="0">
      <w:lvlJc w:val="left"/>
      <w:lvlText w:val="%1."/>
      <w:numFmt w:val="decimal"/>
      <w:start w:val="1"/>
    </w:lvl>
    <w:lvl w:ilvl="1">
      <w:lvlJc w:val="left"/>
      <w:lvlText w:val="(%2)"/>
      <w:numFmt w:val="lowerLetter"/>
      <w:start w:val="1"/>
    </w:lvl>
  </w:abstractNum>
  <w:abstractNum w:abstractNumId="41">
    <w:nsid w:val="70A64E2A"/>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71" Type="http://schemas.openxmlformats.org/officeDocument/2006/relationships/image" Target="media/image56.png"/><Relationship Id="rId81" Type="http://schemas.openxmlformats.org/officeDocument/2006/relationships/image" Target="media/image57.png"/><Relationship Id="rId82" Type="http://schemas.openxmlformats.org/officeDocument/2006/relationships/image" Target="media/image58.png"/><Relationship Id="rId83" Type="http://schemas.openxmlformats.org/officeDocument/2006/relationships/image" Target="media/image59.png"/><Relationship Id="rId84" Type="http://schemas.openxmlformats.org/officeDocument/2006/relationships/image" Target="media/image60.png"/><Relationship Id="rId85" Type="http://schemas.openxmlformats.org/officeDocument/2006/relationships/image" Target="media/image61.png"/><Relationship Id="rId86" Type="http://schemas.openxmlformats.org/officeDocument/2006/relationships/image" Target="media/image62.png"/><Relationship Id="rId63" Type="http://schemas.openxmlformats.org/officeDocument/2006/relationships/hyperlink" Target="http://www.sec.gov/Archives/edgar/data/1423689/000142368922000014/agncexhibit3112312110-k.htm" TargetMode="External"/><Relationship Id="rId64" Type="http://schemas.openxmlformats.org/officeDocument/2006/relationships/hyperlink" Target="http://www.sec.gov/Archives/edgar/data/1423689/000142368921000017/arbylaws-march2021vrevised.htm" TargetMode="External"/><Relationship Id="rId65" Type="http://schemas.openxmlformats.org/officeDocument/2006/relationships/hyperlink" Target="http://www.sec.gov/Archives/edgar/data/1423689/000142368917000044/ex35certificateofdesignati.htm" TargetMode="External"/><Relationship Id="rId66" Type="http://schemas.openxmlformats.org/officeDocument/2006/relationships/hyperlink" Target="http://www.sec.gov/Archives/edgar/data/1423689/000142368917000065/certificateofelimination.htm" TargetMode="External"/><Relationship Id="rId67" Type="http://schemas.openxmlformats.org/officeDocument/2006/relationships/hyperlink" Target="http://www.sec.gov/Archives/edgar/data/1423689/000142368919000019/certificateofdesignations.htm" TargetMode="External"/><Relationship Id="rId68" Type="http://schemas.openxmlformats.org/officeDocument/2006/relationships/hyperlink" Target="http://www.sec.gov/Archives/edgar/data/1423689/000142368919000064/certofdesignations.htm" TargetMode="External"/><Relationship Id="rId69" Type="http://schemas.openxmlformats.org/officeDocument/2006/relationships/hyperlink" Target="http://www.sec.gov/Archives/edgar/data/1423689/000142368919000078/certificateofeliminati.htm" TargetMode="External"/><Relationship Id="rId70" Type="http://schemas.openxmlformats.org/officeDocument/2006/relationships/hyperlink" Target="http://www.sec.gov/Archives/edgar/data/1423689/000142368920000012/certificateofdesignations-.htm" TargetMode="External"/><Relationship Id="rId72" Type="http://schemas.openxmlformats.org/officeDocument/2006/relationships/hyperlink" Target="http://www.sec.gov/Archives/edgar/data/1423689/000142368916000104/agncexhibit43.htm" TargetMode="External"/><Relationship Id="rId73" Type="http://schemas.openxmlformats.org/officeDocument/2006/relationships/hyperlink" Target="http://www.sec.gov/Archives/edgar/data/1423689/000142368917000044/exhibit41.htm" TargetMode="External"/><Relationship Id="rId74" Type="http://schemas.openxmlformats.org/officeDocument/2006/relationships/hyperlink" Target="http://www.sec.gov/Archives/edgar/data/1423689/000142368919000019/stockcertificateb98.htm" TargetMode="External"/><Relationship Id="rId75" Type="http://schemas.openxmlformats.org/officeDocument/2006/relationships/hyperlink" Target="http://www.sec.gov/Archives/edgar/data/1423689/000142368919000064/stockcertificate.htm" TargetMode="External"/><Relationship Id="rId76" Type="http://schemas.openxmlformats.org/officeDocument/2006/relationships/hyperlink" Target="http://www.sec.gov/Archives/edgar/data/1423689/000142368920000012/stockcertificate.htm" TargetMode="External"/><Relationship Id="rId77" Type="http://schemas.openxmlformats.org/officeDocument/2006/relationships/hyperlink" Target="http://www.sec.gov/Archives/edgar/data/1423689/000142368917000049/depositagreement.htm" TargetMode="External"/><Relationship Id="rId78" Type="http://schemas.openxmlformats.org/officeDocument/2006/relationships/hyperlink" Target="http://www.sec.gov/Archives/edgar/data/1423689/000142368919000021/prefddepositagmt.htm" TargetMode="External"/><Relationship Id="rId79" Type="http://schemas.openxmlformats.org/officeDocument/2006/relationships/hyperlink" Target="http://www.sec.gov/Archives/edgar/data/1423689/000142368919000068/depositagmt-prefe.htm" TargetMode="External"/><Relationship Id="rId80" Type="http://schemas.openxmlformats.org/officeDocument/2006/relationships/hyperlink" Target="http://www.sec.gov/Archives/edgar/data/1423689/000142368920000014/depositaryagmt-seriesf.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2022-05-09T08:26:54Z</dcterms:created>
  <dcterms:modified xsi:type="dcterms:W3CDTF">2022-05-09T08:26:54Z</dcterms:modified>
</cp:coreProperties>
</file>