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45"/>
        <w:spacing w:after="0"/>
        <w:rPr>
          <w:sz w:val="20"/>
          <w:szCs w:val="20"/>
          <w:color w:val="auto"/>
        </w:rPr>
      </w:pPr>
      <w:r>
        <w:rPr>
          <w:rFonts w:ascii="Arial" w:cs="Arial" w:eastAsia="Arial" w:hAnsi="Arial"/>
          <w:sz w:val="25"/>
          <w:szCs w:val="25"/>
          <w:b w:val="1"/>
          <w:bCs w:val="1"/>
          <w:color w:val="auto"/>
        </w:rPr>
        <w:t>SECURITIES AND EXCHANGE COMMISSION</w:t>
      </w:r>
    </w:p>
    <w:p>
      <w:pPr>
        <w:spacing w:after="0" w:line="87" w:lineRule="exact"/>
        <w:rPr>
          <w:sz w:val="24"/>
          <w:szCs w:val="24"/>
          <w:color w:val="auto"/>
        </w:rPr>
      </w:pPr>
    </w:p>
    <w:p>
      <w:pPr>
        <w:jc w:val="center"/>
        <w:ind w:right="-45"/>
        <w:spacing w:after="0"/>
        <w:rPr>
          <w:sz w:val="20"/>
          <w:szCs w:val="20"/>
          <w:color w:val="auto"/>
        </w:rPr>
      </w:pPr>
      <w:r>
        <w:rPr>
          <w:rFonts w:ascii="Arial" w:cs="Arial" w:eastAsia="Arial" w:hAnsi="Arial"/>
          <w:sz w:val="21"/>
          <w:szCs w:val="21"/>
          <w:b w:val="1"/>
          <w:bCs w:val="1"/>
          <w:color w:val="auto"/>
        </w:rPr>
        <w:t>WASHINGTON, D.C. 20549</w:t>
      </w:r>
    </w:p>
    <w:p>
      <w:pPr>
        <w:spacing w:after="0" w:line="93" w:lineRule="exact"/>
        <w:rPr>
          <w:sz w:val="24"/>
          <w:szCs w:val="24"/>
          <w:color w:val="auto"/>
        </w:rPr>
      </w:pPr>
    </w:p>
    <w:p>
      <w:pPr>
        <w:jc w:val="center"/>
        <w:ind w:right="-45"/>
        <w:spacing w:after="0"/>
        <w:rPr>
          <w:sz w:val="20"/>
          <w:szCs w:val="20"/>
          <w:color w:val="auto"/>
        </w:rPr>
      </w:pPr>
      <w:r>
        <w:rPr>
          <w:rFonts w:ascii="Arial" w:cs="Arial" w:eastAsia="Arial" w:hAnsi="Arial"/>
          <w:sz w:val="32"/>
          <w:szCs w:val="32"/>
          <w:b w:val="1"/>
          <w:bCs w:val="1"/>
          <w:color w:val="auto"/>
        </w:rPr>
        <w:t>SCHEDULE 14A</w:t>
      </w:r>
    </w:p>
    <w:p>
      <w:pPr>
        <w:spacing w:after="0" w:line="114" w:lineRule="exact"/>
        <w:rPr>
          <w:sz w:val="24"/>
          <w:szCs w:val="24"/>
          <w:color w:val="auto"/>
        </w:rPr>
      </w:pPr>
    </w:p>
    <w:p>
      <w:pPr>
        <w:jc w:val="center"/>
        <w:ind w:right="-45"/>
        <w:spacing w:after="0"/>
        <w:rPr>
          <w:sz w:val="20"/>
          <w:szCs w:val="20"/>
          <w:color w:val="auto"/>
        </w:rPr>
      </w:pPr>
      <w:r>
        <w:rPr>
          <w:rFonts w:ascii="Arial" w:cs="Arial" w:eastAsia="Arial" w:hAnsi="Arial"/>
          <w:sz w:val="21"/>
          <w:szCs w:val="21"/>
          <w:b w:val="1"/>
          <w:bCs w:val="1"/>
          <w:color w:val="auto"/>
        </w:rPr>
        <w:t>(Rule 14a-101)</w:t>
      </w:r>
    </w:p>
    <w:p>
      <w:pPr>
        <w:spacing w:after="0" w:line="106" w:lineRule="exact"/>
        <w:rPr>
          <w:sz w:val="24"/>
          <w:szCs w:val="24"/>
          <w:color w:val="auto"/>
        </w:rPr>
      </w:pPr>
    </w:p>
    <w:p>
      <w:pPr>
        <w:jc w:val="center"/>
        <w:ind w:right="-45"/>
        <w:spacing w:after="0"/>
        <w:rPr>
          <w:sz w:val="20"/>
          <w:szCs w:val="20"/>
          <w:color w:val="auto"/>
        </w:rPr>
      </w:pPr>
      <w:r>
        <w:rPr>
          <w:rFonts w:ascii="Arial" w:cs="Arial" w:eastAsia="Arial" w:hAnsi="Arial"/>
          <w:sz w:val="21"/>
          <w:szCs w:val="21"/>
          <w:b w:val="1"/>
          <w:bCs w:val="1"/>
          <w:color w:val="auto"/>
        </w:rPr>
        <w:t>INFORMATION REQUIRED IN PROXY STATEMENT</w:t>
      </w:r>
    </w:p>
    <w:p>
      <w:pPr>
        <w:spacing w:after="0" w:line="106" w:lineRule="exact"/>
        <w:rPr>
          <w:sz w:val="24"/>
          <w:szCs w:val="24"/>
          <w:color w:val="auto"/>
        </w:rPr>
      </w:pPr>
    </w:p>
    <w:p>
      <w:pPr>
        <w:jc w:val="center"/>
        <w:ind w:right="-45"/>
        <w:spacing w:after="0"/>
        <w:rPr>
          <w:sz w:val="20"/>
          <w:szCs w:val="20"/>
          <w:color w:val="auto"/>
        </w:rPr>
      </w:pPr>
      <w:r>
        <w:rPr>
          <w:rFonts w:ascii="Arial" w:cs="Arial" w:eastAsia="Arial" w:hAnsi="Arial"/>
          <w:sz w:val="21"/>
          <w:szCs w:val="21"/>
          <w:b w:val="1"/>
          <w:bCs w:val="1"/>
          <w:color w:val="auto"/>
        </w:rPr>
        <w:t>SCHEDULE 14A INFORMATION</w:t>
      </w:r>
    </w:p>
    <w:p>
      <w:pPr>
        <w:spacing w:after="0" w:line="106" w:lineRule="exact"/>
        <w:rPr>
          <w:sz w:val="24"/>
          <w:szCs w:val="24"/>
          <w:color w:val="auto"/>
        </w:rPr>
      </w:pPr>
    </w:p>
    <w:p>
      <w:pPr>
        <w:jc w:val="center"/>
        <w:ind w:right="-45"/>
        <w:spacing w:after="0"/>
        <w:rPr>
          <w:sz w:val="20"/>
          <w:szCs w:val="20"/>
          <w:color w:val="auto"/>
        </w:rPr>
      </w:pPr>
      <w:r>
        <w:rPr>
          <w:rFonts w:ascii="Arial" w:cs="Arial" w:eastAsia="Arial" w:hAnsi="Arial"/>
          <w:sz w:val="21"/>
          <w:szCs w:val="21"/>
          <w:b w:val="1"/>
          <w:bCs w:val="1"/>
          <w:color w:val="auto"/>
        </w:rPr>
        <w:t>Proxy Statement Pursuant to Section 14(a) of the</w:t>
      </w:r>
    </w:p>
    <w:p>
      <w:pPr>
        <w:spacing w:after="0" w:line="106" w:lineRule="exact"/>
        <w:rPr>
          <w:sz w:val="24"/>
          <w:szCs w:val="24"/>
          <w:color w:val="auto"/>
        </w:rPr>
      </w:pPr>
    </w:p>
    <w:p>
      <w:pPr>
        <w:jc w:val="center"/>
        <w:ind w:right="-45"/>
        <w:spacing w:after="0"/>
        <w:rPr>
          <w:sz w:val="20"/>
          <w:szCs w:val="20"/>
          <w:color w:val="auto"/>
        </w:rPr>
      </w:pPr>
      <w:r>
        <w:rPr>
          <w:rFonts w:ascii="Arial" w:cs="Arial" w:eastAsia="Arial" w:hAnsi="Arial"/>
          <w:sz w:val="21"/>
          <w:szCs w:val="21"/>
          <w:b w:val="1"/>
          <w:bCs w:val="1"/>
          <w:color w:val="auto"/>
        </w:rPr>
        <w:t>Securities Exchange Act of 1934</w:t>
      </w:r>
    </w:p>
    <w:p>
      <w:pPr>
        <w:spacing w:after="0" w:line="37" w:lineRule="exact"/>
        <w:rPr>
          <w:sz w:val="24"/>
          <w:szCs w:val="24"/>
          <w:color w:val="auto"/>
        </w:rPr>
      </w:pPr>
    </w:p>
    <w:p>
      <w:pPr>
        <w:ind w:left="6"/>
        <w:spacing w:after="0" w:line="207" w:lineRule="exact"/>
        <w:tabs>
          <w:tab w:leader="none" w:pos="3726" w:val="left"/>
        </w:tabs>
        <w:rPr>
          <w:sz w:val="20"/>
          <w:szCs w:val="20"/>
          <w:color w:val="auto"/>
        </w:rPr>
      </w:pPr>
      <w:r>
        <w:rPr>
          <w:rFonts w:ascii="Arial" w:cs="Arial" w:eastAsia="Arial" w:hAnsi="Arial"/>
          <w:sz w:val="18"/>
          <w:szCs w:val="18"/>
          <w:color w:val="auto"/>
        </w:rPr>
        <w:t xml:space="preserve">Filed by the Registrant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Filed by a Party other than the Registrant </w:t>
      </w:r>
      <w:r>
        <w:rPr>
          <w:rFonts w:ascii="MS PGothic" w:cs="MS PGothic" w:eastAsia="MS PGothic" w:hAnsi="MS PGothic"/>
          <w:sz w:val="16"/>
          <w:szCs w:val="16"/>
          <w:color w:val="auto"/>
        </w:rPr>
        <w:t>☐</w:t>
      </w:r>
    </w:p>
    <w:p>
      <w:pPr>
        <w:spacing w:after="0" w:line="89" w:lineRule="exact"/>
        <w:rPr>
          <w:sz w:val="24"/>
          <w:szCs w:val="24"/>
          <w:color w:val="auto"/>
        </w:rPr>
      </w:pPr>
    </w:p>
    <w:p>
      <w:pPr>
        <w:ind w:left="6"/>
        <w:spacing w:after="0"/>
        <w:rPr>
          <w:sz w:val="20"/>
          <w:szCs w:val="20"/>
          <w:color w:val="auto"/>
        </w:rPr>
      </w:pPr>
      <w:r>
        <w:rPr>
          <w:rFonts w:ascii="Arial" w:cs="Arial" w:eastAsia="Arial" w:hAnsi="Arial"/>
          <w:sz w:val="18"/>
          <w:szCs w:val="18"/>
          <w:color w:val="auto"/>
        </w:rPr>
        <w:t>Check the appropriate box:</w:t>
      </w:r>
    </w:p>
    <w:p>
      <w:pPr>
        <w:spacing w:after="0" w:line="74" w:lineRule="exact"/>
        <w:rPr>
          <w:sz w:val="24"/>
          <w:szCs w:val="24"/>
          <w:color w:val="auto"/>
        </w:rPr>
      </w:pPr>
    </w:p>
    <w:p>
      <w:pPr>
        <w:ind w:left="446" w:hanging="446"/>
        <w:spacing w:after="0"/>
        <w:tabs>
          <w:tab w:leader="none" w:pos="446"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Preliminary Proxy Statement</w:t>
      </w:r>
    </w:p>
    <w:p>
      <w:pPr>
        <w:spacing w:after="0" w:line="56" w:lineRule="exact"/>
        <w:rPr>
          <w:rFonts w:ascii="MS PGothic" w:cs="MS PGothic" w:eastAsia="MS PGothic" w:hAnsi="MS PGothic"/>
          <w:sz w:val="18"/>
          <w:szCs w:val="18"/>
          <w:color w:val="auto"/>
        </w:rPr>
      </w:pPr>
    </w:p>
    <w:p>
      <w:pPr>
        <w:ind w:left="446" w:hanging="446"/>
        <w:spacing w:after="0"/>
        <w:tabs>
          <w:tab w:leader="none" w:pos="446"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64" w:lineRule="exact"/>
        <w:rPr>
          <w:rFonts w:ascii="MS PGothic" w:cs="MS PGothic" w:eastAsia="MS PGothic" w:hAnsi="MS PGothic"/>
          <w:sz w:val="18"/>
          <w:szCs w:val="18"/>
          <w:color w:val="auto"/>
        </w:rPr>
      </w:pPr>
    </w:p>
    <w:p>
      <w:pPr>
        <w:ind w:left="446" w:hanging="446"/>
        <w:spacing w:after="0"/>
        <w:tabs>
          <w:tab w:leader="none" w:pos="446"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Definitive Proxy Statement</w:t>
      </w:r>
    </w:p>
    <w:p>
      <w:pPr>
        <w:spacing w:after="0" w:line="61" w:lineRule="exact"/>
        <w:rPr>
          <w:sz w:val="24"/>
          <w:szCs w:val="24"/>
          <w:color w:val="auto"/>
        </w:rPr>
      </w:pPr>
    </w:p>
    <w:p>
      <w:pPr>
        <w:ind w:left="446" w:hanging="446"/>
        <w:spacing w:after="0"/>
        <w:tabs>
          <w:tab w:leader="none" w:pos="446"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Definitive Additional Materials</w:t>
      </w:r>
    </w:p>
    <w:p>
      <w:pPr>
        <w:spacing w:after="0" w:line="61" w:lineRule="exact"/>
        <w:rPr>
          <w:sz w:val="24"/>
          <w:szCs w:val="24"/>
          <w:color w:val="auto"/>
        </w:rPr>
      </w:pPr>
    </w:p>
    <w:p>
      <w:pPr>
        <w:ind w:left="446" w:hanging="446"/>
        <w:spacing w:after="0"/>
        <w:tabs>
          <w:tab w:leader="none" w:pos="446"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§240.14a-12</w:t>
      </w:r>
    </w:p>
    <w:p>
      <w:pPr>
        <w:spacing w:after="0" w:line="106" w:lineRule="exact"/>
        <w:rPr>
          <w:sz w:val="24"/>
          <w:szCs w:val="24"/>
          <w:color w:val="auto"/>
        </w:rPr>
      </w:pPr>
    </w:p>
    <w:p>
      <w:pPr>
        <w:jc w:val="center"/>
        <w:ind w:right="-45"/>
        <w:spacing w:after="0"/>
        <w:rPr>
          <w:sz w:val="20"/>
          <w:szCs w:val="20"/>
          <w:color w:val="auto"/>
        </w:rPr>
      </w:pPr>
      <w:r>
        <w:rPr>
          <w:rFonts w:ascii="Arial" w:cs="Arial" w:eastAsia="Arial" w:hAnsi="Arial"/>
          <w:sz w:val="25"/>
          <w:szCs w:val="25"/>
          <w:b w:val="1"/>
          <w:bCs w:val="1"/>
          <w:color w:val="auto"/>
        </w:rPr>
        <w:t>AGNC Investment Corp.</w:t>
      </w:r>
    </w:p>
    <w:p>
      <w:pPr>
        <w:spacing w:after="0" w:line="65" w:lineRule="exact"/>
        <w:rPr>
          <w:sz w:val="24"/>
          <w:szCs w:val="24"/>
          <w:color w:val="auto"/>
        </w:rPr>
      </w:pPr>
    </w:p>
    <w:p>
      <w:pPr>
        <w:ind w:left="3646"/>
        <w:spacing w:after="0"/>
        <w:rPr>
          <w:sz w:val="20"/>
          <w:szCs w:val="20"/>
          <w:color w:val="auto"/>
        </w:rPr>
      </w:pPr>
      <w:r>
        <w:rPr>
          <w:rFonts w:ascii="Arial" w:cs="Arial" w:eastAsia="Arial" w:hAnsi="Arial"/>
          <w:sz w:val="18"/>
          <w:szCs w:val="18"/>
          <w:b w:val="1"/>
          <w:bCs w:val="1"/>
          <w:color w:val="auto"/>
        </w:rPr>
        <w:t>(Name of Registrant as Specified in its Charter)</w:t>
      </w:r>
    </w:p>
    <w:p>
      <w:pPr>
        <w:spacing w:after="0" w:line="78" w:lineRule="exact"/>
        <w:rPr>
          <w:sz w:val="24"/>
          <w:szCs w:val="24"/>
          <w:color w:val="auto"/>
        </w:rPr>
      </w:pPr>
    </w:p>
    <w:p>
      <w:pPr>
        <w:ind w:left="446"/>
        <w:spacing w:after="0"/>
        <w:rPr>
          <w:sz w:val="20"/>
          <w:szCs w:val="20"/>
          <w:color w:val="auto"/>
        </w:rPr>
      </w:pPr>
      <w:r>
        <w:rPr>
          <w:rFonts w:ascii="Arial" w:cs="Arial" w:eastAsia="Arial" w:hAnsi="Arial"/>
          <w:sz w:val="18"/>
          <w:szCs w:val="18"/>
          <w:color w:val="auto"/>
        </w:rPr>
        <w:t>Payment of Filing Fee (Check the appropriate box):</w:t>
      </w:r>
    </w:p>
    <w:p>
      <w:pPr>
        <w:spacing w:after="0" w:line="61" w:lineRule="exact"/>
        <w:rPr>
          <w:sz w:val="24"/>
          <w:szCs w:val="24"/>
          <w:color w:val="auto"/>
        </w:rPr>
      </w:pPr>
    </w:p>
    <w:p>
      <w:pPr>
        <w:ind w:left="446" w:hanging="446"/>
        <w:spacing w:after="0"/>
        <w:tabs>
          <w:tab w:leader="none" w:pos="446" w:val="left"/>
        </w:tabs>
        <w:numPr>
          <w:ilvl w:val="0"/>
          <w:numId w:val="4"/>
        </w:numPr>
        <w:rPr>
          <w:rFonts w:ascii="MS PGothic" w:cs="MS PGothic" w:eastAsia="MS PGothic" w:hAnsi="MS PGothic"/>
          <w:sz w:val="18"/>
          <w:szCs w:val="18"/>
          <w:color w:val="auto"/>
        </w:rPr>
      </w:pPr>
      <w:r>
        <w:rPr>
          <w:rFonts w:ascii="Arial" w:cs="Arial" w:eastAsia="Arial" w:hAnsi="Arial"/>
          <w:sz w:val="18"/>
          <w:szCs w:val="18"/>
          <w:color w:val="auto"/>
        </w:rPr>
        <w:t>No fee required</w:t>
      </w:r>
    </w:p>
    <w:p>
      <w:pPr>
        <w:spacing w:after="0" w:line="61" w:lineRule="exact"/>
        <w:rPr>
          <w:sz w:val="24"/>
          <w:szCs w:val="24"/>
          <w:color w:val="auto"/>
        </w:rPr>
      </w:pPr>
    </w:p>
    <w:p>
      <w:pPr>
        <w:ind w:left="446" w:hanging="446"/>
        <w:spacing w:after="0"/>
        <w:tabs>
          <w:tab w:leader="none" w:pos="446"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computed on table below per Exchange Act Rules 14a-6(i)(4) and 0-11.</w:t>
      </w:r>
    </w:p>
    <w:p>
      <w:pPr>
        <w:spacing w:after="0" w:line="60" w:lineRule="exact"/>
        <w:rPr>
          <w:rFonts w:ascii="MS PGothic" w:cs="MS PGothic" w:eastAsia="MS PGothic" w:hAnsi="MS PGothic"/>
          <w:sz w:val="18"/>
          <w:szCs w:val="18"/>
          <w:color w:val="auto"/>
        </w:rPr>
      </w:pPr>
    </w:p>
    <w:p>
      <w:pPr>
        <w:ind w:left="886" w:hanging="431"/>
        <w:spacing w:after="0"/>
        <w:tabs>
          <w:tab w:leader="none" w:pos="886" w:val="left"/>
        </w:tabs>
        <w:numPr>
          <w:ilvl w:val="1"/>
          <w:numId w:val="5"/>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301" w:lineRule="exact"/>
        <w:rPr>
          <w:rFonts w:ascii="Arial" w:cs="Arial" w:eastAsia="Arial" w:hAnsi="Arial"/>
          <w:sz w:val="18"/>
          <w:szCs w:val="18"/>
          <w:color w:val="auto"/>
        </w:rPr>
      </w:pPr>
    </w:p>
    <w:p>
      <w:pPr>
        <w:ind w:left="886" w:hanging="431"/>
        <w:spacing w:after="0"/>
        <w:tabs>
          <w:tab w:leader="none" w:pos="886" w:val="left"/>
        </w:tabs>
        <w:numPr>
          <w:ilvl w:val="1"/>
          <w:numId w:val="5"/>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301" w:lineRule="exact"/>
        <w:rPr>
          <w:rFonts w:ascii="Arial" w:cs="Arial" w:eastAsia="Arial" w:hAnsi="Arial"/>
          <w:sz w:val="18"/>
          <w:szCs w:val="18"/>
          <w:color w:val="auto"/>
        </w:rPr>
      </w:pPr>
    </w:p>
    <w:p>
      <w:pPr>
        <w:ind w:left="886" w:right="280" w:hanging="431"/>
        <w:spacing w:after="0" w:line="271" w:lineRule="auto"/>
        <w:tabs>
          <w:tab w:leader="none" w:pos="886" w:val="left"/>
        </w:tabs>
        <w:numPr>
          <w:ilvl w:val="1"/>
          <w:numId w:val="5"/>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255" w:lineRule="exact"/>
        <w:rPr>
          <w:rFonts w:ascii="Arial" w:cs="Arial" w:eastAsia="Arial" w:hAnsi="Arial"/>
          <w:sz w:val="18"/>
          <w:szCs w:val="18"/>
          <w:color w:val="auto"/>
        </w:rPr>
      </w:pPr>
    </w:p>
    <w:p>
      <w:pPr>
        <w:ind w:left="886" w:hanging="431"/>
        <w:spacing w:after="0"/>
        <w:tabs>
          <w:tab w:leader="none" w:pos="886" w:val="left"/>
        </w:tabs>
        <w:numPr>
          <w:ilvl w:val="1"/>
          <w:numId w:val="5"/>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301" w:lineRule="exact"/>
        <w:rPr>
          <w:rFonts w:ascii="Arial" w:cs="Arial" w:eastAsia="Arial" w:hAnsi="Arial"/>
          <w:sz w:val="18"/>
          <w:szCs w:val="18"/>
          <w:color w:val="auto"/>
        </w:rPr>
      </w:pPr>
    </w:p>
    <w:p>
      <w:pPr>
        <w:ind w:left="886" w:hanging="431"/>
        <w:spacing w:after="0"/>
        <w:tabs>
          <w:tab w:leader="none" w:pos="886" w:val="left"/>
        </w:tabs>
        <w:numPr>
          <w:ilvl w:val="1"/>
          <w:numId w:val="5"/>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301" w:lineRule="exact"/>
        <w:rPr>
          <w:rFonts w:ascii="Arial" w:cs="Arial" w:eastAsia="Arial" w:hAnsi="Arial"/>
          <w:sz w:val="18"/>
          <w:szCs w:val="18"/>
          <w:color w:val="auto"/>
        </w:rPr>
      </w:pPr>
    </w:p>
    <w:p>
      <w:pPr>
        <w:ind w:left="446" w:hanging="446"/>
        <w:spacing w:after="0"/>
        <w:tabs>
          <w:tab w:leader="none" w:pos="446"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paid previously with preliminary materials</w:t>
      </w:r>
    </w:p>
    <w:p>
      <w:pPr>
        <w:spacing w:after="0" w:line="60" w:lineRule="exact"/>
        <w:rPr>
          <w:rFonts w:ascii="MS PGothic" w:cs="MS PGothic" w:eastAsia="MS PGothic" w:hAnsi="MS PGothic"/>
          <w:sz w:val="18"/>
          <w:szCs w:val="18"/>
          <w:color w:val="auto"/>
        </w:rPr>
      </w:pPr>
    </w:p>
    <w:p>
      <w:pPr>
        <w:ind w:left="446" w:hanging="446"/>
        <w:spacing w:after="0" w:line="295" w:lineRule="auto"/>
        <w:tabs>
          <w:tab w:leader="none" w:pos="446" w:val="left"/>
        </w:tabs>
        <w:numPr>
          <w:ilvl w:val="0"/>
          <w:numId w:val="5"/>
        </w:numPr>
        <w:rPr>
          <w:rFonts w:ascii="MS PGothic" w:cs="MS PGothic" w:eastAsia="MS PGothic" w:hAnsi="MS PGothic"/>
          <w:sz w:val="17"/>
          <w:szCs w:val="17"/>
          <w:color w:val="auto"/>
        </w:rPr>
      </w:pPr>
      <w:r>
        <w:rPr>
          <w:rFonts w:ascii="Arial" w:cs="Arial" w:eastAsia="Arial" w:hAnsi="Arial"/>
          <w:sz w:val="17"/>
          <w:szCs w:val="17"/>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1" w:lineRule="exact"/>
        <w:rPr>
          <w:rFonts w:ascii="MS PGothic" w:cs="MS PGothic" w:eastAsia="MS PGothic" w:hAnsi="MS PGothic"/>
          <w:sz w:val="17"/>
          <w:szCs w:val="17"/>
          <w:color w:val="auto"/>
        </w:rPr>
      </w:pPr>
    </w:p>
    <w:p>
      <w:pPr>
        <w:ind w:left="886" w:hanging="431"/>
        <w:spacing w:after="0"/>
        <w:tabs>
          <w:tab w:leader="none" w:pos="886" w:val="left"/>
        </w:tabs>
        <w:numPr>
          <w:ilvl w:val="1"/>
          <w:numId w:val="5"/>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301" w:lineRule="exact"/>
        <w:rPr>
          <w:rFonts w:ascii="Arial" w:cs="Arial" w:eastAsia="Arial" w:hAnsi="Arial"/>
          <w:sz w:val="18"/>
          <w:szCs w:val="18"/>
          <w:color w:val="auto"/>
        </w:rPr>
      </w:pPr>
    </w:p>
    <w:p>
      <w:pPr>
        <w:ind w:left="886" w:hanging="431"/>
        <w:spacing w:after="0"/>
        <w:tabs>
          <w:tab w:leader="none" w:pos="886" w:val="left"/>
        </w:tabs>
        <w:numPr>
          <w:ilvl w:val="1"/>
          <w:numId w:val="5"/>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301" w:lineRule="exact"/>
        <w:rPr>
          <w:rFonts w:ascii="Arial" w:cs="Arial" w:eastAsia="Arial" w:hAnsi="Arial"/>
          <w:sz w:val="18"/>
          <w:szCs w:val="18"/>
          <w:color w:val="auto"/>
        </w:rPr>
      </w:pPr>
    </w:p>
    <w:p>
      <w:pPr>
        <w:ind w:left="886" w:hanging="431"/>
        <w:spacing w:after="0"/>
        <w:tabs>
          <w:tab w:leader="none" w:pos="886" w:val="left"/>
        </w:tabs>
        <w:numPr>
          <w:ilvl w:val="1"/>
          <w:numId w:val="5"/>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301" w:lineRule="exact"/>
        <w:rPr>
          <w:rFonts w:ascii="Arial" w:cs="Arial" w:eastAsia="Arial" w:hAnsi="Arial"/>
          <w:sz w:val="18"/>
          <w:szCs w:val="18"/>
          <w:color w:val="auto"/>
        </w:rPr>
      </w:pPr>
    </w:p>
    <w:p>
      <w:pPr>
        <w:ind w:left="886" w:hanging="431"/>
        <w:spacing w:after="0"/>
        <w:tabs>
          <w:tab w:leader="none" w:pos="886" w:val="left"/>
        </w:tabs>
        <w:numPr>
          <w:ilvl w:val="1"/>
          <w:numId w:val="5"/>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560705</wp:posOffset>
            </wp:positionH>
            <wp:positionV relativeFrom="paragraph">
              <wp:posOffset>-3044825</wp:posOffset>
            </wp:positionV>
            <wp:extent cx="637349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373495" cy="8255"/>
                    </a:xfrm>
                    <a:prstGeom prst="rect">
                      <a:avLst/>
                    </a:prstGeom>
                    <a:noFill/>
                  </pic:spPr>
                </pic:pic>
              </a:graphicData>
            </a:graphic>
          </wp:anchor>
        </w:drawing>
        <w:drawing>
          <wp:anchor simplePos="0" relativeHeight="251657728" behindDoc="1" locked="0" layoutInCell="0" allowOverlap="1">
            <wp:simplePos x="0" y="0"/>
            <wp:positionH relativeFrom="column">
              <wp:posOffset>560705</wp:posOffset>
            </wp:positionH>
            <wp:positionV relativeFrom="paragraph">
              <wp:posOffset>-2722245</wp:posOffset>
            </wp:positionV>
            <wp:extent cx="637349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373495" cy="8255"/>
                    </a:xfrm>
                    <a:prstGeom prst="rect">
                      <a:avLst/>
                    </a:prstGeom>
                    <a:noFill/>
                  </pic:spPr>
                </pic:pic>
              </a:graphicData>
            </a:graphic>
          </wp:anchor>
        </w:drawing>
        <w:drawing>
          <wp:anchor simplePos="0" relativeHeight="251657728" behindDoc="1" locked="0" layoutInCell="0" allowOverlap="1">
            <wp:simplePos x="0" y="0"/>
            <wp:positionH relativeFrom="column">
              <wp:posOffset>560705</wp:posOffset>
            </wp:positionH>
            <wp:positionV relativeFrom="paragraph">
              <wp:posOffset>-2263140</wp:posOffset>
            </wp:positionV>
            <wp:extent cx="637349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373495" cy="8255"/>
                    </a:xfrm>
                    <a:prstGeom prst="rect">
                      <a:avLst/>
                    </a:prstGeom>
                    <a:noFill/>
                  </pic:spPr>
                </pic:pic>
              </a:graphicData>
            </a:graphic>
          </wp:anchor>
        </w:drawing>
        <w:drawing>
          <wp:anchor simplePos="0" relativeHeight="251657728" behindDoc="1" locked="0" layoutInCell="0" allowOverlap="1">
            <wp:simplePos x="0" y="0"/>
            <wp:positionH relativeFrom="column">
              <wp:posOffset>560705</wp:posOffset>
            </wp:positionH>
            <wp:positionV relativeFrom="paragraph">
              <wp:posOffset>-1939925</wp:posOffset>
            </wp:positionV>
            <wp:extent cx="637349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373495" cy="8255"/>
                    </a:xfrm>
                    <a:prstGeom prst="rect">
                      <a:avLst/>
                    </a:prstGeom>
                    <a:noFill/>
                  </pic:spPr>
                </pic:pic>
              </a:graphicData>
            </a:graphic>
          </wp:anchor>
        </w:drawing>
        <w:drawing>
          <wp:anchor simplePos="0" relativeHeight="251657728" behindDoc="1" locked="0" layoutInCell="0" allowOverlap="1">
            <wp:simplePos x="0" y="0"/>
            <wp:positionH relativeFrom="column">
              <wp:posOffset>560705</wp:posOffset>
            </wp:positionH>
            <wp:positionV relativeFrom="paragraph">
              <wp:posOffset>-1617345</wp:posOffset>
            </wp:positionV>
            <wp:extent cx="637349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373495" cy="8255"/>
                    </a:xfrm>
                    <a:prstGeom prst="rect">
                      <a:avLst/>
                    </a:prstGeom>
                    <a:noFill/>
                  </pic:spPr>
                </pic:pic>
              </a:graphicData>
            </a:graphic>
          </wp:anchor>
        </w:drawing>
        <w:drawing>
          <wp:anchor simplePos="0" relativeHeight="251657728" behindDoc="1" locked="0" layoutInCell="0" allowOverlap="1">
            <wp:simplePos x="0" y="0"/>
            <wp:positionH relativeFrom="column">
              <wp:posOffset>560705</wp:posOffset>
            </wp:positionH>
            <wp:positionV relativeFrom="paragraph">
              <wp:posOffset>-818515</wp:posOffset>
            </wp:positionV>
            <wp:extent cx="637349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373495" cy="8255"/>
                    </a:xfrm>
                    <a:prstGeom prst="rect">
                      <a:avLst/>
                    </a:prstGeom>
                    <a:noFill/>
                  </pic:spPr>
                </pic:pic>
              </a:graphicData>
            </a:graphic>
          </wp:anchor>
        </w:drawing>
        <w:drawing>
          <wp:anchor simplePos="0" relativeHeight="251657728" behindDoc="1" locked="0" layoutInCell="0" allowOverlap="1">
            <wp:simplePos x="0" y="0"/>
            <wp:positionH relativeFrom="column">
              <wp:posOffset>560705</wp:posOffset>
            </wp:positionH>
            <wp:positionV relativeFrom="paragraph">
              <wp:posOffset>-495300</wp:posOffset>
            </wp:positionV>
            <wp:extent cx="637349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373495" cy="8255"/>
                    </a:xfrm>
                    <a:prstGeom prst="rect">
                      <a:avLst/>
                    </a:prstGeom>
                    <a:noFill/>
                  </pic:spPr>
                </pic:pic>
              </a:graphicData>
            </a:graphic>
          </wp:anchor>
        </w:drawing>
        <w:drawing>
          <wp:anchor simplePos="0" relativeHeight="251657728" behindDoc="1" locked="0" layoutInCell="0" allowOverlap="1">
            <wp:simplePos x="0" y="0"/>
            <wp:positionH relativeFrom="column">
              <wp:posOffset>560705</wp:posOffset>
            </wp:positionH>
            <wp:positionV relativeFrom="paragraph">
              <wp:posOffset>-172720</wp:posOffset>
            </wp:positionV>
            <wp:extent cx="637349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373495" cy="8255"/>
                    </a:xfrm>
                    <a:prstGeom prst="rect">
                      <a:avLst/>
                    </a:prstGeom>
                    <a:noFill/>
                  </pic:spPr>
                </pic:pic>
              </a:graphicData>
            </a:graphic>
          </wp:anchor>
        </w:drawing>
        <w:drawing>
          <wp:anchor simplePos="0" relativeHeight="251657728" behindDoc="1" locked="0" layoutInCell="0" allowOverlap="1">
            <wp:simplePos x="0" y="0"/>
            <wp:positionH relativeFrom="column">
              <wp:posOffset>560705</wp:posOffset>
            </wp:positionH>
            <wp:positionV relativeFrom="paragraph">
              <wp:posOffset>149860</wp:posOffset>
            </wp:positionV>
            <wp:extent cx="637349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373495" cy="8255"/>
                    </a:xfrm>
                    <a:prstGeom prst="rect">
                      <a:avLst/>
                    </a:prstGeom>
                    <a:noFill/>
                  </pic:spPr>
                </pic:pic>
              </a:graphicData>
            </a:graphic>
          </wp:anchor>
        </w:drawing>
      </w:r>
    </w:p>
    <w:p>
      <w:pPr>
        <w:sectPr>
          <w:pgSz w:w="12240" w:h="15840" w:orient="portrait"/>
          <w:cols w:equalWidth="0" w:num="1">
            <w:col w:w="10886"/>
          </w:cols>
          <w:pgMar w:left="654" w:top="0" w:right="700" w:bottom="1440" w:gutter="0" w:footer="0" w:header="0"/>
        </w:sectPr>
      </w:pPr>
    </w:p>
    <w:bookmarkStart w:id="1" w:name="page2"/>
    <w:bookmarkEnd w:id="1"/>
    <w:p>
      <w:pPr>
        <w:jc w:val="right"/>
        <w:spacing w:after="0"/>
        <w:rPr>
          <w:sz w:val="20"/>
          <w:szCs w:val="20"/>
          <w:color w:val="auto"/>
        </w:rPr>
      </w:pPr>
      <w:r>
        <w:rPr>
          <w:rFonts w:ascii="Arial" w:cs="Arial" w:eastAsia="Arial" w:hAnsi="Arial"/>
          <w:sz w:val="54"/>
          <w:szCs w:val="54"/>
          <w:b w:val="1"/>
          <w:bCs w:val="1"/>
          <w:color w:val="auto"/>
        </w:rPr>
        <w:drawing>
          <wp:anchor simplePos="0" relativeHeight="251657728" behindDoc="1" locked="0" layoutInCell="0" allowOverlap="1">
            <wp:simplePos x="0" y="0"/>
            <wp:positionH relativeFrom="page">
              <wp:posOffset>330200</wp:posOffset>
            </wp:positionH>
            <wp:positionV relativeFrom="page">
              <wp:posOffset>0</wp:posOffset>
            </wp:positionV>
            <wp:extent cx="7086600" cy="381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086600" cy="38100"/>
                    </a:xfrm>
                    <a:prstGeom prst="rect">
                      <a:avLst/>
                    </a:prstGeom>
                    <a:noFill/>
                  </pic:spPr>
                </pic:pic>
              </a:graphicData>
            </a:graphic>
          </wp:anchor>
        </w:drawing>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-348615</wp:posOffset>
            </wp:positionV>
            <wp:extent cx="2923540" cy="7054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2923540" cy="7054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7820"/>
        <w:spacing w:after="0"/>
        <w:rPr>
          <w:sz w:val="20"/>
          <w:szCs w:val="20"/>
          <w:color w:val="auto"/>
        </w:rPr>
      </w:pPr>
      <w:r>
        <w:rPr>
          <w:rFonts w:ascii="Arial" w:cs="Arial" w:eastAsia="Arial" w:hAnsi="Arial"/>
          <w:sz w:val="14"/>
          <w:szCs w:val="14"/>
          <w:b w:val="1"/>
          <w:bCs w:val="1"/>
          <w:color w:val="auto"/>
        </w:rPr>
        <w:t>Online</w:t>
      </w:r>
    </w:p>
    <w:p>
      <w:pPr>
        <w:spacing w:after="0" w:line="2" w:lineRule="exact"/>
        <w:rPr>
          <w:sz w:val="20"/>
          <w:szCs w:val="20"/>
          <w:color w:val="auto"/>
        </w:rPr>
      </w:pPr>
    </w:p>
    <w:p>
      <w:pPr>
        <w:ind w:left="7820"/>
        <w:spacing w:after="0"/>
        <w:rPr>
          <w:sz w:val="20"/>
          <w:szCs w:val="20"/>
          <w:color w:val="auto"/>
        </w:rPr>
      </w:pPr>
      <w:r>
        <w:rPr>
          <w:rFonts w:ascii="Arial" w:cs="Arial" w:eastAsia="Arial" w:hAnsi="Arial"/>
          <w:sz w:val="12"/>
          <w:szCs w:val="12"/>
          <w:color w:val="auto"/>
        </w:rPr>
        <w:t xml:space="preserve">Go to </w:t>
      </w:r>
      <w:r>
        <w:rPr>
          <w:rFonts w:ascii="Arial" w:cs="Arial" w:eastAsia="Arial" w:hAnsi="Arial"/>
          <w:sz w:val="12"/>
          <w:szCs w:val="12"/>
          <w:b w:val="1"/>
          <w:bCs w:val="1"/>
          <w:color w:val="auto"/>
        </w:rPr>
        <w:t>www.investorvote.com/agnc</w:t>
      </w:r>
      <w:r>
        <w:rPr>
          <w:rFonts w:ascii="Arial" w:cs="Arial" w:eastAsia="Arial" w:hAnsi="Arial"/>
          <w:sz w:val="12"/>
          <w:szCs w:val="12"/>
          <w:color w:val="auto"/>
        </w:rPr>
        <w:t xml:space="preserve"> or scan the QR code –</w:t>
      </w:r>
    </w:p>
    <w:p>
      <w:pPr>
        <w:spacing w:after="0" w:line="9" w:lineRule="exact"/>
        <w:rPr>
          <w:sz w:val="20"/>
          <w:szCs w:val="20"/>
          <w:color w:val="auto"/>
        </w:rPr>
      </w:pPr>
    </w:p>
    <w:p>
      <w:pPr>
        <w:ind w:left="7820"/>
        <w:spacing w:after="0"/>
        <w:rPr>
          <w:sz w:val="20"/>
          <w:szCs w:val="20"/>
          <w:color w:val="auto"/>
        </w:rPr>
      </w:pPr>
      <w:r>
        <w:rPr>
          <w:rFonts w:ascii="Arial" w:cs="Arial" w:eastAsia="Arial" w:hAnsi="Arial"/>
          <w:sz w:val="14"/>
          <w:szCs w:val="14"/>
          <w:color w:val="auto"/>
        </w:rPr>
        <w:t>login details are located in the shaded bar below.</w:t>
      </w:r>
    </w:p>
    <w:p>
      <w:pPr>
        <w:spacing w:after="0" w:line="184" w:lineRule="exact"/>
        <w:rPr>
          <w:sz w:val="20"/>
          <w:szCs w:val="20"/>
          <w:color w:val="auto"/>
        </w:rPr>
      </w:pPr>
    </w:p>
    <w:p>
      <w:pPr>
        <w:ind w:left="7820"/>
        <w:spacing w:after="0" w:line="255" w:lineRule="auto"/>
        <w:rPr>
          <w:sz w:val="20"/>
          <w:szCs w:val="20"/>
          <w:color w:val="auto"/>
        </w:rPr>
      </w:pPr>
      <w:r>
        <w:rPr>
          <w:rFonts w:ascii="Arial" w:cs="Arial" w:eastAsia="Arial" w:hAnsi="Arial"/>
          <w:sz w:val="14"/>
          <w:szCs w:val="14"/>
          <w:b w:val="1"/>
          <w:bCs w:val="1"/>
          <w:color w:val="auto"/>
        </w:rPr>
        <w:t>Votes submitted electronically must be received by 1:00 am, Central Time, on April 18,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4384675</wp:posOffset>
            </wp:positionH>
            <wp:positionV relativeFrom="paragraph">
              <wp:posOffset>-201930</wp:posOffset>
            </wp:positionV>
            <wp:extent cx="374015" cy="3060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74015" cy="30607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417195</wp:posOffset>
            </wp:positionV>
            <wp:extent cx="6798310" cy="3143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798310" cy="3143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Important Notice Regarding the Availability of Proxy Materials for the</w:t>
      </w:r>
    </w:p>
    <w:p>
      <w:pPr>
        <w:spacing w:after="0" w:line="2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AGNC Investment Corp. Stockholder Meeting to be Held on April 18, 2019.</w:t>
      </w:r>
    </w:p>
    <w:p>
      <w:pPr>
        <w:spacing w:after="0" w:line="208"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Under Securities and Exchange Commission rules, you are receiving this notice that the proxy materials for the annual stockholders’ meeting are available on the Internet. Follow the instructions below to view the materials and vote online or request a copy. The items to be voted on and location of the annual meeting are on the reverse side. Your vote is important!</w:t>
      </w:r>
    </w:p>
    <w:p>
      <w:pPr>
        <w:spacing w:after="0" w:line="182" w:lineRule="exact"/>
        <w:rPr>
          <w:sz w:val="20"/>
          <w:szCs w:val="20"/>
          <w:color w:val="auto"/>
        </w:rPr>
      </w:pPr>
    </w:p>
    <w:p>
      <w:pPr>
        <w:ind w:right="160"/>
        <w:spacing w:after="0" w:line="262" w:lineRule="auto"/>
        <w:rPr>
          <w:sz w:val="20"/>
          <w:szCs w:val="20"/>
          <w:color w:val="auto"/>
        </w:rPr>
      </w:pPr>
      <w:r>
        <w:rPr>
          <w:rFonts w:ascii="Arial" w:cs="Arial" w:eastAsia="Arial" w:hAnsi="Arial"/>
          <w:sz w:val="18"/>
          <w:szCs w:val="18"/>
          <w:b w:val="1"/>
          <w:bCs w:val="1"/>
          <w:color w:val="auto"/>
        </w:rPr>
        <w:t>This communication presents only an overview of the more complete proxy materials that are available to you on the Internet. We encourage you to access and review all of the important information contained in the proxy materials before voting. The proxy statement and annual report to stockholders are available at: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1597660</wp:posOffset>
            </wp:positionH>
            <wp:positionV relativeFrom="paragraph">
              <wp:posOffset>142240</wp:posOffset>
            </wp:positionV>
            <wp:extent cx="3909060" cy="3911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909060" cy="3911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1440"/>
        <w:spacing w:after="0"/>
        <w:rPr>
          <w:sz w:val="20"/>
          <w:szCs w:val="20"/>
          <w:color w:val="auto"/>
        </w:rPr>
      </w:pPr>
      <w:r>
        <w:rPr>
          <w:rFonts w:ascii="Arial" w:cs="Arial" w:eastAsia="Arial" w:hAnsi="Arial"/>
          <w:sz w:val="18"/>
          <w:szCs w:val="18"/>
          <w:b w:val="1"/>
          <w:bCs w:val="1"/>
          <w:color w:val="auto"/>
        </w:rPr>
        <w:t>Easy Online Access – View your proxy materials and vote.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-119380</wp:posOffset>
            </wp:positionV>
            <wp:extent cx="569595" cy="5016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69595" cy="501650"/>
                    </a:xfrm>
                    <a:prstGeom prst="rect">
                      <a:avLst/>
                    </a:prstGeom>
                    <a:noFill/>
                  </pic:spPr>
                </pic:pic>
              </a:graphicData>
            </a:graphic>
          </wp:anchor>
        </w:drawing>
      </w:r>
    </w:p>
    <w:p>
      <w:pPr>
        <w:spacing w:after="0" w:line="4" w:lineRule="exact"/>
        <w:rPr>
          <w:sz w:val="20"/>
          <w:szCs w:val="20"/>
          <w:color w:val="auto"/>
        </w:rPr>
      </w:pPr>
    </w:p>
    <w:p>
      <w:pPr>
        <w:ind w:left="1440"/>
        <w:spacing w:after="0"/>
        <w:rPr>
          <w:sz w:val="20"/>
          <w:szCs w:val="20"/>
          <w:color w:val="auto"/>
        </w:rPr>
      </w:pPr>
      <w:r>
        <w:rPr>
          <w:rFonts w:ascii="Arial" w:cs="Arial" w:eastAsia="Arial" w:hAnsi="Arial"/>
          <w:sz w:val="18"/>
          <w:szCs w:val="18"/>
          <w:b w:val="1"/>
          <w:bCs w:val="1"/>
          <w:color w:val="auto"/>
        </w:rPr>
        <w:t xml:space="preserve">Step 1: </w:t>
      </w:r>
      <w:r>
        <w:rPr>
          <w:rFonts w:ascii="Arial" w:cs="Arial" w:eastAsia="Arial" w:hAnsi="Arial"/>
          <w:sz w:val="18"/>
          <w:szCs w:val="18"/>
          <w:color w:val="auto"/>
        </w:rPr>
        <w:t>Go to</w:t>
      </w:r>
      <w:r>
        <w:rPr>
          <w:rFonts w:ascii="Arial" w:cs="Arial" w:eastAsia="Arial" w:hAnsi="Arial"/>
          <w:sz w:val="18"/>
          <w:szCs w:val="18"/>
          <w:b w:val="1"/>
          <w:bCs w:val="1"/>
          <w:color w:val="auto"/>
        </w:rPr>
        <w:t xml:space="preserve"> www.investorvote.com/agnc.</w:t>
      </w:r>
    </w:p>
    <w:p>
      <w:pPr>
        <w:spacing w:after="0" w:line="7" w:lineRule="exact"/>
        <w:rPr>
          <w:sz w:val="20"/>
          <w:szCs w:val="20"/>
          <w:color w:val="auto"/>
        </w:rPr>
      </w:pPr>
    </w:p>
    <w:p>
      <w:pPr>
        <w:ind w:left="1440"/>
        <w:spacing w:after="0"/>
        <w:rPr>
          <w:sz w:val="20"/>
          <w:szCs w:val="20"/>
          <w:color w:val="auto"/>
        </w:rPr>
      </w:pPr>
      <w:r>
        <w:rPr>
          <w:rFonts w:ascii="Arial" w:cs="Arial" w:eastAsia="Arial" w:hAnsi="Arial"/>
          <w:sz w:val="18"/>
          <w:szCs w:val="18"/>
          <w:b w:val="1"/>
          <w:bCs w:val="1"/>
          <w:color w:val="auto"/>
        </w:rPr>
        <w:t xml:space="preserve">Step 2: </w:t>
      </w:r>
      <w:r>
        <w:rPr>
          <w:rFonts w:ascii="Arial" w:cs="Arial" w:eastAsia="Arial" w:hAnsi="Arial"/>
          <w:sz w:val="18"/>
          <w:szCs w:val="18"/>
          <w:color w:val="auto"/>
        </w:rPr>
        <w:t>Click on the icon on the right to view meeting materials.</w:t>
      </w:r>
    </w:p>
    <w:p>
      <w:pPr>
        <w:spacing w:after="0" w:line="7" w:lineRule="exact"/>
        <w:rPr>
          <w:sz w:val="20"/>
          <w:szCs w:val="20"/>
          <w:color w:val="auto"/>
        </w:rPr>
      </w:pPr>
    </w:p>
    <w:p>
      <w:pPr>
        <w:ind w:left="1440"/>
        <w:spacing w:after="0"/>
        <w:rPr>
          <w:sz w:val="20"/>
          <w:szCs w:val="20"/>
          <w:color w:val="auto"/>
        </w:rPr>
      </w:pPr>
      <w:r>
        <w:rPr>
          <w:rFonts w:ascii="Arial" w:cs="Arial" w:eastAsia="Arial" w:hAnsi="Arial"/>
          <w:sz w:val="18"/>
          <w:szCs w:val="18"/>
          <w:b w:val="1"/>
          <w:bCs w:val="1"/>
          <w:color w:val="auto"/>
        </w:rPr>
        <w:t xml:space="preserve">Step 3: </w:t>
      </w:r>
      <w:r>
        <w:rPr>
          <w:rFonts w:ascii="Arial" w:cs="Arial" w:eastAsia="Arial" w:hAnsi="Arial"/>
          <w:sz w:val="18"/>
          <w:szCs w:val="18"/>
          <w:color w:val="auto"/>
        </w:rPr>
        <w:t>Return to the investorvote.com window and follow the instructions on the screen to log in.</w:t>
      </w:r>
    </w:p>
    <w:p>
      <w:pPr>
        <w:spacing w:after="0" w:line="7" w:lineRule="exact"/>
        <w:rPr>
          <w:sz w:val="20"/>
          <w:szCs w:val="20"/>
          <w:color w:val="auto"/>
        </w:rPr>
      </w:pPr>
    </w:p>
    <w:p>
      <w:pPr>
        <w:ind w:left="1440"/>
        <w:spacing w:after="0"/>
        <w:rPr>
          <w:sz w:val="20"/>
          <w:szCs w:val="20"/>
          <w:color w:val="auto"/>
        </w:rPr>
      </w:pPr>
      <w:r>
        <w:rPr>
          <w:rFonts w:ascii="Arial" w:cs="Arial" w:eastAsia="Arial" w:hAnsi="Arial"/>
          <w:sz w:val="18"/>
          <w:szCs w:val="18"/>
          <w:b w:val="1"/>
          <w:bCs w:val="1"/>
          <w:color w:val="auto"/>
        </w:rPr>
        <w:t xml:space="preserve">Step 4: </w:t>
      </w:r>
      <w:r>
        <w:rPr>
          <w:rFonts w:ascii="Arial" w:cs="Arial" w:eastAsia="Arial" w:hAnsi="Arial"/>
          <w:sz w:val="18"/>
          <w:szCs w:val="18"/>
          <w:color w:val="auto"/>
        </w:rPr>
        <w:t>Make your selections as instructed on each screen for your delivery preferences.</w:t>
      </w:r>
    </w:p>
    <w:p>
      <w:pPr>
        <w:spacing w:after="0" w:line="7" w:lineRule="exact"/>
        <w:rPr>
          <w:sz w:val="20"/>
          <w:szCs w:val="20"/>
          <w:color w:val="auto"/>
        </w:rPr>
      </w:pPr>
    </w:p>
    <w:p>
      <w:pPr>
        <w:ind w:left="1440"/>
        <w:spacing w:after="0"/>
        <w:rPr>
          <w:sz w:val="20"/>
          <w:szCs w:val="20"/>
          <w:color w:val="auto"/>
        </w:rPr>
      </w:pPr>
      <w:r>
        <w:rPr>
          <w:rFonts w:ascii="Arial" w:cs="Arial" w:eastAsia="Arial" w:hAnsi="Arial"/>
          <w:sz w:val="18"/>
          <w:szCs w:val="18"/>
          <w:b w:val="1"/>
          <w:bCs w:val="1"/>
          <w:color w:val="auto"/>
        </w:rPr>
        <w:t xml:space="preserve">Step 5: </w:t>
      </w:r>
      <w:r>
        <w:rPr>
          <w:rFonts w:ascii="Arial" w:cs="Arial" w:eastAsia="Arial" w:hAnsi="Arial"/>
          <w:sz w:val="18"/>
          <w:szCs w:val="18"/>
          <w:color w:val="auto"/>
        </w:rPr>
        <w:t>Vote your shares.</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When you go online, you can also help the environment by consenting to receive electronic delivery of future materials.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168910</wp:posOffset>
            </wp:positionV>
            <wp:extent cx="708660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086600" cy="8255"/>
                    </a:xfrm>
                    <a:prstGeom prst="rect">
                      <a:avLst/>
                    </a:prstGeom>
                    <a:noFill/>
                  </pic:spPr>
                </pic:pic>
              </a:graphicData>
            </a:graphic>
          </wp:anchor>
        </w:drawing>
      </w:r>
    </w:p>
    <w:p>
      <w:pPr>
        <w:spacing w:after="0" w:line="362" w:lineRule="exact"/>
        <w:rPr>
          <w:sz w:val="20"/>
          <w:szCs w:val="20"/>
          <w:color w:val="auto"/>
        </w:rPr>
      </w:pPr>
    </w:p>
    <w:p>
      <w:pPr>
        <w:ind w:left="1240" w:right="100"/>
        <w:spacing w:after="0" w:line="262" w:lineRule="auto"/>
        <w:rPr>
          <w:sz w:val="20"/>
          <w:szCs w:val="20"/>
          <w:color w:val="auto"/>
        </w:rPr>
      </w:pPr>
      <w:r>
        <w:rPr>
          <w:rFonts w:ascii="Arial" w:cs="Arial" w:eastAsia="Arial" w:hAnsi="Arial"/>
          <w:sz w:val="18"/>
          <w:szCs w:val="18"/>
          <w:b w:val="1"/>
          <w:bCs w:val="1"/>
          <w:color w:val="auto"/>
        </w:rPr>
        <w:t>Obtaining a Copy of the Proxy Materials – If you want to receive a copy of the proxy materials, you must request one. There is no charge to you for requesting a copy. Please make your request as instructed on the reverse side on or before April 8, 2019 to facilitate timely delivery.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-418465</wp:posOffset>
            </wp:positionV>
            <wp:extent cx="348615" cy="4248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48615" cy="424815"/>
                    </a:xfrm>
                    <a:prstGeom prst="rect">
                      <a:avLst/>
                    </a:prstGeom>
                    <a:noFill/>
                  </pic:spPr>
                </pic:pic>
              </a:graphicData>
            </a:graphic>
          </wp:anchor>
        </w:drawing>
      </w:r>
    </w:p>
    <w:tbl>
      <w:tblPr>
        <w:tblLayout w:type="fixed"/>
        <w:tblInd w:w="5220" w:type="dxa"/>
        <w:tblCellMar>
          <w:top w:w="0" w:type="dxa"/>
          <w:left w:w="0" w:type="dxa"/>
          <w:bottom w:w="0" w:type="dxa"/>
          <w:right w:w="0" w:type="dxa"/>
        </w:tblCellMar>
      </w:tblPr>
      <w:tr>
        <w:trPr>
          <w:trHeight w:val="465"/>
        </w:trPr>
        <w:tc>
          <w:tcPr>
            <w:tcW w:w="3140" w:type="dxa"/>
            <w:vAlign w:val="bottom"/>
            <w:vMerge w:val="restart"/>
          </w:tcPr>
          <w:p>
            <w:pPr>
              <w:spacing w:after="0"/>
              <w:rPr>
                <w:sz w:val="20"/>
                <w:szCs w:val="20"/>
                <w:color w:val="auto"/>
              </w:rPr>
            </w:pPr>
            <w:r>
              <w:rPr>
                <w:rFonts w:ascii="Arial" w:cs="Arial" w:eastAsia="Arial" w:hAnsi="Arial"/>
                <w:sz w:val="18"/>
                <w:szCs w:val="18"/>
                <w:color w:val="auto"/>
              </w:rPr>
              <w:t>2 N O T</w:t>
            </w:r>
          </w:p>
        </w:tc>
        <w:tc>
          <w:tcPr>
            <w:tcW w:w="2800" w:type="dxa"/>
            <w:vAlign w:val="bottom"/>
          </w:tcPr>
          <w:p>
            <w:pPr>
              <w:jc w:val="right"/>
              <w:spacing w:after="0" w:line="463" w:lineRule="exact"/>
              <w:rPr>
                <w:sz w:val="20"/>
                <w:szCs w:val="20"/>
                <w:color w:val="auto"/>
              </w:rPr>
            </w:pPr>
            <w:r>
              <w:rPr>
                <w:rFonts w:ascii="Arial" w:cs="Arial" w:eastAsia="Arial" w:hAnsi="Arial"/>
                <w:sz w:val="53"/>
                <w:szCs w:val="53"/>
                <w:b w:val="1"/>
                <w:bCs w:val="1"/>
                <w:color w:val="auto"/>
              </w:rPr>
              <w:t>+</w:t>
            </w:r>
          </w:p>
        </w:tc>
        <w:tc>
          <w:tcPr>
            <w:tcW w:w="0" w:type="dxa"/>
            <w:vAlign w:val="bottom"/>
          </w:tcPr>
          <w:p>
            <w:pPr>
              <w:spacing w:after="0"/>
              <w:rPr>
                <w:sz w:val="1"/>
                <w:szCs w:val="1"/>
                <w:color w:val="auto"/>
              </w:rPr>
            </w:pPr>
          </w:p>
        </w:tc>
      </w:tr>
      <w:tr>
        <w:trPr>
          <w:trHeight w:val="52"/>
        </w:trPr>
        <w:tc>
          <w:tcPr>
            <w:tcW w:w="3140" w:type="dxa"/>
            <w:vAlign w:val="bottom"/>
            <w:vMerge w:val="continue"/>
          </w:tcPr>
          <w:p>
            <w:pPr>
              <w:spacing w:after="0"/>
              <w:rPr>
                <w:sz w:val="4"/>
                <w:szCs w:val="4"/>
                <w:color w:val="auto"/>
              </w:rPr>
            </w:pPr>
          </w:p>
        </w:tc>
        <w:tc>
          <w:tcPr>
            <w:tcW w:w="280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340" w:lineRule="exact"/>
        <w:rPr>
          <w:sz w:val="20"/>
          <w:szCs w:val="20"/>
          <w:color w:val="auto"/>
        </w:rPr>
      </w:pPr>
    </w:p>
    <w:p>
      <w:pPr>
        <w:ind w:left="1240"/>
        <w:spacing w:after="0"/>
        <w:rPr>
          <w:sz w:val="20"/>
          <w:szCs w:val="20"/>
          <w:color w:val="auto"/>
        </w:rPr>
      </w:pPr>
      <w:r>
        <w:rPr>
          <w:rFonts w:ascii="Arial" w:cs="Arial" w:eastAsia="Arial" w:hAnsi="Arial"/>
          <w:sz w:val="11"/>
          <w:szCs w:val="11"/>
          <w:color w:val="auto"/>
        </w:rPr>
        <w:t>02ZYEA</w:t>
      </w:r>
    </w:p>
    <w:p>
      <w:pPr>
        <w:sectPr>
          <w:pgSz w:w="12240" w:h="15840" w:orient="portrait"/>
          <w:cols w:equalWidth="0" w:num="1">
            <w:col w:w="11160"/>
          </w:cols>
          <w:pgMar w:left="520" w:top="76" w:right="560" w:bottom="1440" w:gutter="0" w:footer="0" w:header="0"/>
        </w:sectPr>
      </w:pPr>
    </w:p>
    <w:bookmarkStart w:id="2" w:name="page3"/>
    <w:bookmarkEnd w:id="2"/>
    <w:p>
      <w:pPr>
        <w:ind w:left="60"/>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330200</wp:posOffset>
            </wp:positionH>
            <wp:positionV relativeFrom="page">
              <wp:posOffset>0</wp:posOffset>
            </wp:positionV>
            <wp:extent cx="7086600" cy="381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086600" cy="38100"/>
                    </a:xfrm>
                    <a:prstGeom prst="rect">
                      <a:avLst/>
                    </a:prstGeom>
                    <a:noFill/>
                  </pic:spPr>
                </pic:pic>
              </a:graphicData>
            </a:graphic>
          </wp:anchor>
        </w:drawing>
        <w:t>Stockholder Meeting Notice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-180975</wp:posOffset>
            </wp:positionV>
            <wp:extent cx="7086600" cy="2209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086600" cy="220980"/>
                    </a:xfrm>
                    <a:prstGeom prst="rect">
                      <a:avLst/>
                    </a:prstGeom>
                    <a:noFill/>
                  </pic:spPr>
                </pic:pic>
              </a:graphicData>
            </a:graphic>
          </wp:anchor>
        </w:drawing>
      </w:r>
    </w:p>
    <w:p>
      <w:pPr>
        <w:spacing w:after="0" w:line="131" w:lineRule="exact"/>
        <w:rPr>
          <w:sz w:val="20"/>
          <w:szCs w:val="20"/>
          <w:color w:val="auto"/>
        </w:rPr>
      </w:pPr>
    </w:p>
    <w:p>
      <w:pPr>
        <w:spacing w:after="0" w:line="276" w:lineRule="auto"/>
        <w:rPr>
          <w:sz w:val="20"/>
          <w:szCs w:val="20"/>
          <w:color w:val="auto"/>
        </w:rPr>
      </w:pPr>
      <w:r>
        <w:rPr>
          <w:rFonts w:ascii="Arial" w:cs="Arial" w:eastAsia="Arial" w:hAnsi="Arial"/>
          <w:sz w:val="18"/>
          <w:szCs w:val="18"/>
          <w:b w:val="1"/>
          <w:bCs w:val="1"/>
          <w:color w:val="auto"/>
        </w:rPr>
        <w:t>AGNC Investment Corp.’s Annual Meeting of Stockholders will be held on April 18, 2019 at the Hyatt Regency Bethesda, 7400 Wisconsin Avenue, Bethesda, MD 20814, at 9:00 a.m. Eastern Time.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Proposals to be voted on at the meeting are listed below along with the Board of Directors’ recommendations.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The Board of Directors recommend a vote </w:t>
      </w:r>
      <w:r>
        <w:rPr>
          <w:rFonts w:ascii="Arial" w:cs="Arial" w:eastAsia="Arial" w:hAnsi="Arial"/>
          <w:sz w:val="18"/>
          <w:szCs w:val="18"/>
          <w:b w:val="1"/>
          <w:bCs w:val="1"/>
          <w:u w:val="single" w:color="auto"/>
          <w:color w:val="auto"/>
        </w:rPr>
        <w:t>FOR</w:t>
      </w:r>
      <w:r>
        <w:rPr>
          <w:rFonts w:ascii="Arial" w:cs="Arial" w:eastAsia="Arial" w:hAnsi="Arial"/>
          <w:sz w:val="18"/>
          <w:szCs w:val="18"/>
          <w:b w:val="1"/>
          <w:bCs w:val="1"/>
          <w:color w:val="auto"/>
        </w:rPr>
        <w:t xml:space="preserve"> all the nominees listed and </w:t>
      </w:r>
      <w:r>
        <w:rPr>
          <w:rFonts w:ascii="Arial" w:cs="Arial" w:eastAsia="Arial" w:hAnsi="Arial"/>
          <w:sz w:val="18"/>
          <w:szCs w:val="18"/>
          <w:b w:val="1"/>
          <w:bCs w:val="1"/>
          <w:u w:val="single" w:color="auto"/>
          <w:color w:val="auto"/>
        </w:rPr>
        <w:t>FOR</w:t>
      </w:r>
      <w:r>
        <w:rPr>
          <w:rFonts w:ascii="Arial" w:cs="Arial" w:eastAsia="Arial" w:hAnsi="Arial"/>
          <w:sz w:val="18"/>
          <w:szCs w:val="18"/>
          <w:b w:val="1"/>
          <w:bCs w:val="1"/>
          <w:color w:val="auto"/>
        </w:rPr>
        <w:t xml:space="preserve"> Proposals 2 and 3:</w:t>
      </w:r>
    </w:p>
    <w:p>
      <w:pPr>
        <w:spacing w:after="0" w:line="239" w:lineRule="exact"/>
        <w:rPr>
          <w:sz w:val="20"/>
          <w:szCs w:val="20"/>
          <w:color w:val="auto"/>
        </w:rPr>
      </w:pPr>
    </w:p>
    <w:p>
      <w:pPr>
        <w:ind w:left="1400" w:hanging="396"/>
        <w:spacing w:after="0"/>
        <w:tabs>
          <w:tab w:leader="none" w:pos="1400" w:val="left"/>
        </w:tabs>
        <w:numPr>
          <w:ilvl w:val="0"/>
          <w:numId w:val="6"/>
        </w:numPr>
        <w:rPr>
          <w:rFonts w:ascii="Arial" w:cs="Arial" w:eastAsia="Arial" w:hAnsi="Arial"/>
          <w:sz w:val="18"/>
          <w:szCs w:val="18"/>
          <w:color w:val="auto"/>
        </w:rPr>
      </w:pPr>
      <w:r>
        <w:rPr>
          <w:rFonts w:ascii="Arial" w:cs="Arial" w:eastAsia="Arial" w:hAnsi="Arial"/>
          <w:sz w:val="18"/>
          <w:szCs w:val="18"/>
          <w:color w:val="auto"/>
        </w:rPr>
        <w:t>Election of Directors.</w:t>
      </w:r>
    </w:p>
    <w:p>
      <w:pPr>
        <w:spacing w:after="0" w:line="19" w:lineRule="exact"/>
        <w:rPr>
          <w:rFonts w:ascii="Arial" w:cs="Arial" w:eastAsia="Arial" w:hAnsi="Arial"/>
          <w:sz w:val="18"/>
          <w:szCs w:val="18"/>
          <w:color w:val="auto"/>
        </w:rPr>
      </w:pPr>
    </w:p>
    <w:p>
      <w:pPr>
        <w:ind w:left="1400"/>
        <w:spacing w:after="0"/>
        <w:rPr>
          <w:rFonts w:ascii="Arial" w:cs="Arial" w:eastAsia="Arial" w:hAnsi="Arial"/>
          <w:sz w:val="18"/>
          <w:szCs w:val="18"/>
          <w:color w:val="auto"/>
        </w:rPr>
      </w:pPr>
      <w:r>
        <w:rPr>
          <w:rFonts w:ascii="Arial" w:cs="Arial" w:eastAsia="Arial" w:hAnsi="Arial"/>
          <w:sz w:val="18"/>
          <w:szCs w:val="18"/>
          <w:color w:val="auto"/>
        </w:rPr>
        <w:t>01 - Gary D. Kain</w:t>
      </w:r>
    </w:p>
    <w:p>
      <w:pPr>
        <w:spacing w:after="0" w:line="7" w:lineRule="exact"/>
        <w:rPr>
          <w:rFonts w:ascii="Arial" w:cs="Arial" w:eastAsia="Arial" w:hAnsi="Arial"/>
          <w:sz w:val="18"/>
          <w:szCs w:val="18"/>
          <w:color w:val="auto"/>
        </w:rPr>
      </w:pPr>
    </w:p>
    <w:p>
      <w:pPr>
        <w:ind w:left="1400"/>
        <w:spacing w:after="0"/>
        <w:rPr>
          <w:rFonts w:ascii="Arial" w:cs="Arial" w:eastAsia="Arial" w:hAnsi="Arial"/>
          <w:sz w:val="18"/>
          <w:szCs w:val="18"/>
          <w:color w:val="auto"/>
        </w:rPr>
      </w:pPr>
      <w:r>
        <w:rPr>
          <w:rFonts w:ascii="Arial" w:cs="Arial" w:eastAsia="Arial" w:hAnsi="Arial"/>
          <w:sz w:val="18"/>
          <w:szCs w:val="18"/>
          <w:color w:val="auto"/>
        </w:rPr>
        <w:t>02 - Donna J. Blank</w:t>
      </w:r>
    </w:p>
    <w:p>
      <w:pPr>
        <w:spacing w:after="0" w:line="7" w:lineRule="exact"/>
        <w:rPr>
          <w:rFonts w:ascii="Arial" w:cs="Arial" w:eastAsia="Arial" w:hAnsi="Arial"/>
          <w:sz w:val="18"/>
          <w:szCs w:val="18"/>
          <w:color w:val="auto"/>
        </w:rPr>
      </w:pPr>
    </w:p>
    <w:p>
      <w:pPr>
        <w:ind w:left="1400"/>
        <w:spacing w:after="0"/>
        <w:rPr>
          <w:rFonts w:ascii="Arial" w:cs="Arial" w:eastAsia="Arial" w:hAnsi="Arial"/>
          <w:sz w:val="18"/>
          <w:szCs w:val="18"/>
          <w:color w:val="auto"/>
        </w:rPr>
      </w:pPr>
      <w:r>
        <w:rPr>
          <w:rFonts w:ascii="Arial" w:cs="Arial" w:eastAsia="Arial" w:hAnsi="Arial"/>
          <w:sz w:val="18"/>
          <w:szCs w:val="18"/>
          <w:color w:val="auto"/>
        </w:rPr>
        <w:t>03 - Morris A. Davis</w:t>
      </w:r>
    </w:p>
    <w:p>
      <w:pPr>
        <w:spacing w:after="0" w:line="7" w:lineRule="exact"/>
        <w:rPr>
          <w:rFonts w:ascii="Arial" w:cs="Arial" w:eastAsia="Arial" w:hAnsi="Arial"/>
          <w:sz w:val="18"/>
          <w:szCs w:val="18"/>
          <w:color w:val="auto"/>
        </w:rPr>
      </w:pPr>
    </w:p>
    <w:p>
      <w:pPr>
        <w:ind w:left="1400"/>
        <w:spacing w:after="0"/>
        <w:rPr>
          <w:rFonts w:ascii="Arial" w:cs="Arial" w:eastAsia="Arial" w:hAnsi="Arial"/>
          <w:sz w:val="18"/>
          <w:szCs w:val="18"/>
          <w:color w:val="auto"/>
        </w:rPr>
      </w:pPr>
      <w:r>
        <w:rPr>
          <w:rFonts w:ascii="Arial" w:cs="Arial" w:eastAsia="Arial" w:hAnsi="Arial"/>
          <w:sz w:val="18"/>
          <w:szCs w:val="18"/>
          <w:color w:val="auto"/>
        </w:rPr>
        <w:t>04 - Larry K. Harvey</w:t>
      </w:r>
    </w:p>
    <w:p>
      <w:pPr>
        <w:spacing w:after="0" w:line="7" w:lineRule="exact"/>
        <w:rPr>
          <w:rFonts w:ascii="Arial" w:cs="Arial" w:eastAsia="Arial" w:hAnsi="Arial"/>
          <w:sz w:val="18"/>
          <w:szCs w:val="18"/>
          <w:color w:val="auto"/>
        </w:rPr>
      </w:pPr>
    </w:p>
    <w:p>
      <w:pPr>
        <w:ind w:left="1400"/>
        <w:spacing w:after="0"/>
        <w:rPr>
          <w:rFonts w:ascii="Arial" w:cs="Arial" w:eastAsia="Arial" w:hAnsi="Arial"/>
          <w:sz w:val="18"/>
          <w:szCs w:val="18"/>
          <w:color w:val="auto"/>
        </w:rPr>
      </w:pPr>
      <w:r>
        <w:rPr>
          <w:rFonts w:ascii="Arial" w:cs="Arial" w:eastAsia="Arial" w:hAnsi="Arial"/>
          <w:sz w:val="18"/>
          <w:szCs w:val="18"/>
          <w:color w:val="auto"/>
        </w:rPr>
        <w:t>05 - Prue B. Larocca</w:t>
      </w:r>
    </w:p>
    <w:p>
      <w:pPr>
        <w:spacing w:after="0" w:line="7" w:lineRule="exact"/>
        <w:rPr>
          <w:rFonts w:ascii="Arial" w:cs="Arial" w:eastAsia="Arial" w:hAnsi="Arial"/>
          <w:sz w:val="18"/>
          <w:szCs w:val="18"/>
          <w:color w:val="auto"/>
        </w:rPr>
      </w:pPr>
    </w:p>
    <w:p>
      <w:pPr>
        <w:ind w:left="1400"/>
        <w:spacing w:after="0"/>
        <w:rPr>
          <w:rFonts w:ascii="Arial" w:cs="Arial" w:eastAsia="Arial" w:hAnsi="Arial"/>
          <w:sz w:val="18"/>
          <w:szCs w:val="18"/>
          <w:color w:val="auto"/>
        </w:rPr>
      </w:pPr>
      <w:r>
        <w:rPr>
          <w:rFonts w:ascii="Arial" w:cs="Arial" w:eastAsia="Arial" w:hAnsi="Arial"/>
          <w:sz w:val="18"/>
          <w:szCs w:val="18"/>
          <w:color w:val="auto"/>
        </w:rPr>
        <w:t>06 - Paul E. Mullings</w:t>
      </w:r>
    </w:p>
    <w:p>
      <w:pPr>
        <w:spacing w:after="0" w:line="101" w:lineRule="exact"/>
        <w:rPr>
          <w:rFonts w:ascii="Arial" w:cs="Arial" w:eastAsia="Arial" w:hAnsi="Arial"/>
          <w:sz w:val="18"/>
          <w:szCs w:val="18"/>
          <w:color w:val="auto"/>
        </w:rPr>
      </w:pPr>
    </w:p>
    <w:p>
      <w:pPr>
        <w:ind w:left="1400" w:hanging="396"/>
        <w:spacing w:after="0"/>
        <w:tabs>
          <w:tab w:leader="none" w:pos="1400" w:val="left"/>
        </w:tabs>
        <w:numPr>
          <w:ilvl w:val="0"/>
          <w:numId w:val="6"/>
        </w:numPr>
        <w:rPr>
          <w:rFonts w:ascii="Arial" w:cs="Arial" w:eastAsia="Arial" w:hAnsi="Arial"/>
          <w:sz w:val="18"/>
          <w:szCs w:val="18"/>
          <w:color w:val="auto"/>
        </w:rPr>
      </w:pPr>
      <w:r>
        <w:rPr>
          <w:rFonts w:ascii="Arial" w:cs="Arial" w:eastAsia="Arial" w:hAnsi="Arial"/>
          <w:sz w:val="18"/>
          <w:szCs w:val="18"/>
          <w:color w:val="auto"/>
        </w:rPr>
        <w:t>Advisory vote to approve the compensation of our named executive officers.</w:t>
      </w:r>
    </w:p>
    <w:p>
      <w:pPr>
        <w:spacing w:after="0" w:line="114" w:lineRule="exact"/>
        <w:rPr>
          <w:rFonts w:ascii="Arial" w:cs="Arial" w:eastAsia="Arial" w:hAnsi="Arial"/>
          <w:sz w:val="18"/>
          <w:szCs w:val="18"/>
          <w:color w:val="auto"/>
        </w:rPr>
      </w:pPr>
    </w:p>
    <w:p>
      <w:pPr>
        <w:ind w:left="1400" w:hanging="396"/>
        <w:spacing w:after="0"/>
        <w:tabs>
          <w:tab w:leader="none" w:pos="1400" w:val="left"/>
        </w:tabs>
        <w:numPr>
          <w:ilvl w:val="0"/>
          <w:numId w:val="6"/>
        </w:numPr>
        <w:rPr>
          <w:rFonts w:ascii="Arial" w:cs="Arial" w:eastAsia="Arial" w:hAnsi="Arial"/>
          <w:sz w:val="17"/>
          <w:szCs w:val="17"/>
          <w:color w:val="auto"/>
        </w:rPr>
      </w:pPr>
      <w:r>
        <w:rPr>
          <w:rFonts w:ascii="Arial" w:cs="Arial" w:eastAsia="Arial" w:hAnsi="Arial"/>
          <w:sz w:val="17"/>
          <w:szCs w:val="17"/>
          <w:color w:val="auto"/>
        </w:rPr>
        <w:t>Ratification of appointment of Ernst &amp; Young LLP as our independent public accountant for the year ending December 31, 2019.</w:t>
      </w:r>
    </w:p>
    <w:p>
      <w:pPr>
        <w:spacing w:after="0" w:line="229" w:lineRule="exact"/>
        <w:rPr>
          <w:sz w:val="20"/>
          <w:szCs w:val="20"/>
          <w:color w:val="auto"/>
        </w:rPr>
      </w:pPr>
    </w:p>
    <w:p>
      <w:pPr>
        <w:ind w:right="180"/>
        <w:spacing w:after="0" w:line="306" w:lineRule="auto"/>
        <w:rPr>
          <w:sz w:val="20"/>
          <w:szCs w:val="20"/>
          <w:color w:val="auto"/>
        </w:rPr>
      </w:pPr>
      <w:r>
        <w:rPr>
          <w:rFonts w:ascii="Arial" w:cs="Arial" w:eastAsia="Arial" w:hAnsi="Arial"/>
          <w:sz w:val="17"/>
          <w:szCs w:val="17"/>
          <w:b w:val="1"/>
          <w:bCs w:val="1"/>
          <w:color w:val="auto"/>
        </w:rPr>
        <w:t>PLEASE NOTE – YOU CANNOT VOTE BY RETURNING THIS NOTICE. To vote your shares you must go online or request a paper copy of the proxy materials to receive a proxy card. If you wish to attend and vote at the meeting, please bring this notice with you.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2142490</wp:posOffset>
            </wp:positionV>
            <wp:extent cx="7086600"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08660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Here’s how to order a copy of the proxy materials and select delivery preferences: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-119380</wp:posOffset>
            </wp:positionV>
            <wp:extent cx="348615" cy="4248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348615" cy="424815"/>
                    </a:xfrm>
                    <a:prstGeom prst="rect">
                      <a:avLst/>
                    </a:prstGeom>
                    <a:noFill/>
                  </pic:spPr>
                </pic:pic>
              </a:graphicData>
            </a:graphic>
          </wp:anchor>
        </w:drawing>
      </w:r>
    </w:p>
    <w:p>
      <w:pPr>
        <w:spacing w:after="0" w:line="232"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Current and future delivery requests can be submitted using the options below.</w:t>
      </w:r>
    </w:p>
    <w:p>
      <w:pPr>
        <w:spacing w:after="0" w:line="248"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If you request an email copy, you will receive an email with a link to the current meeting materials.</w:t>
      </w:r>
    </w:p>
    <w:p>
      <w:pPr>
        <w:spacing w:after="0" w:line="244" w:lineRule="exact"/>
        <w:rPr>
          <w:sz w:val="20"/>
          <w:szCs w:val="20"/>
          <w:color w:val="auto"/>
        </w:rPr>
      </w:pPr>
    </w:p>
    <w:p>
      <w:pPr>
        <w:ind w:left="1240"/>
        <w:spacing w:after="0"/>
        <w:rPr>
          <w:sz w:val="20"/>
          <w:szCs w:val="20"/>
          <w:color w:val="auto"/>
        </w:rPr>
      </w:pPr>
      <w:r>
        <w:rPr>
          <w:rFonts w:ascii="Arial" w:cs="Arial" w:eastAsia="Arial" w:hAnsi="Arial"/>
          <w:sz w:val="17"/>
          <w:szCs w:val="17"/>
          <w:b w:val="1"/>
          <w:bCs w:val="1"/>
          <w:color w:val="auto"/>
        </w:rPr>
        <w:t xml:space="preserve">PLEASE NOTE: </w:t>
      </w:r>
      <w:r>
        <w:rPr>
          <w:rFonts w:ascii="Arial" w:cs="Arial" w:eastAsia="Arial" w:hAnsi="Arial"/>
          <w:sz w:val="17"/>
          <w:szCs w:val="17"/>
          <w:color w:val="auto"/>
        </w:rPr>
        <w:t>You must use the number in the shaded bar on the reverse side when requesting a copy of the proxy materials.</w:t>
      </w:r>
    </w:p>
    <w:p>
      <w:pPr>
        <w:spacing w:after="0" w:line="152"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 xml:space="preserve">–   </w:t>
      </w:r>
      <w:r>
        <w:rPr>
          <w:rFonts w:ascii="Arial" w:cs="Arial" w:eastAsia="Arial" w:hAnsi="Arial"/>
          <w:sz w:val="18"/>
          <w:szCs w:val="18"/>
          <w:b w:val="1"/>
          <w:bCs w:val="1"/>
          <w:color w:val="auto"/>
        </w:rPr>
        <w:t>Internet</w:t>
      </w:r>
      <w:r>
        <w:rPr>
          <w:rFonts w:ascii="Arial" w:cs="Arial" w:eastAsia="Arial" w:hAnsi="Arial"/>
          <w:sz w:val="18"/>
          <w:szCs w:val="18"/>
          <w:color w:val="auto"/>
        </w:rPr>
        <w:t xml:space="preserve"> – Go to </w:t>
      </w:r>
      <w:r>
        <w:rPr>
          <w:rFonts w:ascii="Arial" w:cs="Arial" w:eastAsia="Arial" w:hAnsi="Arial"/>
          <w:sz w:val="18"/>
          <w:szCs w:val="18"/>
          <w:b w:val="1"/>
          <w:bCs w:val="1"/>
          <w:color w:val="auto"/>
        </w:rPr>
        <w:t>www.investorvote.com/agnc.</w:t>
      </w:r>
    </w:p>
    <w:p>
      <w:pPr>
        <w:spacing w:after="0" w:line="140"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 xml:space="preserve">–   </w:t>
      </w:r>
      <w:r>
        <w:rPr>
          <w:rFonts w:ascii="Arial" w:cs="Arial" w:eastAsia="Arial" w:hAnsi="Arial"/>
          <w:sz w:val="18"/>
          <w:szCs w:val="18"/>
          <w:b w:val="1"/>
          <w:bCs w:val="1"/>
          <w:color w:val="auto"/>
        </w:rPr>
        <w:t>Phone</w:t>
      </w:r>
      <w:r>
        <w:rPr>
          <w:rFonts w:ascii="Arial" w:cs="Arial" w:eastAsia="Arial" w:hAnsi="Arial"/>
          <w:sz w:val="18"/>
          <w:szCs w:val="18"/>
          <w:color w:val="auto"/>
        </w:rPr>
        <w:t xml:space="preserve"> – Call us free of charge at 1-866-641-4276.</w:t>
      </w:r>
    </w:p>
    <w:p>
      <w:pPr>
        <w:spacing w:after="0" w:line="140" w:lineRule="exact"/>
        <w:rPr>
          <w:sz w:val="20"/>
          <w:szCs w:val="20"/>
          <w:color w:val="auto"/>
        </w:rPr>
      </w:pPr>
    </w:p>
    <w:p>
      <w:pPr>
        <w:ind w:left="1580" w:right="280" w:hanging="335"/>
        <w:spacing w:after="0" w:line="262" w:lineRule="auto"/>
        <w:rPr>
          <w:sz w:val="20"/>
          <w:szCs w:val="20"/>
          <w:color w:val="auto"/>
        </w:rPr>
      </w:pPr>
      <w:r>
        <w:rPr>
          <w:rFonts w:ascii="Arial" w:cs="Arial" w:eastAsia="Arial" w:hAnsi="Arial"/>
          <w:sz w:val="18"/>
          <w:szCs w:val="18"/>
          <w:color w:val="auto"/>
        </w:rPr>
        <w:t xml:space="preserve">– </w:t>
      </w:r>
      <w:r>
        <w:rPr>
          <w:rFonts w:ascii="Arial" w:cs="Arial" w:eastAsia="Arial" w:hAnsi="Arial"/>
          <w:sz w:val="18"/>
          <w:szCs w:val="18"/>
          <w:b w:val="1"/>
          <w:bCs w:val="1"/>
          <w:color w:val="auto"/>
        </w:rPr>
        <w:t>Email</w:t>
      </w:r>
      <w:r>
        <w:rPr>
          <w:rFonts w:ascii="Arial" w:cs="Arial" w:eastAsia="Arial" w:hAnsi="Arial"/>
          <w:sz w:val="18"/>
          <w:szCs w:val="18"/>
          <w:color w:val="auto"/>
        </w:rPr>
        <w:t xml:space="preserve"> – Send an email to investorvote@computershare.com with “Proxy Materials AGNC Investment Corp.” in the subject line. Include your full name and address, plus the number located in the shaded bar on the reverse side, and state that you want a paper copy of the meeting materials.</w:t>
      </w:r>
    </w:p>
    <w:p>
      <w:pPr>
        <w:spacing w:after="0" w:line="102" w:lineRule="exact"/>
        <w:rPr>
          <w:sz w:val="20"/>
          <w:szCs w:val="20"/>
          <w:color w:val="auto"/>
        </w:rPr>
      </w:pPr>
    </w:p>
    <w:p>
      <w:pPr>
        <w:ind w:left="1580"/>
        <w:spacing w:after="0"/>
        <w:rPr>
          <w:sz w:val="20"/>
          <w:szCs w:val="20"/>
          <w:color w:val="auto"/>
        </w:rPr>
      </w:pPr>
      <w:r>
        <w:rPr>
          <w:rFonts w:ascii="Arial" w:cs="Arial" w:eastAsia="Arial" w:hAnsi="Arial"/>
          <w:sz w:val="18"/>
          <w:szCs w:val="18"/>
          <w:color w:val="auto"/>
        </w:rPr>
        <w:t>To facilitate timely delivery, requests for a paper copy of the proxy materials must be received by April 8, 2019.</w:t>
      </w:r>
    </w:p>
    <w:sectPr>
      <w:pgSz w:w="12240" w:h="15840" w:orient="portrait"/>
      <w:cols w:equalWidth="0" w:num="1">
        <w:col w:w="11100"/>
      </w:cols>
      <w:pgMar w:left="520" w:top="145" w:right="62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25558EC"/>
    <w:multiLevelType w:val="hybridMultilevel"/>
    <w:lvl w:ilvl="0">
      <w:lvlJc w:val="left"/>
      <w:lvlText w:val="☐"/>
      <w:numFmt w:val="bullet"/>
      <w:start w:val="1"/>
    </w:lvl>
  </w:abstractNum>
  <w:abstractNum w:abstractNumId="1">
    <w:nsid w:val="238E1F29"/>
    <w:multiLevelType w:val="hybridMultilevel"/>
    <w:lvl w:ilvl="0">
      <w:lvlJc w:val="left"/>
      <w:lvlText w:val="☒"/>
      <w:numFmt w:val="bullet"/>
      <w:start w:val="1"/>
    </w:lvl>
  </w:abstractNum>
  <w:abstractNum w:abstractNumId="2">
    <w:nsid w:val="46E87CCD"/>
    <w:multiLevelType w:val="hybridMultilevel"/>
    <w:lvl w:ilvl="0">
      <w:lvlJc w:val="left"/>
      <w:lvlText w:val="☐"/>
      <w:numFmt w:val="bullet"/>
      <w:start w:val="1"/>
    </w:lvl>
  </w:abstractNum>
  <w:abstractNum w:abstractNumId="3">
    <w:nsid w:val="3D1B58BA"/>
    <w:multiLevelType w:val="hybridMultilevel"/>
    <w:lvl w:ilvl="0">
      <w:lvlJc w:val="left"/>
      <w:lvlText w:val="☒"/>
      <w:numFmt w:val="bullet"/>
      <w:start w:val="1"/>
    </w:lvl>
  </w:abstractNum>
  <w:abstractNum w:abstractNumId="4">
    <w:nsid w:val="507ED7AB"/>
    <w:multiLevelType w:val="hybridMultilevel"/>
    <w:lvl w:ilvl="0">
      <w:lvlJc w:val="left"/>
      <w:lvlText w:val="☐"/>
      <w:numFmt w:val="bullet"/>
      <w:start w:val="1"/>
    </w:lvl>
    <w:lvl w:ilvl="1">
      <w:lvlJc w:val="left"/>
      <w:lvlText w:val="(%2)"/>
      <w:numFmt w:val="decimal"/>
      <w:start w:val="1"/>
    </w:lvl>
  </w:abstractNum>
  <w:abstractNum w:abstractNumId="5">
    <w:nsid w:val="2EB141F2"/>
    <w:multiLevelType w:val="hybridMultilevel"/>
    <w:lvl w:ilvl="0">
      <w:lvlJc w:val="left"/>
      <w:lvlText w:val="%1."/>
      <w:numFmt w:val="decimal"/>
      <w:start w:val="1"/>
    </w:lvl>
  </w:abstractNum>
  <w:abstractNum w:abstractNumId="6">
    <w:nsid w:val="41B71EFB"/>
    <w:multiLevelType w:val="hybridMultilevel"/>
    <w:lvl w:ilvl="0">
      <w:lvlJc w:val="left"/>
      <w:lvlText w:val="\endash "/>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png"/><Relationship Id="rId24" Type="http://schemas.openxmlformats.org/officeDocument/2006/relationships/image" Target="media/image17.jpe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2019-12-15T17:12:44Z</dcterms:created>
  <dcterms:modified xsi:type="dcterms:W3CDTF">2019-12-15T17:12:44Z</dcterms:modified>
</cp:coreProperties>
</file>